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0A1C8E" w:rsidTr="00B909F2">
        <w:trPr>
          <w:trHeight w:val="4063"/>
        </w:trPr>
        <w:tc>
          <w:tcPr>
            <w:tcW w:w="5951" w:type="dxa"/>
            <w:tcBorders>
              <w:bottom w:val="single" w:sz="18" w:space="0" w:color="808080"/>
              <w:right w:val="single" w:sz="18" w:space="0" w:color="808080"/>
            </w:tcBorders>
            <w:vAlign w:val="center"/>
          </w:tcPr>
          <w:p w:rsidR="00023FE7" w:rsidRPr="005208B5" w:rsidRDefault="00023FE7" w:rsidP="00966DD8">
            <w:pPr>
              <w:ind w:left="1260"/>
              <w:rPr>
                <w:rFonts w:ascii="Cambria" w:eastAsia="Times New Roman" w:hAnsi="Cambria"/>
                <w:bCs/>
                <w:kern w:val="28"/>
                <w:sz w:val="76"/>
                <w:szCs w:val="76"/>
              </w:rPr>
            </w:pPr>
            <w:bookmarkStart w:id="0" w:name="_Toc336337837"/>
            <w:r w:rsidRPr="005208B5">
              <w:rPr>
                <w:rFonts w:ascii="Cambria" w:eastAsia="Times New Roman" w:hAnsi="Cambria"/>
                <w:bCs/>
                <w:kern w:val="28"/>
                <w:sz w:val="76"/>
                <w:szCs w:val="76"/>
              </w:rPr>
              <w:t>Lista de Produtos da</w:t>
            </w:r>
            <w:bookmarkEnd w:id="0"/>
          </w:p>
          <w:p w:rsidR="00023FE7" w:rsidRPr="00FE7DED" w:rsidRDefault="00023FE7" w:rsidP="00966DD8">
            <w:pPr>
              <w:pStyle w:val="Title"/>
              <w:spacing w:before="0" w:after="0"/>
              <w:ind w:left="1170" w:firstLine="97"/>
              <w:jc w:val="left"/>
            </w:pPr>
            <w:bookmarkStart w:id="1" w:name="_Toc361828941"/>
            <w:r w:rsidRPr="005208B5">
              <w:rPr>
                <w:b w:val="0"/>
                <w:sz w:val="76"/>
                <w:szCs w:val="76"/>
              </w:rPr>
              <w:t>Microsoft</w:t>
            </w:r>
            <w:r w:rsidR="00C83286" w:rsidRPr="005208B5">
              <w:rPr>
                <w:b w:val="0"/>
                <w:sz w:val="76"/>
                <w:szCs w:val="76"/>
                <w:vertAlign w:val="superscript"/>
              </w:rPr>
              <w:t>®</w:t>
            </w:r>
            <w:bookmarkEnd w:id="1"/>
          </w:p>
        </w:tc>
        <w:tc>
          <w:tcPr>
            <w:tcW w:w="4615" w:type="dxa"/>
            <w:tcBorders>
              <w:left w:val="single" w:sz="18" w:space="0" w:color="808080"/>
              <w:bottom w:val="single" w:sz="18" w:space="0" w:color="808080"/>
            </w:tcBorders>
            <w:vAlign w:val="center"/>
          </w:tcPr>
          <w:p w:rsidR="00023FE7" w:rsidRPr="00FE7DED" w:rsidRDefault="00023FE7">
            <w:pPr>
              <w:pStyle w:val="NoSpacing1"/>
              <w:ind w:right="-1797"/>
              <w:rPr>
                <w:rFonts w:ascii="Tahoma" w:hAnsi="Tahoma" w:cs="Tahoma"/>
                <w:sz w:val="72"/>
                <w:szCs w:val="72"/>
              </w:rPr>
            </w:pPr>
          </w:p>
          <w:p w:rsidR="00023FE7" w:rsidRPr="00B92A28" w:rsidRDefault="007C2F29">
            <w:pPr>
              <w:pStyle w:val="NoSpacing1"/>
              <w:ind w:right="-1797"/>
              <w:rPr>
                <w:rFonts w:ascii="Tahoma" w:hAnsi="Tahoma" w:cs="Tahoma"/>
                <w:sz w:val="72"/>
                <w:szCs w:val="72"/>
              </w:rPr>
            </w:pPr>
            <w:r w:rsidRPr="00B92A28">
              <w:rPr>
                <w:rFonts w:ascii="Tahoma" w:hAnsi="Tahoma" w:cs="Tahoma"/>
                <w:sz w:val="72"/>
                <w:szCs w:val="72"/>
              </w:rPr>
              <w:t xml:space="preserve">1º de </w:t>
            </w:r>
            <w:r w:rsidR="0034514F" w:rsidRPr="00B92A28">
              <w:rPr>
                <w:rFonts w:ascii="Tahoma" w:hAnsi="Tahoma" w:cs="Tahoma"/>
                <w:sz w:val="72"/>
                <w:szCs w:val="72"/>
              </w:rPr>
              <w:br/>
            </w:r>
            <w:r w:rsidR="00966DD8" w:rsidRPr="00B92A28">
              <w:rPr>
                <w:rFonts w:ascii="Tahoma" w:hAnsi="Tahoma" w:cs="Tahoma"/>
                <w:sz w:val="72"/>
                <w:szCs w:val="72"/>
              </w:rPr>
              <w:t>A</w:t>
            </w:r>
            <w:r w:rsidRPr="00B92A28">
              <w:rPr>
                <w:rFonts w:ascii="Tahoma" w:hAnsi="Tahoma" w:cs="Tahoma"/>
                <w:sz w:val="72"/>
                <w:szCs w:val="72"/>
              </w:rPr>
              <w:t xml:space="preserve">gosto de </w:t>
            </w:r>
          </w:p>
          <w:p w:rsidR="00023FE7" w:rsidRPr="000A1C8E" w:rsidRDefault="0077167D" w:rsidP="00A04495">
            <w:pPr>
              <w:pStyle w:val="NoSpacing1"/>
              <w:ind w:rightChars="-103" w:right="-185"/>
              <w:rPr>
                <w:rFonts w:ascii="Tahoma" w:hAnsi="Tahoma" w:cs="Tahoma"/>
                <w:color w:val="4F81BD"/>
                <w:sz w:val="200"/>
                <w:szCs w:val="200"/>
              </w:rPr>
            </w:pPr>
            <w:r w:rsidRPr="000A1C8E">
              <w:rPr>
                <w:rFonts w:ascii="Tahoma" w:hAnsi="Tahoma" w:cs="Tahoma"/>
                <w:color w:val="4F81BD"/>
                <w:sz w:val="180"/>
                <w:szCs w:val="200"/>
              </w:rPr>
              <w:t>2013</w:t>
            </w:r>
          </w:p>
        </w:tc>
      </w:tr>
      <w:tr w:rsidR="00023FE7" w:rsidRPr="000A1C8E" w:rsidTr="00B909F2">
        <w:trPr>
          <w:trHeight w:val="412"/>
        </w:trPr>
        <w:tc>
          <w:tcPr>
            <w:tcW w:w="5951" w:type="dxa"/>
            <w:tcBorders>
              <w:top w:val="single" w:sz="18" w:space="0" w:color="808080"/>
            </w:tcBorders>
            <w:vAlign w:val="center"/>
          </w:tcPr>
          <w:p w:rsidR="00023FE7" w:rsidRPr="000A1C8E" w:rsidRDefault="00023FE7" w:rsidP="000A4789">
            <w:pPr>
              <w:pStyle w:val="NoSpacing1"/>
              <w:ind w:leftChars="122" w:left="220" w:firstLine="2"/>
              <w:rPr>
                <w:rFonts w:ascii="Tahoma" w:hAnsi="Tahoma" w:cs="Tahoma"/>
                <w:sz w:val="22"/>
                <w:szCs w:val="22"/>
              </w:rPr>
            </w:pPr>
            <w:r w:rsidRPr="000A1C8E">
              <w:rPr>
                <w:rFonts w:ascii="Tahoma" w:hAnsi="Tahoma" w:cs="Tahoma"/>
                <w:szCs w:val="22"/>
              </w:rPr>
              <w:t>A Lista de Produtos da Microsoft fornece informações mensais sobre o software e os Serviços Online da Microsoft</w:t>
            </w:r>
            <w:r w:rsidR="000A4789" w:rsidRPr="000A1C8E">
              <w:rPr>
                <w:rFonts w:ascii="Tahoma" w:hAnsi="Tahoma" w:cs="Tahoma"/>
                <w:szCs w:val="22"/>
              </w:rPr>
              <w:t> </w:t>
            </w:r>
            <w:r w:rsidRPr="000A1C8E">
              <w:rPr>
                <w:rFonts w:ascii="Tahoma" w:hAnsi="Tahoma" w:cs="Tahoma"/>
                <w:szCs w:val="22"/>
              </w:rPr>
              <w:t>licenciados nos Programas de Licenciamento por</w:t>
            </w:r>
            <w:r w:rsidR="000A4789" w:rsidRPr="000A1C8E">
              <w:rPr>
                <w:rFonts w:ascii="Tahoma" w:hAnsi="Tahoma" w:cs="Tahoma"/>
                <w:szCs w:val="22"/>
              </w:rPr>
              <w:t> </w:t>
            </w:r>
            <w:r w:rsidRPr="000A1C8E">
              <w:rPr>
                <w:rFonts w:ascii="Tahoma" w:hAnsi="Tahoma" w:cs="Tahoma"/>
                <w:szCs w:val="22"/>
              </w:rPr>
              <w:t>Volume da Microsoft.</w:t>
            </w:r>
          </w:p>
        </w:tc>
        <w:tc>
          <w:tcPr>
            <w:tcW w:w="4615" w:type="dxa"/>
            <w:tcBorders>
              <w:top w:val="single" w:sz="18" w:space="0" w:color="808080"/>
            </w:tcBorders>
            <w:vAlign w:val="center"/>
          </w:tcPr>
          <w:p w:rsidR="00023FE7" w:rsidRPr="000A1C8E" w:rsidRDefault="00023FE7" w:rsidP="00A04495">
            <w:pPr>
              <w:pStyle w:val="NoSpacing1"/>
              <w:ind w:rightChars="-15" w:right="-27"/>
              <w:rPr>
                <w:rFonts w:ascii="Tahoma" w:hAnsi="Tahoma" w:cs="Tahoma"/>
                <w:sz w:val="32"/>
                <w:szCs w:val="32"/>
              </w:rPr>
            </w:pPr>
          </w:p>
        </w:tc>
      </w:tr>
    </w:tbl>
    <w:p w:rsidR="00023FE7" w:rsidRPr="000A1C8E" w:rsidRDefault="00023FE7" w:rsidP="0033459E">
      <w:pPr>
        <w:pStyle w:val="Heading1"/>
        <w:rPr>
          <w:rFonts w:cs="Tahoma"/>
        </w:rPr>
        <w:sectPr w:rsidR="00023FE7" w:rsidRPr="000A1C8E"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0A1C8E" w:rsidRDefault="00023FE7" w:rsidP="0033459E">
      <w:pPr>
        <w:pStyle w:val="Heading1"/>
        <w:rPr>
          <w:rFonts w:cs="Tahoma"/>
        </w:rPr>
      </w:pPr>
      <w:bookmarkStart w:id="2" w:name="_Toc336337838"/>
      <w:bookmarkStart w:id="3" w:name="_Toc361828942"/>
      <w:r w:rsidRPr="000A1C8E">
        <w:rPr>
          <w:rFonts w:cs="Tahoma"/>
        </w:rPr>
        <w:lastRenderedPageBreak/>
        <w:t>SOBRE ESTE DOCUMENTO</w:t>
      </w:r>
      <w:bookmarkEnd w:id="2"/>
      <w:bookmarkEnd w:id="3"/>
    </w:p>
    <w:p w:rsidR="00023FE7" w:rsidRPr="000A1C8E" w:rsidRDefault="00023FE7">
      <w:pPr>
        <w:pStyle w:val="Body"/>
        <w:ind w:right="720"/>
        <w:rPr>
          <w:rFonts w:ascii="Tahoma" w:hAnsi="Tahoma" w:cs="Tahoma"/>
        </w:rPr>
      </w:pPr>
    </w:p>
    <w:p w:rsidR="00023FE7" w:rsidRPr="000A1C8E" w:rsidRDefault="00023FE7">
      <w:pPr>
        <w:pStyle w:val="Body"/>
        <w:ind w:right="720"/>
        <w:rPr>
          <w:rFonts w:ascii="Tahoma" w:hAnsi="Tahoma" w:cs="Tahoma"/>
        </w:rPr>
      </w:pPr>
      <w:r w:rsidRPr="000A1C8E">
        <w:rPr>
          <w:rFonts w:ascii="Tahoma" w:hAnsi="Tahoma" w:cs="Tahoma"/>
          <w:sz w:val="18"/>
          <w:szCs w:val="18"/>
        </w:rPr>
        <w:t>A Lista de Produtos da Microsoft fornece informações mensais sobre o software e os Serviços Online da Microsoft licenciados nos Programas de Licenciamento por Volume da Microsoft. As</w:t>
      </w:r>
      <w:r w:rsidR="000A4789" w:rsidRPr="000A1C8E">
        <w:rPr>
          <w:rFonts w:ascii="Tahoma" w:hAnsi="Tahoma" w:cs="Tahoma"/>
          <w:sz w:val="18"/>
          <w:szCs w:val="18"/>
        </w:rPr>
        <w:t> </w:t>
      </w:r>
      <w:r w:rsidRPr="000A1C8E">
        <w:rPr>
          <w:rFonts w:ascii="Tahoma" w:hAnsi="Tahoma" w:cs="Tahoma"/>
          <w:sz w:val="18"/>
          <w:szCs w:val="18"/>
        </w:rPr>
        <w:t>informações descritas na Lista de Produtos da Microsoft incluem:</w:t>
      </w:r>
    </w:p>
    <w:p w:rsidR="00023FE7" w:rsidRPr="000A1C8E" w:rsidRDefault="00023FE7">
      <w:pPr>
        <w:pStyle w:val="Body"/>
        <w:ind w:right="720"/>
        <w:rPr>
          <w:rFonts w:ascii="Tahoma" w:hAnsi="Tahoma" w:cs="Tahoma"/>
        </w:rPr>
      </w:pPr>
    </w:p>
    <w:p w:rsidR="00023FE7" w:rsidRPr="000A1C8E" w:rsidRDefault="00023FE7">
      <w:pPr>
        <w:pStyle w:val="BulletedList"/>
        <w:ind w:right="720"/>
        <w:rPr>
          <w:rFonts w:ascii="Tahoma" w:hAnsi="Tahoma" w:cs="Tahoma"/>
        </w:rPr>
      </w:pPr>
      <w:r w:rsidRPr="000A1C8E">
        <w:rPr>
          <w:rFonts w:ascii="Tahoma" w:hAnsi="Tahoma" w:cs="Tahoma"/>
          <w:sz w:val="18"/>
          <w:szCs w:val="18"/>
        </w:rPr>
        <w:t>Disponibilidade de novos aplicativos de software e produtos oferecidos por meio do Licenciamento por Volume da Microsoft</w:t>
      </w:r>
    </w:p>
    <w:p w:rsidR="00023FE7" w:rsidRPr="000A1C8E" w:rsidRDefault="00023FE7" w:rsidP="00024C3C">
      <w:pPr>
        <w:pStyle w:val="BulletedList"/>
        <w:numPr>
          <w:ilvl w:val="0"/>
          <w:numId w:val="16"/>
        </w:numPr>
        <w:ind w:right="720"/>
        <w:rPr>
          <w:rFonts w:ascii="Tahoma" w:hAnsi="Tahoma" w:cs="Tahoma"/>
        </w:rPr>
      </w:pPr>
      <w:r w:rsidRPr="000A1C8E">
        <w:rPr>
          <w:rFonts w:ascii="Tahoma" w:hAnsi="Tahoma" w:cs="Tahoma"/>
          <w:sz w:val="18"/>
          <w:szCs w:val="18"/>
        </w:rPr>
        <w:t>Descontinuação da disponibilidade de novos aplicativos de software e produtos oferecidos por meio do Licenciamento por Volume da Microsoft</w:t>
      </w:r>
    </w:p>
    <w:p w:rsidR="00023FE7" w:rsidRPr="000A1C8E" w:rsidRDefault="00023FE7" w:rsidP="00024C3C">
      <w:pPr>
        <w:pStyle w:val="BulletedList"/>
        <w:numPr>
          <w:ilvl w:val="0"/>
          <w:numId w:val="16"/>
        </w:numPr>
        <w:ind w:right="720"/>
        <w:rPr>
          <w:rFonts w:ascii="Tahoma" w:hAnsi="Tahoma" w:cs="Tahoma"/>
        </w:rPr>
      </w:pPr>
      <w:r w:rsidRPr="000A1C8E">
        <w:rPr>
          <w:rFonts w:ascii="Tahoma" w:hAnsi="Tahoma" w:cs="Tahoma"/>
          <w:sz w:val="18"/>
          <w:szCs w:val="18"/>
        </w:rPr>
        <w:t xml:space="preserve">Designação de software e produtos referente ao pool de produtos do Licenciamento por Volume da Microsoft </w:t>
      </w:r>
    </w:p>
    <w:p w:rsidR="00023FE7" w:rsidRPr="000A1C8E" w:rsidRDefault="00023FE7" w:rsidP="00024C3C">
      <w:pPr>
        <w:pStyle w:val="BulletedList"/>
        <w:numPr>
          <w:ilvl w:val="0"/>
          <w:numId w:val="16"/>
        </w:numPr>
        <w:ind w:right="720"/>
        <w:rPr>
          <w:rFonts w:ascii="Tahoma" w:hAnsi="Tahoma" w:cs="Tahoma"/>
        </w:rPr>
      </w:pPr>
      <w:r w:rsidRPr="000A1C8E">
        <w:rPr>
          <w:rFonts w:ascii="Tahoma" w:hAnsi="Tahoma" w:cs="Tahoma"/>
          <w:sz w:val="18"/>
          <w:szCs w:val="18"/>
        </w:rPr>
        <w:t>O valor em pontos de cada tecnologia de software e produto</w:t>
      </w:r>
    </w:p>
    <w:p w:rsidR="00023FE7" w:rsidRPr="000A1C8E" w:rsidRDefault="00023FE7" w:rsidP="00024C3C">
      <w:pPr>
        <w:pStyle w:val="BulletedList"/>
        <w:numPr>
          <w:ilvl w:val="0"/>
          <w:numId w:val="16"/>
        </w:numPr>
        <w:ind w:right="720"/>
        <w:rPr>
          <w:rFonts w:ascii="Tahoma" w:hAnsi="Tahoma" w:cs="Tahoma"/>
        </w:rPr>
      </w:pPr>
      <w:r w:rsidRPr="000A1C8E">
        <w:rPr>
          <w:rFonts w:ascii="Tahoma" w:hAnsi="Tahoma" w:cs="Tahoma"/>
          <w:sz w:val="18"/>
          <w:szCs w:val="18"/>
        </w:rPr>
        <w:t>Promoções disponíveis</w:t>
      </w:r>
    </w:p>
    <w:p w:rsidR="00023FE7" w:rsidRPr="000A1C8E" w:rsidRDefault="00023FE7" w:rsidP="00024C3C">
      <w:pPr>
        <w:pStyle w:val="BulletedList"/>
        <w:numPr>
          <w:ilvl w:val="0"/>
          <w:numId w:val="16"/>
        </w:numPr>
        <w:ind w:right="720"/>
        <w:rPr>
          <w:rFonts w:ascii="Tahoma" w:hAnsi="Tahoma" w:cs="Tahoma"/>
        </w:rPr>
      </w:pPr>
      <w:r w:rsidRPr="000A1C8E">
        <w:rPr>
          <w:rFonts w:ascii="Tahoma" w:hAnsi="Tahoma" w:cs="Tahoma"/>
          <w:sz w:val="18"/>
          <w:szCs w:val="18"/>
        </w:rPr>
        <w:t>Caminhos de migração de uma versão de software para outra versão do mesmo software</w:t>
      </w:r>
    </w:p>
    <w:p w:rsidR="00023FE7" w:rsidRPr="000A1C8E" w:rsidRDefault="00023FE7" w:rsidP="00024C3C">
      <w:pPr>
        <w:pStyle w:val="BulletedList"/>
        <w:numPr>
          <w:ilvl w:val="0"/>
          <w:numId w:val="16"/>
        </w:numPr>
        <w:ind w:right="720"/>
        <w:rPr>
          <w:rFonts w:ascii="Tahoma" w:hAnsi="Tahoma" w:cs="Tahoma"/>
        </w:rPr>
      </w:pPr>
      <w:r w:rsidRPr="000A1C8E">
        <w:rPr>
          <w:rFonts w:ascii="Tahoma" w:hAnsi="Tahoma" w:cs="Tahoma"/>
          <w:sz w:val="18"/>
          <w:szCs w:val="18"/>
        </w:rPr>
        <w:t>Caminhos de migração de software descontinuado para novas versões de software</w:t>
      </w:r>
    </w:p>
    <w:p w:rsidR="00023FE7" w:rsidRPr="000A1C8E" w:rsidRDefault="00023FE7" w:rsidP="00024C3C">
      <w:pPr>
        <w:pStyle w:val="BulletedList"/>
        <w:numPr>
          <w:ilvl w:val="0"/>
          <w:numId w:val="16"/>
        </w:numPr>
        <w:ind w:right="720"/>
        <w:rPr>
          <w:rFonts w:ascii="Tahoma" w:hAnsi="Tahoma" w:cs="Tahoma"/>
        </w:rPr>
      </w:pPr>
      <w:r w:rsidRPr="000A1C8E">
        <w:rPr>
          <w:rFonts w:ascii="Tahoma" w:hAnsi="Tahoma" w:cs="Tahoma"/>
          <w:sz w:val="18"/>
          <w:szCs w:val="18"/>
        </w:rPr>
        <w:t>Benefícios do Software Assurance</w:t>
      </w:r>
    </w:p>
    <w:p w:rsidR="00023FE7" w:rsidRPr="000A1C8E" w:rsidRDefault="00023FE7" w:rsidP="00024C3C">
      <w:pPr>
        <w:pStyle w:val="BulletedList"/>
        <w:numPr>
          <w:ilvl w:val="0"/>
          <w:numId w:val="16"/>
        </w:numPr>
        <w:ind w:right="720"/>
        <w:rPr>
          <w:rFonts w:ascii="Tahoma" w:hAnsi="Tahoma" w:cs="Tahoma"/>
        </w:rPr>
      </w:pPr>
      <w:r w:rsidRPr="000A1C8E">
        <w:rPr>
          <w:rFonts w:ascii="Tahoma" w:hAnsi="Tahoma" w:cs="Tahoma"/>
          <w:sz w:val="18"/>
          <w:szCs w:val="18"/>
        </w:rPr>
        <w:t>Outras Notas e informações específicas a software e produtos determinados</w:t>
      </w:r>
    </w:p>
    <w:p w:rsidR="00023FE7" w:rsidRPr="000A1C8E" w:rsidRDefault="00023FE7">
      <w:pPr>
        <w:ind w:right="720"/>
        <w:rPr>
          <w:rFonts w:cs="Tahoma"/>
        </w:rPr>
      </w:pPr>
    </w:p>
    <w:p w:rsidR="00023FE7" w:rsidRPr="000A1C8E" w:rsidRDefault="00023FE7">
      <w:pPr>
        <w:ind w:right="720"/>
        <w:rPr>
          <w:rFonts w:cs="Tahoma"/>
        </w:rPr>
      </w:pPr>
    </w:p>
    <w:p w:rsidR="00023FE7" w:rsidRPr="000A1C8E" w:rsidRDefault="00023FE7" w:rsidP="0033459E">
      <w:pPr>
        <w:pStyle w:val="Heading1"/>
        <w:rPr>
          <w:rFonts w:cs="Tahoma"/>
        </w:rPr>
      </w:pPr>
      <w:bookmarkStart w:id="4" w:name="_Toc336337839"/>
      <w:bookmarkStart w:id="5" w:name="_Toc361828943"/>
      <w:r w:rsidRPr="000A1C8E">
        <w:rPr>
          <w:rFonts w:cs="Tahoma"/>
        </w:rPr>
        <w:t>como usar a lista de Produtos da Microsoft</w:t>
      </w:r>
      <w:bookmarkEnd w:id="4"/>
      <w:bookmarkEnd w:id="5"/>
    </w:p>
    <w:p w:rsidR="00023FE7" w:rsidRPr="000A1C8E" w:rsidRDefault="00023FE7">
      <w:pPr>
        <w:pStyle w:val="Body"/>
        <w:ind w:right="-1890"/>
        <w:rPr>
          <w:rFonts w:ascii="Tahoma" w:hAnsi="Tahoma" w:cs="Tahoma"/>
        </w:rPr>
      </w:pPr>
    </w:p>
    <w:p w:rsidR="00023FE7" w:rsidRPr="000A1C8E" w:rsidRDefault="00023FE7" w:rsidP="00A76328">
      <w:pPr>
        <w:pStyle w:val="Body"/>
        <w:rPr>
          <w:rFonts w:ascii="Tahoma" w:hAnsi="Tahoma" w:cs="Tahoma"/>
        </w:rPr>
      </w:pPr>
      <w:r w:rsidRPr="000A1C8E">
        <w:rPr>
          <w:rFonts w:ascii="Tahoma" w:hAnsi="Tahoma" w:cs="Tahoma"/>
          <w:b/>
        </w:rPr>
        <w:t>Procure se familiarizar com a Legenda da Tabela que se segue às etapas indicadas abaixo.</w:t>
      </w:r>
    </w:p>
    <w:p w:rsidR="00023FE7" w:rsidRPr="000A1C8E" w:rsidRDefault="00023FE7">
      <w:pPr>
        <w:pStyle w:val="Body"/>
        <w:ind w:right="-1890"/>
        <w:rPr>
          <w:rFonts w:ascii="Tahoma" w:hAnsi="Tahoma" w:cs="Tahoma"/>
        </w:rPr>
      </w:pPr>
    </w:p>
    <w:p w:rsidR="00023FE7" w:rsidRPr="000A1C8E" w:rsidRDefault="00023FE7">
      <w:pPr>
        <w:pStyle w:val="Body"/>
        <w:ind w:right="-1890"/>
        <w:rPr>
          <w:rFonts w:ascii="Tahoma" w:hAnsi="Tahoma" w:cs="Tahoma"/>
        </w:rPr>
      </w:pPr>
      <w:r w:rsidRPr="000A1C8E">
        <w:rPr>
          <w:rStyle w:val="BodyChar"/>
          <w:rFonts w:ascii="Tahoma" w:hAnsi="Tahoma" w:cs="Tahoma"/>
          <w:b/>
          <w:sz w:val="18"/>
          <w:szCs w:val="18"/>
        </w:rPr>
        <w:t>Etapa 1:</w:t>
      </w:r>
      <w:r w:rsidR="00DC6D8B" w:rsidRPr="000A1C8E">
        <w:rPr>
          <w:rStyle w:val="BodyChar"/>
          <w:rFonts w:ascii="Tahoma" w:hAnsi="Tahoma" w:cs="Tahoma"/>
          <w:b/>
          <w:sz w:val="18"/>
          <w:szCs w:val="18"/>
        </w:rPr>
        <w:t xml:space="preserve"> </w:t>
      </w:r>
      <w:r w:rsidRPr="000A1C8E">
        <w:rPr>
          <w:rFonts w:ascii="Tahoma" w:hAnsi="Tahoma" w:cs="Tahoma"/>
          <w:sz w:val="18"/>
          <w:szCs w:val="18"/>
        </w:rPr>
        <w:t xml:space="preserve">Encontre na tabela o software que você está cogitando adquirir. </w:t>
      </w:r>
    </w:p>
    <w:p w:rsidR="00023FE7" w:rsidRPr="000A1C8E" w:rsidRDefault="00023FE7">
      <w:pPr>
        <w:pStyle w:val="Body"/>
        <w:ind w:right="-1890"/>
        <w:rPr>
          <w:rFonts w:ascii="Tahoma" w:hAnsi="Tahoma" w:cs="Tahoma"/>
        </w:rPr>
      </w:pPr>
    </w:p>
    <w:p w:rsidR="00023FE7" w:rsidRPr="000A1C8E" w:rsidRDefault="005761A6" w:rsidP="0013361B">
      <w:pPr>
        <w:pStyle w:val="NumberedSteps"/>
        <w:ind w:left="-180" w:right="720"/>
        <w:rPr>
          <w:rFonts w:ascii="Tahoma" w:hAnsi="Tahoma" w:cs="Tahoma"/>
        </w:rPr>
      </w:pPr>
      <w:r>
        <w:rPr>
          <w:noProof/>
        </w:rPr>
        <mc:AlternateContent>
          <mc:Choice Requires="wps">
            <w:drawing>
              <wp:anchor distT="0" distB="0" distL="114300" distR="114300" simplePos="0" relativeHeight="251664896" behindDoc="0" locked="0" layoutInCell="1" allowOverlap="1">
                <wp:simplePos x="0" y="0"/>
                <wp:positionH relativeFrom="column">
                  <wp:posOffset>-201930</wp:posOffset>
                </wp:positionH>
                <wp:positionV relativeFrom="paragraph">
                  <wp:posOffset>2823210</wp:posOffset>
                </wp:positionV>
                <wp:extent cx="1849755" cy="254635"/>
                <wp:effectExtent l="26670" t="23495" r="19050" b="26670"/>
                <wp:wrapNone/>
                <wp:docPr id="14"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9755" cy="25463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FD02B44" id="Oval 7" o:spid="_x0000_s1026" style="position:absolute;margin-left:-15.9pt;margin-top:222.3pt;width:145.65pt;height:20.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" filled="f" strokecolor="red" strokeweight="3pt">
                <v:textbox inset="5.85pt,.7pt,5.85pt,.7pt"/>
              </v:oval>
            </w:pict>
          </mc:Fallback>
        </mc:AlternateContent>
      </w:r>
      <w:r w:rsidR="00B156DC">
        <w:rPr>
          <w:noProof/>
        </w:rPr>
        <w:drawing>
          <wp:inline distT="0" distB="0" distL="0" distR="0" wp14:anchorId="644275A1" wp14:editId="64A784C4">
            <wp:extent cx="5934456" cy="35478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7887" t="22282" r="9091" b="11586"/>
                    <a:stretch/>
                  </pic:blipFill>
                  <pic:spPr bwMode="auto">
                    <a:xfrm>
                      <a:off x="0" y="0"/>
                      <a:ext cx="5934456" cy="354787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0A1C8E" w:rsidRDefault="00023FE7">
      <w:pPr>
        <w:pStyle w:val="NumberedSteps"/>
        <w:ind w:right="720"/>
        <w:rPr>
          <w:rFonts w:ascii="Tahoma" w:hAnsi="Tahoma" w:cs="Tahoma"/>
        </w:rPr>
      </w:pPr>
      <w:r w:rsidRPr="000A1C8E">
        <w:rPr>
          <w:rStyle w:val="BodyChar"/>
          <w:rFonts w:ascii="Tahoma" w:hAnsi="Tahoma" w:cs="Tahoma"/>
          <w:b/>
          <w:sz w:val="18"/>
          <w:szCs w:val="18"/>
        </w:rPr>
        <w:lastRenderedPageBreak/>
        <w:t>Etapa 2:</w:t>
      </w:r>
      <w:r w:rsidR="00DC6D8B" w:rsidRPr="000A1C8E">
        <w:rPr>
          <w:rFonts w:ascii="Tahoma" w:hAnsi="Tahoma" w:cs="Tahoma"/>
          <w:sz w:val="18"/>
          <w:szCs w:val="18"/>
        </w:rPr>
        <w:t xml:space="preserve"> </w:t>
      </w:r>
      <w:r w:rsidR="000A4789" w:rsidRPr="000A1C8E">
        <w:rPr>
          <w:rFonts w:ascii="Tahoma" w:hAnsi="Tahoma" w:cs="Tahoma"/>
          <w:sz w:val="18"/>
          <w:szCs w:val="18"/>
        </w:rPr>
        <w:t>A</w:t>
      </w:r>
      <w:r w:rsidRPr="000A1C8E">
        <w:rPr>
          <w:rFonts w:ascii="Tahoma" w:hAnsi="Tahoma" w:cs="Tahoma"/>
          <w:sz w:val="18"/>
          <w:szCs w:val="18"/>
        </w:rPr>
        <w:t>nalise se as informações nas colunas relacionadas a promoções disponíveis, benefícios do Software Assurance, contagem de pontos, disponibilidade de programas etc.</w:t>
      </w:r>
    </w:p>
    <w:p w:rsidR="00023FE7" w:rsidRPr="000A1C8E" w:rsidRDefault="00023FE7" w:rsidP="000E5145">
      <w:pPr>
        <w:pStyle w:val="NumberedSteps"/>
        <w:ind w:right="720"/>
        <w:rPr>
          <w:rFonts w:ascii="Tahoma" w:hAnsi="Tahoma" w:cs="Tahoma"/>
        </w:rPr>
      </w:pPr>
      <w:r w:rsidRPr="000A1C8E">
        <w:rPr>
          <w:rStyle w:val="BodyChar"/>
          <w:rFonts w:ascii="Tahoma" w:hAnsi="Tahoma" w:cs="Tahoma"/>
          <w:b/>
          <w:sz w:val="18"/>
          <w:szCs w:val="18"/>
        </w:rPr>
        <w:t>Etapa 3:</w:t>
      </w:r>
      <w:r w:rsidR="00DC6D8B" w:rsidRPr="000A1C8E">
        <w:rPr>
          <w:rFonts w:ascii="Tahoma" w:hAnsi="Tahoma" w:cs="Tahoma"/>
          <w:sz w:val="18"/>
          <w:szCs w:val="18"/>
        </w:rPr>
        <w:t xml:space="preserve"> </w:t>
      </w:r>
      <w:r w:rsidR="000A4789" w:rsidRPr="000A1C8E">
        <w:rPr>
          <w:rFonts w:ascii="Tahoma" w:hAnsi="Tahoma" w:cs="Tahoma"/>
          <w:sz w:val="18"/>
          <w:szCs w:val="18"/>
        </w:rPr>
        <w:t>E</w:t>
      </w:r>
      <w:r w:rsidRPr="000A1C8E">
        <w:rPr>
          <w:rFonts w:ascii="Tahoma" w:hAnsi="Tahoma" w:cs="Tahoma"/>
          <w:sz w:val="18"/>
          <w:szCs w:val="18"/>
        </w:rPr>
        <w:t>m alguns itens de software, também haverá uma nota de rodapé referente a informações adicionais. Se aplicável, “clique” (Ctrl + clique) no número da nota de rodapé, que o</w:t>
      </w:r>
      <w:r w:rsidR="000A4789" w:rsidRPr="000A1C8E">
        <w:rPr>
          <w:rFonts w:ascii="Tahoma" w:hAnsi="Tahoma" w:cs="Tahoma"/>
          <w:sz w:val="18"/>
          <w:szCs w:val="18"/>
        </w:rPr>
        <w:t> </w:t>
      </w:r>
      <w:r w:rsidRPr="000A1C8E">
        <w:rPr>
          <w:rFonts w:ascii="Tahoma" w:hAnsi="Tahoma" w:cs="Tahoma"/>
          <w:sz w:val="18"/>
          <w:szCs w:val="18"/>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rsidR="000E5145" w:rsidRPr="000A1C8E" w:rsidRDefault="000E5145" w:rsidP="000E5145">
      <w:pPr>
        <w:pStyle w:val="NumberedSteps"/>
        <w:ind w:right="720"/>
        <w:rPr>
          <w:rFonts w:ascii="Tahoma" w:hAnsi="Tahoma" w:cs="Tahoma"/>
        </w:rPr>
      </w:pPr>
    </w:p>
    <w:p w:rsidR="00023FE7" w:rsidRPr="000A1C8E" w:rsidRDefault="005761A6">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6944" behindDoc="0" locked="0" layoutInCell="1" allowOverlap="1">
                <wp:simplePos x="0" y="0"/>
                <wp:positionH relativeFrom="column">
                  <wp:posOffset>428625</wp:posOffset>
                </wp:positionH>
                <wp:positionV relativeFrom="paragraph">
                  <wp:posOffset>3069590</wp:posOffset>
                </wp:positionV>
                <wp:extent cx="836930" cy="254635"/>
                <wp:effectExtent l="19050" t="24130" r="20320" b="26035"/>
                <wp:wrapNone/>
                <wp:docPr id="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6930" cy="25463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856EB9" id="Oval 9" o:spid="_x0000_s1026" style="position:absolute;margin-left:33.75pt;margin-top:241.7pt;width:65.9pt;height:20.0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" filled="f" strokecolor="red" strokeweight="3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2108835</wp:posOffset>
                </wp:positionH>
                <wp:positionV relativeFrom="paragraph">
                  <wp:posOffset>3069590</wp:posOffset>
                </wp:positionV>
                <wp:extent cx="304800" cy="254635"/>
                <wp:effectExtent l="22860" t="24130" r="24765" b="26035"/>
                <wp:wrapNone/>
                <wp:docPr id="7"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5463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AAA7C78" id="Oval 8" o:spid="_x0000_s1026" style="position:absolute;margin-left:166.05pt;margin-top:241.7pt;width:24pt;height:20.0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" filled="f" strokecolor="red" strokeweight="3pt">
                <v:textbox inset="5.85pt,.7pt,5.85pt,.7pt"/>
              </v:oval>
            </w:pict>
          </mc:Fallback>
        </mc:AlternateContent>
      </w:r>
      <w:r w:rsidR="00B156DC">
        <w:rPr>
          <w:noProof/>
        </w:rPr>
        <w:drawing>
          <wp:inline distT="0" distB="0" distL="0" distR="0" wp14:anchorId="64E26FD9" wp14:editId="5DE9BB43">
            <wp:extent cx="2421675" cy="397601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7887" t="22282" r="62032" b="11586"/>
                    <a:stretch/>
                  </pic:blipFill>
                  <pic:spPr bwMode="auto">
                    <a:xfrm>
                      <a:off x="0" y="0"/>
                      <a:ext cx="2421027" cy="39749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0A1C8E" w:rsidRDefault="0013361B">
      <w:pPr>
        <w:pStyle w:val="NumberedSteps"/>
        <w:tabs>
          <w:tab w:val="left" w:pos="9360"/>
        </w:tabs>
        <w:ind w:right="720"/>
        <w:rPr>
          <w:rFonts w:ascii="Tahoma" w:hAnsi="Tahoma" w:cs="Tahoma"/>
        </w:rPr>
      </w:pPr>
    </w:p>
    <w:p w:rsidR="00023FE7" w:rsidRPr="000A1C8E" w:rsidRDefault="000140EF">
      <w:pPr>
        <w:pStyle w:val="NumberedSteps"/>
        <w:ind w:right="720"/>
        <w:rPr>
          <w:rFonts w:ascii="Tahoma" w:hAnsi="Tahoma" w:cs="Tahoma"/>
        </w:rPr>
      </w:pPr>
      <w:r w:rsidRPr="000140EF">
        <w:rPr>
          <w:noProof/>
          <w:bdr w:val="single" w:sz="4" w:space="0" w:color="auto"/>
        </w:rPr>
        <w:drawing>
          <wp:inline distT="0" distB="0" distL="0" distR="0" wp14:anchorId="157B7861" wp14:editId="3CC5DA69">
            <wp:extent cx="5334000" cy="110323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508" t="41533" r="10695" b="38146"/>
                    <a:stretch/>
                  </pic:blipFill>
                  <pic:spPr bwMode="auto">
                    <a:xfrm>
                      <a:off x="0" y="0"/>
                      <a:ext cx="5335515" cy="110355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0A1C8E" w:rsidRDefault="0013361B">
      <w:pPr>
        <w:pStyle w:val="NumberedSteps"/>
        <w:ind w:right="720"/>
        <w:rPr>
          <w:rFonts w:ascii="Tahoma" w:hAnsi="Tahoma" w:cs="Tahoma"/>
        </w:rPr>
      </w:pPr>
    </w:p>
    <w:p w:rsidR="00023FE7" w:rsidRPr="000A1C8E" w:rsidRDefault="00023FE7">
      <w:pPr>
        <w:pStyle w:val="NumberedSteps"/>
        <w:ind w:right="720"/>
        <w:rPr>
          <w:rFonts w:ascii="Tahoma" w:hAnsi="Tahoma" w:cs="Tahoma"/>
        </w:rPr>
      </w:pPr>
      <w:r w:rsidRPr="000A1C8E">
        <w:rPr>
          <w:rStyle w:val="BodyChar"/>
          <w:rFonts w:ascii="Tahoma" w:hAnsi="Tahoma" w:cs="Tahoma"/>
          <w:b/>
          <w:sz w:val="18"/>
          <w:szCs w:val="18"/>
        </w:rPr>
        <w:t>Etapa 4:</w:t>
      </w:r>
      <w:r w:rsidR="00DC6D8B" w:rsidRPr="000A1C8E">
        <w:rPr>
          <w:rStyle w:val="BodyChar"/>
          <w:rFonts w:ascii="Tahoma" w:hAnsi="Tahoma" w:cs="Tahoma"/>
          <w:b/>
          <w:sz w:val="18"/>
          <w:szCs w:val="18"/>
        </w:rPr>
        <w:t xml:space="preserve"> </w:t>
      </w:r>
      <w:r w:rsidRPr="000A1C8E">
        <w:rPr>
          <w:rFonts w:ascii="Tahoma" w:hAnsi="Tahoma" w:cs="Tahoma"/>
          <w:sz w:val="18"/>
          <w:szCs w:val="18"/>
        </w:rPr>
        <w:t>Para obter mais informações sobre os benefícios do Software Assurance e a aquisição e</w:t>
      </w:r>
      <w:r w:rsidR="000A4789" w:rsidRPr="000A1C8E">
        <w:rPr>
          <w:rFonts w:ascii="Tahoma" w:hAnsi="Tahoma" w:cs="Tahoma"/>
          <w:sz w:val="18"/>
          <w:szCs w:val="18"/>
        </w:rPr>
        <w:t> </w:t>
      </w:r>
      <w:r w:rsidRPr="000A1C8E">
        <w:rPr>
          <w:rFonts w:ascii="Tahoma" w:hAnsi="Tahoma" w:cs="Tahoma"/>
          <w:sz w:val="18"/>
          <w:szCs w:val="18"/>
        </w:rPr>
        <w:t>renovação do Software Assurance, consulte os Apêndices 5 e 6.</w:t>
      </w:r>
    </w:p>
    <w:p w:rsidR="000140EF" w:rsidRDefault="000140EF">
      <w:pPr>
        <w:pStyle w:val="Body"/>
        <w:ind w:right="720"/>
        <w:rPr>
          <w:rFonts w:ascii="Tahoma" w:hAnsi="Tahoma" w:cs="Tahoma"/>
          <w:b/>
          <w:sz w:val="18"/>
          <w:szCs w:val="18"/>
        </w:rPr>
      </w:pPr>
    </w:p>
    <w:p w:rsidR="00023FE7" w:rsidRPr="000A1C8E" w:rsidRDefault="00023FE7">
      <w:pPr>
        <w:pStyle w:val="Body"/>
        <w:ind w:right="720"/>
        <w:rPr>
          <w:rFonts w:ascii="Tahoma" w:hAnsi="Tahoma" w:cs="Tahoma"/>
        </w:rPr>
      </w:pPr>
      <w:r w:rsidRPr="000A1C8E">
        <w:rPr>
          <w:rFonts w:ascii="Tahoma" w:hAnsi="Tahoma" w:cs="Tahoma"/>
          <w:b/>
          <w:sz w:val="18"/>
          <w:szCs w:val="18"/>
        </w:rPr>
        <w:lastRenderedPageBreak/>
        <w:t>Observação:</w:t>
      </w:r>
      <w:r w:rsidR="00DC6D8B" w:rsidRPr="000A1C8E">
        <w:rPr>
          <w:rFonts w:ascii="Tahoma" w:hAnsi="Tahoma" w:cs="Tahoma"/>
          <w:sz w:val="18"/>
          <w:szCs w:val="18"/>
        </w:rPr>
        <w:t xml:space="preserve"> </w:t>
      </w:r>
      <w:r w:rsidRPr="000A1C8E">
        <w:rPr>
          <w:rFonts w:ascii="Tahoma" w:hAnsi="Tahoma" w:cs="Tahoma"/>
          <w:sz w:val="18"/>
          <w:szCs w:val="18"/>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w:t>
      </w:r>
      <w:r w:rsidR="000A4789" w:rsidRPr="000A1C8E">
        <w:rPr>
          <w:rFonts w:ascii="Tahoma" w:hAnsi="Tahoma" w:cs="Tahoma"/>
          <w:sz w:val="18"/>
          <w:szCs w:val="18"/>
        </w:rPr>
        <w:t> </w:t>
      </w:r>
      <w:r w:rsidRPr="000A1C8E">
        <w:rPr>
          <w:rFonts w:ascii="Tahoma" w:hAnsi="Tahoma" w:cs="Tahoma"/>
          <w:sz w:val="18"/>
          <w:szCs w:val="18"/>
        </w:rPr>
        <w:t>Microsoft. A disponibilidade dos itens de software pode variar de acordo com a região. Os</w:t>
      </w:r>
      <w:r w:rsidR="000A4789" w:rsidRPr="000A1C8E">
        <w:rPr>
          <w:rFonts w:ascii="Tahoma" w:hAnsi="Tahoma" w:cs="Tahoma"/>
          <w:sz w:val="18"/>
          <w:szCs w:val="18"/>
        </w:rPr>
        <w:t> </w:t>
      </w:r>
      <w:r w:rsidRPr="000A1C8E">
        <w:rPr>
          <w:rFonts w:ascii="Tahoma" w:hAnsi="Tahoma" w:cs="Tahoma"/>
          <w:sz w:val="18"/>
          <w:szCs w:val="18"/>
        </w:rPr>
        <w:t>clientes devem entrar em contato com o revendedor ou o Gerente de Conta Microsoft para obter informações sobre a disponibilidade regional de um item de software específico.</w:t>
      </w:r>
    </w:p>
    <w:p w:rsidR="00023FE7" w:rsidRPr="000A1C8E" w:rsidRDefault="00023FE7">
      <w:pPr>
        <w:pStyle w:val="Body"/>
        <w:ind w:right="720"/>
        <w:rPr>
          <w:rFonts w:ascii="Tahoma" w:hAnsi="Tahoma" w:cs="Tahoma"/>
        </w:rPr>
      </w:pPr>
    </w:p>
    <w:p w:rsidR="00023FE7" w:rsidRPr="000A1C8E" w:rsidRDefault="00023FE7">
      <w:pPr>
        <w:pStyle w:val="Body"/>
        <w:ind w:right="720"/>
        <w:rPr>
          <w:rFonts w:ascii="Tahoma" w:hAnsi="Tahoma" w:cs="Tahoma"/>
          <w:sz w:val="18"/>
          <w:szCs w:val="18"/>
        </w:rPr>
      </w:pPr>
      <w:r w:rsidRPr="000A1C8E">
        <w:rPr>
          <w:rFonts w:ascii="Tahoma" w:hAnsi="Tahoma" w:cs="Tahoma"/>
          <w:sz w:val="18"/>
          <w:szCs w:val="18"/>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0A4789" w:rsidRPr="000A1C8E">
        <w:rPr>
          <w:rFonts w:ascii="Tahoma" w:hAnsi="Tahoma" w:cs="Tahoma"/>
          <w:sz w:val="18"/>
          <w:szCs w:val="18"/>
        </w:rPr>
        <w:t> </w:t>
      </w:r>
      <w:r w:rsidRPr="000A1C8E">
        <w:rPr>
          <w:rFonts w:ascii="Tahoma" w:hAnsi="Tahoma" w:cs="Tahoma"/>
          <w:sz w:val="18"/>
          <w:szCs w:val="18"/>
        </w:rPr>
        <w:t>encontra no site:</w:t>
      </w:r>
      <w:r w:rsidR="00DC6D8B" w:rsidRPr="000A1C8E">
        <w:rPr>
          <w:rFonts w:ascii="Tahoma" w:hAnsi="Tahoma" w:cs="Tahoma"/>
          <w:sz w:val="18"/>
          <w:szCs w:val="18"/>
        </w:rPr>
        <w:t xml:space="preserve"> </w:t>
      </w:r>
      <w:r w:rsidRPr="000A1C8E">
        <w:rPr>
          <w:rFonts w:ascii="Tahoma" w:hAnsi="Tahoma" w:cs="Tahoma"/>
          <w:sz w:val="18"/>
          <w:szCs w:val="18"/>
        </w:rPr>
        <w:t>http://www.microsoftvolumelicensing.com/userights/Default.aspx</w:t>
      </w:r>
      <w:hyperlink w:history="1"/>
    </w:p>
    <w:p w:rsidR="00465757" w:rsidRPr="000A1C8E" w:rsidRDefault="00465757" w:rsidP="00465757">
      <w:pPr>
        <w:rPr>
          <w:rFonts w:cs="Tahoma"/>
          <w:szCs w:val="18"/>
        </w:rPr>
      </w:pPr>
    </w:p>
    <w:p w:rsidR="00465757" w:rsidRPr="000A1C8E" w:rsidRDefault="00465757" w:rsidP="00465757">
      <w:pPr>
        <w:rPr>
          <w:rFonts w:cs="Tahoma"/>
        </w:rPr>
      </w:pPr>
    </w:p>
    <w:p w:rsidR="0081625E" w:rsidRPr="007C5B54" w:rsidRDefault="00023FE7" w:rsidP="0081625E">
      <w:pPr>
        <w:pStyle w:val="TOC1"/>
      </w:pPr>
      <w:r w:rsidRPr="000A1C8E">
        <w:br w:type="page"/>
      </w:r>
      <w:r w:rsidR="003D47E7" w:rsidRPr="007C5B54">
        <w:fldChar w:fldCharType="begin"/>
      </w:r>
      <w:r w:rsidRPr="007C5B54">
        <w:instrText xml:space="preserve"> TOC \o "1-2" \t "Heading 3,3,Heading 4,4,Product Names,2" </w:instrText>
      </w:r>
      <w:r w:rsidR="003D47E7" w:rsidRPr="007C5B54">
        <w:fldChar w:fldCharType="separate"/>
      </w:r>
    </w:p>
    <w:p w:rsidR="0081625E" w:rsidRPr="007C5B54" w:rsidRDefault="0081625E" w:rsidP="0081625E">
      <w:pPr>
        <w:pStyle w:val="TOC1"/>
        <w:rPr>
          <w:rFonts w:eastAsiaTheme="minorEastAsia"/>
          <w:caps/>
          <w:szCs w:val="22"/>
        </w:rPr>
      </w:pPr>
      <w:r w:rsidRPr="007C5B54">
        <w:lastRenderedPageBreak/>
        <w:t>MICROSOFT</w:t>
      </w:r>
      <w:r w:rsidRPr="007C5B54">
        <w:rPr>
          <w:vertAlign w:val="superscript"/>
        </w:rPr>
        <w:t>®</w:t>
      </w:r>
      <w:r w:rsidRPr="007C5B54">
        <w:tab/>
      </w:r>
      <w:r w:rsidRPr="007C5B54">
        <w:fldChar w:fldCharType="begin"/>
      </w:r>
      <w:r w:rsidRPr="007C5B54">
        <w:instrText xml:space="preserve"> PAGEREF _Toc361828941 \h </w:instrText>
      </w:r>
      <w:r w:rsidRPr="007C5B54">
        <w:fldChar w:fldCharType="separate"/>
      </w:r>
      <w:r w:rsidR="008E4487">
        <w:t>1</w:t>
      </w:r>
      <w:r w:rsidRPr="007C5B54">
        <w:fldChar w:fldCharType="end"/>
      </w:r>
    </w:p>
    <w:p w:rsidR="0081625E" w:rsidRPr="007C5B54" w:rsidRDefault="0081625E" w:rsidP="0081625E">
      <w:pPr>
        <w:pStyle w:val="TOC1"/>
        <w:rPr>
          <w:rFonts w:asciiTheme="minorHAnsi" w:eastAsiaTheme="minorEastAsia" w:hAnsiTheme="minorHAnsi" w:cstheme="minorBidi"/>
          <w:caps/>
          <w:szCs w:val="22"/>
        </w:rPr>
      </w:pPr>
      <w:r w:rsidRPr="007C5B54">
        <w:t>SOBRE ESTE DOCUMENTO</w:t>
      </w:r>
      <w:r w:rsidRPr="007C5B54">
        <w:tab/>
      </w:r>
      <w:r w:rsidRPr="007C5B54">
        <w:fldChar w:fldCharType="begin"/>
      </w:r>
      <w:r w:rsidRPr="007C5B54">
        <w:instrText xml:space="preserve"> PAGEREF _Toc361828942 \h </w:instrText>
      </w:r>
      <w:r w:rsidRPr="007C5B54">
        <w:fldChar w:fldCharType="separate"/>
      </w:r>
      <w:r w:rsidR="008E4487">
        <w:t>2</w:t>
      </w:r>
      <w:r w:rsidRPr="007C5B54">
        <w:fldChar w:fldCharType="end"/>
      </w:r>
    </w:p>
    <w:p w:rsidR="0081625E" w:rsidRPr="007C5B54" w:rsidRDefault="00CB555E" w:rsidP="0081625E">
      <w:pPr>
        <w:pStyle w:val="TOC1"/>
        <w:rPr>
          <w:rFonts w:asciiTheme="minorHAnsi" w:eastAsiaTheme="minorEastAsia" w:hAnsiTheme="minorHAnsi" w:cstheme="minorBidi"/>
          <w:caps/>
          <w:szCs w:val="22"/>
        </w:rPr>
      </w:pPr>
      <w:r w:rsidRPr="007C5B54">
        <w:t>COMO USAR A LISTA DE PRODUTOS DA MICROSOFT</w:t>
      </w:r>
      <w:r w:rsidR="0081625E" w:rsidRPr="007C5B54">
        <w:tab/>
      </w:r>
      <w:r w:rsidR="0081625E" w:rsidRPr="007C5B54">
        <w:fldChar w:fldCharType="begin"/>
      </w:r>
      <w:r w:rsidR="0081625E" w:rsidRPr="007C5B54">
        <w:instrText xml:space="preserve"> PAGEREF _Toc361828943 \h </w:instrText>
      </w:r>
      <w:r w:rsidR="0081625E" w:rsidRPr="007C5B54">
        <w:fldChar w:fldCharType="separate"/>
      </w:r>
      <w:r w:rsidR="008E4487">
        <w:t>2</w:t>
      </w:r>
      <w:r w:rsidR="0081625E"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Legenda da Tabela</w:t>
      </w:r>
      <w:r w:rsidRPr="007C5B54">
        <w:tab/>
      </w:r>
      <w:r w:rsidRPr="007C5B54">
        <w:fldChar w:fldCharType="begin"/>
      </w:r>
      <w:r w:rsidRPr="007C5B54">
        <w:instrText xml:space="preserve"> PAGEREF _Toc361828944 \h </w:instrText>
      </w:r>
      <w:r w:rsidRPr="007C5B54">
        <w:fldChar w:fldCharType="separate"/>
      </w:r>
      <w:r w:rsidR="008E4487">
        <w:t>15</w:t>
      </w:r>
      <w:r w:rsidRPr="007C5B54">
        <w:fldChar w:fldCharType="end"/>
      </w:r>
    </w:p>
    <w:p w:rsidR="0081625E" w:rsidRPr="007C5B54" w:rsidRDefault="0081625E" w:rsidP="0081625E">
      <w:pPr>
        <w:pStyle w:val="TOC1"/>
        <w:rPr>
          <w:rFonts w:asciiTheme="minorHAnsi" w:eastAsiaTheme="minorEastAsia" w:hAnsiTheme="minorHAnsi" w:cstheme="minorBidi"/>
          <w:caps/>
          <w:szCs w:val="22"/>
        </w:rPr>
      </w:pPr>
      <w:r w:rsidRPr="007C5B54">
        <w:t>LISTA DE PRODUTOS</w:t>
      </w:r>
      <w:r w:rsidRPr="007C5B54">
        <w:tab/>
      </w:r>
      <w:r w:rsidRPr="007C5B54">
        <w:fldChar w:fldCharType="begin"/>
      </w:r>
      <w:r w:rsidRPr="007C5B54">
        <w:instrText xml:space="preserve"> PAGEREF _Toc361828945 \h </w:instrText>
      </w:r>
      <w:r w:rsidRPr="007C5B54">
        <w:fldChar w:fldCharType="separate"/>
      </w:r>
      <w:r w:rsidR="008E4487">
        <w:t>17</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POOL DE APLICATIVOS</w:t>
      </w:r>
      <w:r w:rsidRPr="007C5B54">
        <w:rPr>
          <w:color w:val="auto"/>
        </w:rPr>
        <w:tab/>
      </w:r>
      <w:r w:rsidRPr="007C5B54">
        <w:rPr>
          <w:color w:val="auto"/>
        </w:rPr>
        <w:fldChar w:fldCharType="begin"/>
      </w:r>
      <w:r w:rsidRPr="007C5B54">
        <w:rPr>
          <w:color w:val="auto"/>
        </w:rPr>
        <w:instrText xml:space="preserve"> PAGEREF _Toc361828946 \h </w:instrText>
      </w:r>
      <w:r w:rsidRPr="007C5B54">
        <w:rPr>
          <w:color w:val="auto"/>
        </w:rPr>
      </w:r>
      <w:r w:rsidRPr="007C5B54">
        <w:rPr>
          <w:color w:val="auto"/>
        </w:rPr>
        <w:fldChar w:fldCharType="separate"/>
      </w:r>
      <w:r w:rsidR="008E4487">
        <w:rPr>
          <w:color w:val="auto"/>
        </w:rPr>
        <w:t>17</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Access 2013</w:t>
      </w:r>
      <w:r w:rsidRPr="007C5B54">
        <w:tab/>
      </w:r>
      <w:r w:rsidRPr="007C5B54">
        <w:fldChar w:fldCharType="begin"/>
      </w:r>
      <w:r w:rsidRPr="007C5B54">
        <w:instrText xml:space="preserve"> PAGEREF _Toc361828947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AutoRoute 2013</w:t>
      </w:r>
      <w:r w:rsidRPr="007C5B54">
        <w:tab/>
      </w:r>
      <w:r w:rsidRPr="007C5B54">
        <w:fldChar w:fldCharType="begin"/>
      </w:r>
      <w:r w:rsidRPr="007C5B54">
        <w:instrText xml:space="preserve"> PAGEREF _Toc361828948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Excel 2013</w:t>
      </w:r>
      <w:r w:rsidRPr="007C5B54">
        <w:tab/>
      </w:r>
      <w:r w:rsidRPr="007C5B54">
        <w:fldChar w:fldCharType="begin"/>
      </w:r>
      <w:r w:rsidRPr="007C5B54">
        <w:instrText xml:space="preserve"> PAGEREF _Toc361828949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Excel para Mac 2011</w:t>
      </w:r>
      <w:r w:rsidRPr="007C5B54">
        <w:tab/>
      </w:r>
      <w:r w:rsidRPr="007C5B54">
        <w:fldChar w:fldCharType="begin"/>
      </w:r>
      <w:r w:rsidRPr="007C5B54">
        <w:instrText xml:space="preserve"> PAGEREF _Toc361828950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Expression Encoder Pro 4</w:t>
      </w:r>
      <w:r w:rsidRPr="007C5B54">
        <w:tab/>
      </w:r>
      <w:r w:rsidRPr="007C5B54">
        <w:fldChar w:fldCharType="begin"/>
      </w:r>
      <w:r w:rsidRPr="007C5B54">
        <w:instrText xml:space="preserve"> PAGEREF _Toc361828951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InfoPath</w:t>
      </w:r>
      <w:r w:rsidRPr="007C5B54">
        <w:rPr>
          <w:rFonts w:cs="Tahoma"/>
          <w:vertAlign w:val="superscript"/>
        </w:rPr>
        <w:t>®</w:t>
      </w:r>
      <w:r w:rsidRPr="007C5B54">
        <w:rPr>
          <w:rFonts w:cs="Tahoma"/>
        </w:rPr>
        <w:t xml:space="preserve"> 2013</w:t>
      </w:r>
      <w:r w:rsidRPr="007C5B54">
        <w:tab/>
      </w:r>
      <w:r w:rsidRPr="007C5B54">
        <w:fldChar w:fldCharType="begin"/>
      </w:r>
      <w:r w:rsidRPr="007C5B54">
        <w:instrText xml:space="preserve"> PAGEREF _Toc361828952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Lync 2013</w:t>
      </w:r>
      <w:r w:rsidRPr="007C5B54">
        <w:tab/>
      </w:r>
      <w:r w:rsidRPr="007C5B54">
        <w:fldChar w:fldCharType="begin"/>
      </w:r>
      <w:r w:rsidRPr="007C5B54">
        <w:instrText xml:space="preserve"> PAGEREF _Toc361828953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Lync para Mac 2011</w:t>
      </w:r>
      <w:r w:rsidRPr="007C5B54">
        <w:tab/>
      </w:r>
      <w:r w:rsidRPr="007C5B54">
        <w:fldChar w:fldCharType="begin"/>
      </w:r>
      <w:r w:rsidRPr="007C5B54">
        <w:instrText xml:space="preserve"> PAGEREF _Toc361828954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MapPoint</w:t>
      </w:r>
      <w:r w:rsidRPr="007C5B54">
        <w:rPr>
          <w:rFonts w:cs="Tahoma"/>
          <w:vertAlign w:val="superscript"/>
        </w:rPr>
        <w:t>®</w:t>
      </w:r>
      <w:r w:rsidRPr="007C5B54">
        <w:rPr>
          <w:rFonts w:cs="Tahoma"/>
        </w:rPr>
        <w:t xml:space="preserve"> Fleet Edition 2013</w:t>
      </w:r>
      <w:r w:rsidRPr="007C5B54">
        <w:tab/>
      </w:r>
      <w:r w:rsidRPr="007C5B54">
        <w:fldChar w:fldCharType="begin"/>
      </w:r>
      <w:r w:rsidRPr="007C5B54">
        <w:instrText xml:space="preserve"> PAGEREF _Toc361828955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MapPoint</w:t>
      </w:r>
      <w:r w:rsidRPr="007C5B54">
        <w:rPr>
          <w:rFonts w:cs="Tahoma"/>
          <w:vertAlign w:val="superscript"/>
        </w:rPr>
        <w:t>®</w:t>
      </w:r>
      <w:r w:rsidRPr="007C5B54">
        <w:rPr>
          <w:rFonts w:cs="Tahoma"/>
        </w:rPr>
        <w:t xml:space="preserve"> 2013 para Windows</w:t>
      </w:r>
      <w:r w:rsidRPr="007C5B54">
        <w:tab/>
      </w:r>
      <w:r w:rsidRPr="007C5B54">
        <w:fldChar w:fldCharType="begin"/>
      </w:r>
      <w:r w:rsidRPr="007C5B54">
        <w:instrText xml:space="preserve"> PAGEREF _Toc361828956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MSDN Operating Systems</w:t>
      </w:r>
      <w:r w:rsidRPr="007C5B54">
        <w:tab/>
      </w:r>
      <w:r w:rsidRPr="007C5B54">
        <w:fldChar w:fldCharType="begin"/>
      </w:r>
      <w:r w:rsidRPr="007C5B54">
        <w:instrText xml:space="preserve"> PAGEREF _Toc361828957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Plataformas MSDN</w:t>
      </w:r>
      <w:r w:rsidRPr="007C5B54">
        <w:tab/>
      </w:r>
      <w:r w:rsidRPr="007C5B54">
        <w:fldChar w:fldCharType="begin"/>
      </w:r>
      <w:r w:rsidRPr="007C5B54">
        <w:instrText xml:space="preserve"> PAGEREF _Toc361828958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A2 (SL de Usuário)</w:t>
      </w:r>
      <w:r w:rsidRPr="007C5B54">
        <w:tab/>
      </w:r>
      <w:r w:rsidRPr="007C5B54">
        <w:fldChar w:fldCharType="begin"/>
      </w:r>
      <w:r w:rsidRPr="007C5B54">
        <w:instrText xml:space="preserve"> PAGEREF _Toc361828959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A3, A4 (SL de Usuário)</w:t>
      </w:r>
      <w:r w:rsidRPr="007C5B54">
        <w:tab/>
      </w:r>
      <w:r w:rsidRPr="007C5B54">
        <w:fldChar w:fldCharType="begin"/>
      </w:r>
      <w:r w:rsidRPr="007C5B54">
        <w:instrText xml:space="preserve"> PAGEREF _Toc361828960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Midsize Business (SL de Usuário)</w:t>
      </w:r>
      <w:r w:rsidRPr="007C5B54">
        <w:tab/>
      </w:r>
      <w:r w:rsidRPr="007C5B54">
        <w:fldChar w:fldCharType="begin"/>
      </w:r>
      <w:r w:rsidRPr="007C5B54">
        <w:instrText xml:space="preserve"> PAGEREF _Toc361828961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Office 365 Enterprise E3, E4 (SL de Usuário)</w:t>
      </w:r>
      <w:r w:rsidRPr="007C5B54">
        <w:tab/>
      </w:r>
      <w:r w:rsidRPr="007C5B54">
        <w:fldChar w:fldCharType="begin"/>
      </w:r>
      <w:r w:rsidRPr="007C5B54">
        <w:instrText xml:space="preserve"> PAGEREF _Toc361828962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Enterprise E2 - E4 (SL de Usuário)</w:t>
      </w:r>
      <w:r w:rsidRPr="007C5B54">
        <w:tab/>
      </w:r>
      <w:r w:rsidRPr="007C5B54">
        <w:fldChar w:fldCharType="begin"/>
      </w:r>
      <w:r w:rsidRPr="007C5B54">
        <w:instrText xml:space="preserve"> PAGEREF _Toc361828963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Office 365 Government G3, G4 (SL de Usuário)</w:t>
      </w:r>
      <w:r w:rsidRPr="007C5B54">
        <w:tab/>
      </w:r>
      <w:r w:rsidRPr="007C5B54">
        <w:fldChar w:fldCharType="begin"/>
      </w:r>
      <w:r w:rsidRPr="007C5B54">
        <w:instrText xml:space="preserve"> PAGEREF _Toc361828964 \h </w:instrText>
      </w:r>
      <w:r w:rsidRPr="007C5B54">
        <w:fldChar w:fldCharType="separate"/>
      </w:r>
      <w:r w:rsidR="008E4487">
        <w:t>17</w:t>
      </w:r>
      <w:r w:rsidRPr="007C5B54">
        <w:fldChar w:fldCharType="end"/>
      </w:r>
    </w:p>
    <w:p w:rsidR="0081625E" w:rsidRPr="007C5B54" w:rsidRDefault="0081625E" w:rsidP="009B6CEF">
      <w:pPr>
        <w:pStyle w:val="TOC2"/>
        <w:rPr>
          <w:rFonts w:asciiTheme="minorHAnsi" w:eastAsiaTheme="minorEastAsia" w:hAnsiTheme="minorHAnsi" w:cstheme="minorBidi"/>
          <w:sz w:val="22"/>
          <w:szCs w:val="22"/>
        </w:rPr>
      </w:pPr>
      <w:r w:rsidRPr="007C5B54">
        <w:rPr>
          <w:rFonts w:cs="Tahoma"/>
        </w:rPr>
        <w:t>Office 365 Government G2</w:t>
      </w:r>
      <w:r w:rsidR="009B6CEF">
        <w:rPr>
          <w:rFonts w:cs="Tahoma"/>
        </w:rPr>
        <w:t xml:space="preserve"> </w:t>
      </w:r>
      <w:r w:rsidR="009B6CEF" w:rsidRPr="007C5B54">
        <w:rPr>
          <w:rFonts w:cs="Tahoma"/>
        </w:rPr>
        <w:t>-</w:t>
      </w:r>
      <w:r w:rsidR="009B6CEF">
        <w:rPr>
          <w:rFonts w:cs="Tahoma"/>
        </w:rPr>
        <w:t xml:space="preserve"> </w:t>
      </w:r>
      <w:r w:rsidRPr="007C5B54">
        <w:rPr>
          <w:rFonts w:cs="Tahoma"/>
        </w:rPr>
        <w:t>G4 (SL de Usuário)</w:t>
      </w:r>
      <w:r w:rsidRPr="007C5B54">
        <w:tab/>
      </w:r>
      <w:r w:rsidRPr="007C5B54">
        <w:fldChar w:fldCharType="begin"/>
      </w:r>
      <w:r w:rsidRPr="007C5B54">
        <w:instrText xml:space="preserve"> PAGEREF _Toc361828965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Direitos de Uso Comercial do Office Home and Student RT 2013</w:t>
      </w:r>
      <w:r w:rsidRPr="007C5B54">
        <w:tab/>
      </w:r>
      <w:r w:rsidRPr="007C5B54">
        <w:fldChar w:fldCharType="begin"/>
      </w:r>
      <w:r w:rsidRPr="007C5B54">
        <w:instrText xml:space="preserve"> PAGEREF _Toc361828966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para Mac Standard 2011</w:t>
      </w:r>
      <w:r w:rsidRPr="007C5B54">
        <w:tab/>
      </w:r>
      <w:r w:rsidRPr="007C5B54">
        <w:fldChar w:fldCharType="begin"/>
      </w:r>
      <w:r w:rsidRPr="007C5B54">
        <w:instrText xml:space="preserve"> PAGEREF _Toc361828967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Pacote Multilíngue do Office 2013</w:t>
      </w:r>
      <w:r w:rsidRPr="007C5B54">
        <w:tab/>
      </w:r>
      <w:r w:rsidRPr="007C5B54">
        <w:fldChar w:fldCharType="begin"/>
      </w:r>
      <w:r w:rsidRPr="007C5B54">
        <w:instrText xml:space="preserve"> PAGEREF _Toc361828968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Professional Plus 2013</w:t>
      </w:r>
      <w:r w:rsidRPr="007C5B54">
        <w:tab/>
      </w:r>
      <w:r w:rsidRPr="007C5B54">
        <w:fldChar w:fldCharType="begin"/>
      </w:r>
      <w:r w:rsidRPr="007C5B54">
        <w:instrText xml:space="preserve"> PAGEREF _Toc361828969 \h </w:instrText>
      </w:r>
      <w:r w:rsidRPr="007C5B54">
        <w:fldChar w:fldCharType="separate"/>
      </w:r>
      <w:r w:rsidR="008E4487">
        <w:t>17</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Office Standard 2013</w:t>
      </w:r>
      <w:r w:rsidRPr="007C5B54">
        <w:rPr>
          <w:color w:val="auto"/>
        </w:rPr>
        <w:tab/>
      </w:r>
      <w:r w:rsidRPr="007C5B54">
        <w:rPr>
          <w:color w:val="auto"/>
        </w:rPr>
        <w:fldChar w:fldCharType="begin"/>
      </w:r>
      <w:r w:rsidRPr="007C5B54">
        <w:rPr>
          <w:color w:val="auto"/>
        </w:rPr>
        <w:instrText xml:space="preserve"> PAGEREF _Toc361828970 \h </w:instrText>
      </w:r>
      <w:r w:rsidRPr="007C5B54">
        <w:rPr>
          <w:color w:val="auto"/>
        </w:rPr>
      </w:r>
      <w:r w:rsidRPr="007C5B54">
        <w:rPr>
          <w:color w:val="auto"/>
        </w:rPr>
        <w:fldChar w:fldCharType="separate"/>
      </w:r>
      <w:r w:rsidR="008E4487">
        <w:rPr>
          <w:color w:val="auto"/>
        </w:rPr>
        <w:t>17</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ProPlus (SL de Usuário)</w:t>
      </w:r>
      <w:r w:rsidRPr="007C5B54">
        <w:tab/>
      </w:r>
      <w:r w:rsidRPr="007C5B54">
        <w:fldChar w:fldCharType="begin"/>
      </w:r>
      <w:r w:rsidRPr="007C5B54">
        <w:instrText xml:space="preserve"> PAGEREF _Toc361828971 \h </w:instrText>
      </w:r>
      <w:r w:rsidRPr="007C5B54">
        <w:fldChar w:fldCharType="separate"/>
      </w:r>
      <w:r w:rsidR="008E4487">
        <w:t>17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ProPlus SA Transition (SL de Usuário)</w:t>
      </w:r>
      <w:r w:rsidRPr="007C5B54">
        <w:tab/>
      </w:r>
      <w:r w:rsidRPr="007C5B54">
        <w:fldChar w:fldCharType="begin"/>
      </w:r>
      <w:r w:rsidRPr="007C5B54">
        <w:instrText xml:space="preserve"> PAGEREF _Toc361828972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Assinatura A do Office Professional Plus (SL de Usuário)</w:t>
      </w:r>
      <w:r w:rsidRPr="007C5B54">
        <w:tab/>
      </w:r>
      <w:r w:rsidRPr="007C5B54">
        <w:fldChar w:fldCharType="begin"/>
      </w:r>
      <w:r w:rsidRPr="007C5B54">
        <w:instrText xml:space="preserve"> PAGEREF _Toc361828973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OneNote</w:t>
      </w:r>
      <w:r w:rsidRPr="007C5B54">
        <w:rPr>
          <w:rFonts w:cs="Tahoma"/>
          <w:vertAlign w:val="superscript"/>
        </w:rPr>
        <w:t>®</w:t>
      </w:r>
      <w:r w:rsidRPr="007C5B54">
        <w:rPr>
          <w:rFonts w:cs="Tahoma"/>
        </w:rPr>
        <w:t xml:space="preserve"> 2013</w:t>
      </w:r>
      <w:r w:rsidRPr="007C5B54">
        <w:tab/>
      </w:r>
      <w:r w:rsidRPr="007C5B54">
        <w:fldChar w:fldCharType="begin"/>
      </w:r>
      <w:r w:rsidRPr="007C5B54">
        <w:instrText xml:space="preserve"> PAGEREF _Toc361828974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Outlook</w:t>
      </w:r>
      <w:r w:rsidRPr="007C5B54">
        <w:rPr>
          <w:rFonts w:cs="Tahoma"/>
          <w:vertAlign w:val="superscript"/>
        </w:rPr>
        <w:t>®</w:t>
      </w:r>
      <w:r w:rsidRPr="007C5B54">
        <w:rPr>
          <w:rFonts w:cs="Tahoma"/>
        </w:rPr>
        <w:t xml:space="preserve"> 2013</w:t>
      </w:r>
      <w:r w:rsidRPr="007C5B54">
        <w:tab/>
      </w:r>
      <w:r w:rsidRPr="007C5B54">
        <w:fldChar w:fldCharType="begin"/>
      </w:r>
      <w:r w:rsidRPr="007C5B54">
        <w:instrText xml:space="preserve"> PAGEREF _Toc361828975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Outlook para Mac 2011</w:t>
      </w:r>
      <w:r w:rsidRPr="007C5B54">
        <w:tab/>
      </w:r>
      <w:r w:rsidRPr="007C5B54">
        <w:fldChar w:fldCharType="begin"/>
      </w:r>
      <w:r w:rsidRPr="007C5B54">
        <w:instrText xml:space="preserve"> PAGEREF _Toc361828976 \h </w:instrText>
      </w:r>
      <w:r w:rsidRPr="007C5B54">
        <w:fldChar w:fldCharType="separate"/>
      </w:r>
      <w:r w:rsidR="008E4487">
        <w:t>18</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PowerPoint 2013</w:t>
      </w:r>
      <w:r w:rsidRPr="007C5B54">
        <w:rPr>
          <w:color w:val="auto"/>
        </w:rPr>
        <w:tab/>
      </w:r>
      <w:r w:rsidRPr="007C5B54">
        <w:rPr>
          <w:color w:val="auto"/>
        </w:rPr>
        <w:fldChar w:fldCharType="begin"/>
      </w:r>
      <w:r w:rsidRPr="007C5B54">
        <w:rPr>
          <w:color w:val="auto"/>
        </w:rPr>
        <w:instrText xml:space="preserve"> PAGEREF _Toc361828977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PowerPoint para Mac 2011</w:t>
      </w:r>
      <w:r w:rsidRPr="007C5B54">
        <w:rPr>
          <w:color w:val="auto"/>
        </w:rPr>
        <w:tab/>
      </w:r>
      <w:r w:rsidRPr="007C5B54">
        <w:rPr>
          <w:color w:val="auto"/>
        </w:rPr>
        <w:fldChar w:fldCharType="begin"/>
      </w:r>
      <w:r w:rsidRPr="007C5B54">
        <w:rPr>
          <w:color w:val="auto"/>
        </w:rPr>
        <w:instrText xml:space="preserve"> PAGEREF _Toc361828978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Project Standard 2013</w:t>
      </w:r>
      <w:r w:rsidRPr="007C5B54">
        <w:rPr>
          <w:color w:val="auto"/>
        </w:rPr>
        <w:tab/>
      </w:r>
      <w:r w:rsidRPr="007C5B54">
        <w:rPr>
          <w:color w:val="auto"/>
        </w:rPr>
        <w:fldChar w:fldCharType="begin"/>
      </w:r>
      <w:r w:rsidRPr="007C5B54">
        <w:rPr>
          <w:color w:val="auto"/>
        </w:rPr>
        <w:instrText xml:space="preserve"> PAGEREF _Toc361828979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Project Professional 2013</w:t>
      </w:r>
      <w:r w:rsidRPr="007C5B54">
        <w:rPr>
          <w:color w:val="auto"/>
        </w:rPr>
        <w:tab/>
      </w:r>
      <w:r w:rsidRPr="007C5B54">
        <w:rPr>
          <w:color w:val="auto"/>
        </w:rPr>
        <w:fldChar w:fldCharType="begin"/>
      </w:r>
      <w:r w:rsidRPr="007C5B54">
        <w:rPr>
          <w:color w:val="auto"/>
        </w:rPr>
        <w:instrText xml:space="preserve"> PAGEREF _Toc361828980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Project Pro para Office 365</w:t>
      </w:r>
      <w:r w:rsidRPr="007C5B54">
        <w:rPr>
          <w:color w:val="auto"/>
        </w:rPr>
        <w:tab/>
      </w:r>
      <w:r w:rsidRPr="007C5B54">
        <w:rPr>
          <w:color w:val="auto"/>
        </w:rPr>
        <w:fldChar w:fldCharType="begin"/>
      </w:r>
      <w:r w:rsidRPr="007C5B54">
        <w:rPr>
          <w:color w:val="auto"/>
        </w:rPr>
        <w:instrText xml:space="preserve"> PAGEREF _Toc361828981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Project Pro para Office 365 A</w:t>
      </w:r>
      <w:r w:rsidRPr="007C5B54">
        <w:rPr>
          <w:color w:val="auto"/>
        </w:rPr>
        <w:tab/>
      </w:r>
      <w:r w:rsidRPr="007C5B54">
        <w:rPr>
          <w:color w:val="auto"/>
        </w:rPr>
        <w:fldChar w:fldCharType="begin"/>
      </w:r>
      <w:r w:rsidRPr="007C5B54">
        <w:rPr>
          <w:color w:val="auto"/>
        </w:rPr>
        <w:instrText xml:space="preserve"> PAGEREF _Toc361828982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Publisher 2013</w:t>
      </w:r>
      <w:r w:rsidRPr="007C5B54">
        <w:rPr>
          <w:color w:val="auto"/>
        </w:rPr>
        <w:tab/>
      </w:r>
      <w:r w:rsidRPr="007C5B54">
        <w:rPr>
          <w:color w:val="auto"/>
        </w:rPr>
        <w:fldChar w:fldCharType="begin"/>
      </w:r>
      <w:r w:rsidRPr="007C5B54">
        <w:rPr>
          <w:color w:val="auto"/>
        </w:rPr>
        <w:instrText xml:space="preserve"> PAGEREF _Toc361828983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Direitos de Locação para Office Standard</w:t>
      </w:r>
      <w:r w:rsidRPr="007C5B54">
        <w:rPr>
          <w:color w:val="auto"/>
        </w:rPr>
        <w:tab/>
      </w:r>
      <w:r w:rsidRPr="007C5B54">
        <w:rPr>
          <w:color w:val="auto"/>
        </w:rPr>
        <w:fldChar w:fldCharType="begin"/>
      </w:r>
      <w:r w:rsidRPr="007C5B54">
        <w:rPr>
          <w:color w:val="auto"/>
        </w:rPr>
        <w:instrText xml:space="preserve"> PAGEREF _Toc361828984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Direitos de Locação para Office Professional Plus</w:t>
      </w:r>
      <w:r w:rsidRPr="007C5B54">
        <w:rPr>
          <w:color w:val="auto"/>
        </w:rPr>
        <w:tab/>
      </w:r>
      <w:r w:rsidRPr="007C5B54">
        <w:rPr>
          <w:color w:val="auto"/>
        </w:rPr>
        <w:fldChar w:fldCharType="begin"/>
      </w:r>
      <w:r w:rsidRPr="007C5B54">
        <w:rPr>
          <w:color w:val="auto"/>
        </w:rPr>
        <w:instrText xml:space="preserve"> PAGEREF _Toc361828985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Streets and Trips 2013</w:t>
      </w:r>
      <w:r w:rsidRPr="007C5B54">
        <w:rPr>
          <w:color w:val="auto"/>
        </w:rPr>
        <w:tab/>
      </w:r>
      <w:r w:rsidRPr="007C5B54">
        <w:rPr>
          <w:color w:val="auto"/>
        </w:rPr>
        <w:fldChar w:fldCharType="begin"/>
      </w:r>
      <w:r w:rsidRPr="007C5B54">
        <w:rPr>
          <w:color w:val="auto"/>
        </w:rPr>
        <w:instrText xml:space="preserve"> PAGEREF _Toc361828986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TechNet Plus Direct</w:t>
      </w:r>
      <w:r w:rsidRPr="007C5B54">
        <w:rPr>
          <w:color w:val="auto"/>
        </w:rPr>
        <w:tab/>
      </w:r>
      <w:r w:rsidRPr="007C5B54">
        <w:rPr>
          <w:color w:val="auto"/>
        </w:rPr>
        <w:fldChar w:fldCharType="begin"/>
      </w:r>
      <w:r w:rsidRPr="007C5B54">
        <w:rPr>
          <w:color w:val="auto"/>
        </w:rPr>
        <w:instrText xml:space="preserve"> PAGEREF _Toc361828987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Visio</w:t>
      </w:r>
      <w:r w:rsidRPr="007C5B54">
        <w:rPr>
          <w:color w:val="auto"/>
          <w:vertAlign w:val="superscript"/>
        </w:rPr>
        <w:t>®</w:t>
      </w:r>
      <w:r w:rsidRPr="007C5B54">
        <w:rPr>
          <w:color w:val="auto"/>
        </w:rPr>
        <w:t xml:space="preserve"> 2013 Professional</w:t>
      </w:r>
      <w:r w:rsidRPr="007C5B54">
        <w:rPr>
          <w:color w:val="auto"/>
        </w:rPr>
        <w:tab/>
      </w:r>
      <w:r w:rsidRPr="007C5B54">
        <w:rPr>
          <w:color w:val="auto"/>
        </w:rPr>
        <w:fldChar w:fldCharType="begin"/>
      </w:r>
      <w:r w:rsidRPr="007C5B54">
        <w:rPr>
          <w:color w:val="auto"/>
        </w:rPr>
        <w:instrText xml:space="preserve"> PAGEREF _Toc361828988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Visio</w:t>
      </w:r>
      <w:r w:rsidRPr="007C5B54">
        <w:rPr>
          <w:color w:val="auto"/>
          <w:vertAlign w:val="superscript"/>
        </w:rPr>
        <w:t>®</w:t>
      </w:r>
      <w:r w:rsidRPr="007C5B54">
        <w:rPr>
          <w:color w:val="auto"/>
        </w:rPr>
        <w:t xml:space="preserve"> 2013 Standard</w:t>
      </w:r>
      <w:r w:rsidRPr="007C5B54">
        <w:rPr>
          <w:color w:val="auto"/>
        </w:rPr>
        <w:tab/>
      </w:r>
      <w:r w:rsidRPr="007C5B54">
        <w:rPr>
          <w:color w:val="auto"/>
        </w:rPr>
        <w:fldChar w:fldCharType="begin"/>
      </w:r>
      <w:r w:rsidRPr="007C5B54">
        <w:rPr>
          <w:color w:val="auto"/>
        </w:rPr>
        <w:instrText xml:space="preserve"> PAGEREF _Toc361828989 \h </w:instrText>
      </w:r>
      <w:r w:rsidRPr="007C5B54">
        <w:rPr>
          <w:color w:val="auto"/>
        </w:rPr>
      </w:r>
      <w:r w:rsidRPr="007C5B54">
        <w:rPr>
          <w:color w:val="auto"/>
        </w:rPr>
        <w:fldChar w:fldCharType="separate"/>
      </w:r>
      <w:r w:rsidR="008E4487">
        <w:rPr>
          <w:color w:val="auto"/>
        </w:rPr>
        <w:t>18</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Visio Pro para Office 365</w:t>
      </w:r>
      <w:r w:rsidRPr="007C5B54">
        <w:tab/>
      </w:r>
      <w:r w:rsidRPr="007C5B54">
        <w:fldChar w:fldCharType="begin"/>
      </w:r>
      <w:r w:rsidRPr="007C5B54">
        <w:instrText xml:space="preserve"> PAGEREF _Toc361828990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Visio Pro para Office 365 A</w:t>
      </w:r>
      <w:r w:rsidRPr="007C5B54">
        <w:tab/>
      </w:r>
      <w:r w:rsidRPr="007C5B54">
        <w:fldChar w:fldCharType="begin"/>
      </w:r>
      <w:r w:rsidRPr="007C5B54">
        <w:instrText xml:space="preserve"> PAGEREF _Toc361828991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Visual Studio</w:t>
      </w:r>
      <w:r w:rsidRPr="007C5B54">
        <w:rPr>
          <w:rFonts w:cs="Tahoma"/>
          <w:vertAlign w:val="superscript"/>
        </w:rPr>
        <w:t>®</w:t>
      </w:r>
      <w:r w:rsidRPr="007C5B54">
        <w:rPr>
          <w:rFonts w:cs="Tahoma"/>
        </w:rPr>
        <w:t xml:space="preserve"> Professional 2012</w:t>
      </w:r>
      <w:r w:rsidRPr="007C5B54">
        <w:tab/>
      </w:r>
      <w:r w:rsidRPr="007C5B54">
        <w:fldChar w:fldCharType="begin"/>
      </w:r>
      <w:r w:rsidRPr="007C5B54">
        <w:instrText xml:space="preserve"> PAGEREF _Toc361828992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Visual Studio</w:t>
      </w:r>
      <w:r w:rsidRPr="007C5B54">
        <w:rPr>
          <w:rFonts w:cs="Tahoma"/>
          <w:vertAlign w:val="superscript"/>
        </w:rPr>
        <w:t>®</w:t>
      </w:r>
      <w:r w:rsidRPr="007C5B54">
        <w:rPr>
          <w:rFonts w:cs="Tahoma"/>
        </w:rPr>
        <w:t xml:space="preserve"> Professional 2012 com MSDN</w:t>
      </w:r>
      <w:r w:rsidRPr="007C5B54">
        <w:tab/>
      </w:r>
      <w:r w:rsidRPr="007C5B54">
        <w:fldChar w:fldCharType="begin"/>
      </w:r>
      <w:r w:rsidRPr="007C5B54">
        <w:instrText xml:space="preserve"> PAGEREF _Toc361828993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Visual Studio</w:t>
      </w:r>
      <w:r w:rsidRPr="007C5B54">
        <w:rPr>
          <w:rFonts w:cs="Tahoma"/>
          <w:vertAlign w:val="superscript"/>
        </w:rPr>
        <w:t>®</w:t>
      </w:r>
      <w:r w:rsidRPr="007C5B54">
        <w:rPr>
          <w:rFonts w:cs="Tahoma"/>
        </w:rPr>
        <w:t xml:space="preserve"> Premium 2012 com MSDN</w:t>
      </w:r>
      <w:r w:rsidRPr="007C5B54">
        <w:tab/>
      </w:r>
      <w:r w:rsidRPr="007C5B54">
        <w:fldChar w:fldCharType="begin"/>
      </w:r>
      <w:r w:rsidRPr="007C5B54">
        <w:instrText xml:space="preserve"> PAGEREF _Toc361828994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Visual Studio</w:t>
      </w:r>
      <w:r w:rsidRPr="007C5B54">
        <w:rPr>
          <w:rFonts w:cs="Tahoma"/>
          <w:vertAlign w:val="superscript"/>
        </w:rPr>
        <w:t>®</w:t>
      </w:r>
      <w:r w:rsidRPr="007C5B54">
        <w:rPr>
          <w:rFonts w:cs="Tahoma"/>
        </w:rPr>
        <w:t xml:space="preserve"> Ultimate 2012 com MSDN</w:t>
      </w:r>
      <w:r w:rsidRPr="007C5B54">
        <w:tab/>
      </w:r>
      <w:r w:rsidRPr="007C5B54">
        <w:fldChar w:fldCharType="begin"/>
      </w:r>
      <w:r w:rsidRPr="007C5B54">
        <w:instrText xml:space="preserve"> PAGEREF _Toc361828995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Visual Studio</w:t>
      </w:r>
      <w:r w:rsidRPr="007C5B54">
        <w:rPr>
          <w:rFonts w:cs="Tahoma"/>
          <w:vertAlign w:val="superscript"/>
        </w:rPr>
        <w:t>®</w:t>
      </w:r>
      <w:r w:rsidRPr="007C5B54">
        <w:rPr>
          <w:rFonts w:cs="Tahoma"/>
        </w:rPr>
        <w:t xml:space="preserve"> Test Professional 2012 com MSDN</w:t>
      </w:r>
      <w:r w:rsidRPr="007C5B54">
        <w:tab/>
      </w:r>
      <w:r w:rsidRPr="007C5B54">
        <w:fldChar w:fldCharType="begin"/>
      </w:r>
      <w:r w:rsidRPr="007C5B54">
        <w:instrText xml:space="preserve"> PAGEREF _Toc361828996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lastRenderedPageBreak/>
        <w:t>Word 2013</w:t>
      </w:r>
      <w:r w:rsidRPr="007C5B54">
        <w:tab/>
      </w:r>
      <w:r w:rsidRPr="007C5B54">
        <w:fldChar w:fldCharType="begin"/>
      </w:r>
      <w:r w:rsidRPr="007C5B54">
        <w:instrText xml:space="preserve"> PAGEREF _Toc361828997 \h </w:instrText>
      </w:r>
      <w:r w:rsidRPr="007C5B54">
        <w:fldChar w:fldCharType="separate"/>
      </w:r>
      <w:r w:rsidR="008E4487">
        <w:t>18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Word para Mac 2011</w:t>
      </w:r>
      <w:r w:rsidRPr="007C5B54">
        <w:tab/>
      </w:r>
      <w:r w:rsidRPr="007C5B54">
        <w:fldChar w:fldCharType="begin"/>
      </w:r>
      <w:r w:rsidRPr="007C5B54">
        <w:instrText xml:space="preserve"> PAGEREF _Toc361828998 \h </w:instrText>
      </w:r>
      <w:r w:rsidRPr="007C5B54">
        <w:fldChar w:fldCharType="separate"/>
      </w:r>
      <w:r w:rsidR="008E4487">
        <w:t>18</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POOL DE SISTEMAS</w:t>
      </w:r>
      <w:r w:rsidRPr="007C5B54">
        <w:rPr>
          <w:color w:val="auto"/>
        </w:rPr>
        <w:tab/>
      </w:r>
      <w:r w:rsidRPr="007C5B54">
        <w:rPr>
          <w:color w:val="auto"/>
        </w:rPr>
        <w:fldChar w:fldCharType="begin"/>
      </w:r>
      <w:r w:rsidRPr="007C5B54">
        <w:rPr>
          <w:color w:val="auto"/>
        </w:rPr>
        <w:instrText xml:space="preserve"> PAGEREF _Toc361828999 \h </w:instrText>
      </w:r>
      <w:r w:rsidRPr="007C5B54">
        <w:rPr>
          <w:color w:val="auto"/>
        </w:rPr>
      </w:r>
      <w:r w:rsidRPr="007C5B54">
        <w:rPr>
          <w:color w:val="auto"/>
        </w:rPr>
        <w:fldChar w:fldCharType="separate"/>
      </w:r>
      <w:r w:rsidR="008E4487">
        <w:rPr>
          <w:color w:val="auto"/>
        </w:rPr>
        <w:t>19</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Microsoft Desktop Optimization Pack para Software Assurance</w:t>
      </w:r>
      <w:r w:rsidRPr="007C5B54">
        <w:tab/>
      </w:r>
      <w:r w:rsidRPr="007C5B54">
        <w:fldChar w:fldCharType="begin"/>
      </w:r>
      <w:r w:rsidRPr="007C5B54">
        <w:instrText xml:space="preserve"> PAGEREF _Toc361829000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Assinatura do Windows Companion</w:t>
      </w:r>
      <w:r w:rsidRPr="007C5B54">
        <w:tab/>
      </w:r>
      <w:r w:rsidRPr="007C5B54">
        <w:fldChar w:fldCharType="begin"/>
      </w:r>
      <w:r w:rsidRPr="007C5B54">
        <w:instrText xml:space="preserve"> PAGEREF _Toc361829001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w:t>
      </w:r>
      <w:r w:rsidRPr="007C5B54">
        <w:rPr>
          <w:rFonts w:cs="Tahoma"/>
          <w:vertAlign w:val="superscript"/>
        </w:rPr>
        <w:t>®</w:t>
      </w:r>
      <w:r w:rsidRPr="007C5B54">
        <w:rPr>
          <w:rFonts w:cs="Tahoma"/>
        </w:rPr>
        <w:t xml:space="preserve"> Embedded 8 Industry Pro</w:t>
      </w:r>
      <w:r w:rsidRPr="007C5B54">
        <w:tab/>
      </w:r>
      <w:r w:rsidRPr="007C5B54">
        <w:fldChar w:fldCharType="begin"/>
      </w:r>
      <w:r w:rsidRPr="007C5B54">
        <w:instrText xml:space="preserve"> PAGEREF _Toc361829002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w:t>
      </w:r>
      <w:r w:rsidRPr="007C5B54">
        <w:rPr>
          <w:rFonts w:cs="Tahoma"/>
          <w:vertAlign w:val="superscript"/>
        </w:rPr>
        <w:t>®</w:t>
      </w:r>
      <w:r w:rsidRPr="007C5B54">
        <w:rPr>
          <w:rFonts w:cs="Tahoma"/>
        </w:rPr>
        <w:t xml:space="preserve"> Embedded 8 Industry Pro Sideloading</w:t>
      </w:r>
      <w:r w:rsidRPr="007C5B54">
        <w:tab/>
      </w:r>
      <w:r w:rsidRPr="007C5B54">
        <w:fldChar w:fldCharType="begin"/>
      </w:r>
      <w:r w:rsidRPr="007C5B54">
        <w:instrText xml:space="preserve"> PAGEREF _Toc361829003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w:t>
      </w:r>
      <w:r w:rsidRPr="007C5B54">
        <w:rPr>
          <w:rFonts w:cs="Tahoma"/>
          <w:vertAlign w:val="superscript"/>
        </w:rPr>
        <w:t>®</w:t>
      </w:r>
      <w:r w:rsidRPr="007C5B54">
        <w:rPr>
          <w:rFonts w:cs="Tahoma"/>
        </w:rPr>
        <w:t xml:space="preserve"> Embedded 8 Standard Enterprise Kit</w:t>
      </w:r>
      <w:r w:rsidRPr="007C5B54">
        <w:tab/>
      </w:r>
      <w:r w:rsidRPr="007C5B54">
        <w:fldChar w:fldCharType="begin"/>
      </w:r>
      <w:r w:rsidRPr="007C5B54">
        <w:instrText xml:space="preserve"> PAGEREF _Toc361829004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DVD Playback Pack Windows Vista</w:t>
      </w:r>
      <w:r w:rsidRPr="007C5B54">
        <w:tab/>
      </w:r>
      <w:r w:rsidRPr="007C5B54">
        <w:fldChar w:fldCharType="begin"/>
      </w:r>
      <w:r w:rsidRPr="007C5B54">
        <w:instrText xml:space="preserve"> PAGEREF _Toc361829005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Direitos de Locação para Windows</w:t>
      </w:r>
      <w:r w:rsidRPr="007C5B54">
        <w:tab/>
      </w:r>
      <w:r w:rsidRPr="007C5B54">
        <w:fldChar w:fldCharType="begin"/>
      </w:r>
      <w:r w:rsidRPr="007C5B54">
        <w:instrText xml:space="preserve"> PAGEREF _Toc361829006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Parceiros na Aprendizagem do Windows</w:t>
      </w:r>
      <w:r w:rsidRPr="007C5B54">
        <w:rPr>
          <w:rFonts w:cs="Tahoma"/>
          <w:vertAlign w:val="superscript"/>
        </w:rPr>
        <w:t>®</w:t>
      </w:r>
      <w:r w:rsidRPr="007C5B54">
        <w:rPr>
          <w:rFonts w:cs="Tahoma"/>
        </w:rPr>
        <w:t xml:space="preserve"> 7</w:t>
      </w:r>
      <w:r w:rsidRPr="007C5B54">
        <w:tab/>
      </w:r>
      <w:r w:rsidRPr="007C5B54">
        <w:fldChar w:fldCharType="begin"/>
      </w:r>
      <w:r w:rsidRPr="007C5B54">
        <w:instrText xml:space="preserve"> PAGEREF _Toc361829007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8 Enterprise Sideloading (Pacote com 100)</w:t>
      </w:r>
      <w:r w:rsidRPr="007C5B54">
        <w:tab/>
      </w:r>
      <w:r w:rsidRPr="007C5B54">
        <w:fldChar w:fldCharType="begin"/>
      </w:r>
      <w:r w:rsidRPr="007C5B54">
        <w:instrText xml:space="preserve"> PAGEREF _Toc361829008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w:t>
      </w:r>
      <w:r w:rsidRPr="007C5B54">
        <w:rPr>
          <w:rFonts w:cs="Tahoma"/>
          <w:vertAlign w:val="superscript"/>
        </w:rPr>
        <w:t>®</w:t>
      </w:r>
      <w:r w:rsidRPr="007C5B54">
        <w:rPr>
          <w:rFonts w:cs="Tahoma"/>
        </w:rPr>
        <w:t xml:space="preserve"> 8 Pro</w:t>
      </w:r>
      <w:r w:rsidRPr="007C5B54">
        <w:tab/>
      </w:r>
      <w:r w:rsidRPr="007C5B54">
        <w:fldChar w:fldCharType="begin"/>
      </w:r>
      <w:r w:rsidRPr="007C5B54">
        <w:instrText xml:space="preserve"> PAGEREF _Toc361829009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w:t>
      </w:r>
      <w:r w:rsidRPr="007C5B54">
        <w:rPr>
          <w:rFonts w:cs="Tahoma"/>
          <w:vertAlign w:val="superscript"/>
        </w:rPr>
        <w:t>®</w:t>
      </w:r>
      <w:r w:rsidRPr="007C5B54">
        <w:rPr>
          <w:rFonts w:cs="Tahoma"/>
        </w:rPr>
        <w:t xml:space="preserve"> 8 Pro com MDOP</w:t>
      </w:r>
      <w:r w:rsidRPr="007C5B54">
        <w:tab/>
      </w:r>
      <w:r w:rsidRPr="007C5B54">
        <w:fldChar w:fldCharType="begin"/>
      </w:r>
      <w:r w:rsidRPr="007C5B54">
        <w:instrText xml:space="preserve"> PAGEREF _Toc361829010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Virtual Desktop Access (VDA)</w:t>
      </w:r>
      <w:r w:rsidRPr="007C5B54">
        <w:tab/>
      </w:r>
      <w:r w:rsidRPr="007C5B54">
        <w:fldChar w:fldCharType="begin"/>
      </w:r>
      <w:r w:rsidRPr="007C5B54">
        <w:instrText xml:space="preserve"> PAGEREF _Toc361829011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Intune (Por Dispositivo)</w:t>
      </w:r>
      <w:r w:rsidRPr="007C5B54">
        <w:tab/>
      </w:r>
      <w:r w:rsidRPr="007C5B54">
        <w:fldChar w:fldCharType="begin"/>
      </w:r>
      <w:r w:rsidRPr="007C5B54">
        <w:instrText xml:space="preserve"> PAGEREF _Toc361829012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Windows Intune (Por Dispositivo)</w:t>
      </w:r>
      <w:r w:rsidRPr="007C5B54">
        <w:tab/>
      </w:r>
      <w:r w:rsidRPr="007C5B54">
        <w:fldChar w:fldCharType="begin"/>
      </w:r>
      <w:r w:rsidRPr="007C5B54">
        <w:instrText xml:space="preserve"> PAGEREF _Toc361829013 \h </w:instrText>
      </w:r>
      <w:r w:rsidRPr="007C5B54">
        <w:fldChar w:fldCharType="separate"/>
      </w:r>
      <w:r w:rsidR="008E4487">
        <w:t>19</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POOL DE SERVIDORES</w:t>
      </w:r>
      <w:r w:rsidRPr="007C5B54">
        <w:rPr>
          <w:color w:val="auto"/>
        </w:rPr>
        <w:tab/>
      </w:r>
      <w:r w:rsidRPr="007C5B54">
        <w:rPr>
          <w:color w:val="auto"/>
        </w:rPr>
        <w:fldChar w:fldCharType="begin"/>
      </w:r>
      <w:r w:rsidRPr="007C5B54">
        <w:rPr>
          <w:color w:val="auto"/>
        </w:rPr>
        <w:instrText xml:space="preserve"> PAGEREF _Toc361829014 \h </w:instrText>
      </w:r>
      <w:r w:rsidRPr="007C5B54">
        <w:rPr>
          <w:color w:val="auto"/>
        </w:rPr>
      </w:r>
      <w:r w:rsidRPr="007C5B54">
        <w:rPr>
          <w:color w:val="auto"/>
        </w:rPr>
        <w:fldChar w:fldCharType="separate"/>
      </w:r>
      <w:r w:rsidR="008E4487">
        <w:rPr>
          <w:color w:val="auto"/>
        </w:rPr>
        <w:t>19</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Bing Maps Consumer Controlado por Assinatura Mensal de Ativos</w:t>
      </w:r>
      <w:r w:rsidRPr="007C5B54">
        <w:tab/>
      </w:r>
      <w:r w:rsidRPr="007C5B54">
        <w:fldChar w:fldCharType="begin"/>
      </w:r>
      <w:r w:rsidRPr="007C5B54">
        <w:instrText xml:space="preserve"> PAGEREF _Toc361829015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Valor da Assinatura Mensal do Bing Maps Enterprise</w:t>
      </w:r>
      <w:r w:rsidRPr="007C5B54">
        <w:tab/>
      </w:r>
      <w:r w:rsidRPr="007C5B54">
        <w:fldChar w:fldCharType="begin"/>
      </w:r>
      <w:r w:rsidRPr="007C5B54">
        <w:instrText xml:space="preserve"> PAGEREF _Toc361829016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Assinatura Mensal de 100 Mil Transações de Uso de Site Público do Bing Maps</w:t>
      </w:r>
      <w:r w:rsidRPr="007C5B54">
        <w:tab/>
      </w:r>
      <w:r w:rsidRPr="007C5B54">
        <w:fldChar w:fldCharType="begin"/>
      </w:r>
      <w:r w:rsidRPr="007C5B54">
        <w:instrText xml:space="preserve"> PAGEREF _Toc361829017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Assinatura Mensal de 250 Mil Transações de Uso de Site Público do Bing Maps</w:t>
      </w:r>
      <w:r w:rsidRPr="007C5B54">
        <w:tab/>
      </w:r>
      <w:r w:rsidRPr="007C5B54">
        <w:fldChar w:fldCharType="begin"/>
      </w:r>
      <w:r w:rsidRPr="007C5B54">
        <w:instrText xml:space="preserve"> PAGEREF _Toc361829018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Assinatura Mensal de 420 Mil (e valores superiores) Transações de Uso de Site Público do Bing Maps</w:t>
      </w:r>
      <w:r w:rsidRPr="007C5B54">
        <w:tab/>
      </w:r>
      <w:r w:rsidRPr="007C5B54">
        <w:fldChar w:fldCharType="begin"/>
      </w:r>
      <w:r w:rsidRPr="007C5B54">
        <w:instrText xml:space="preserve"> PAGEREF _Toc361829019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Assinatura Mensal de 100 Mil Transações de Uso de Site Interno do Bing Maps</w:t>
      </w:r>
      <w:r w:rsidRPr="007C5B54">
        <w:tab/>
      </w:r>
      <w:r w:rsidRPr="007C5B54">
        <w:fldChar w:fldCharType="begin"/>
      </w:r>
      <w:r w:rsidRPr="007C5B54">
        <w:instrText xml:space="preserve"> PAGEREF _Toc361829020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Assinatura Mensal de 250 Mil (e valores superiores) Transações de Uso de Site Interno do Bing Maps</w:t>
      </w:r>
      <w:r w:rsidRPr="007C5B54">
        <w:tab/>
      </w:r>
      <w:r w:rsidRPr="007C5B54">
        <w:fldChar w:fldCharType="begin"/>
      </w:r>
      <w:r w:rsidRPr="007C5B54">
        <w:instrText xml:space="preserve"> PAGEREF _Toc361829021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Bing Maps por Assinatura Mensal de Usuários Conhecidos</w:t>
      </w:r>
      <w:r w:rsidRPr="007C5B54">
        <w:tab/>
      </w:r>
      <w:r w:rsidRPr="007C5B54">
        <w:fldChar w:fldCharType="begin"/>
      </w:r>
      <w:r w:rsidRPr="007C5B54">
        <w:instrText xml:space="preserve"> PAGEREF _Toc361829022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Bing Maps por Assinatura Mensal de Pacote de 5 Mil Usuários Conhecidos</w:t>
      </w:r>
      <w:r w:rsidRPr="007C5B54">
        <w:tab/>
      </w:r>
      <w:r w:rsidRPr="007C5B54">
        <w:fldChar w:fldCharType="begin"/>
      </w:r>
      <w:r w:rsidRPr="007C5B54">
        <w:instrText xml:space="preserve"> PAGEREF _Toc361829023 \h </w:instrText>
      </w:r>
      <w:r w:rsidRPr="007C5B54">
        <w:fldChar w:fldCharType="separate"/>
      </w:r>
      <w:r w:rsidR="008E4487">
        <w:t>19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Bing Maps Light Conhecido por Assinatura Mensal de Usuários</w:t>
      </w:r>
      <w:r w:rsidRPr="007C5B54">
        <w:tab/>
      </w:r>
      <w:r w:rsidRPr="007C5B54">
        <w:fldChar w:fldCharType="begin"/>
      </w:r>
      <w:r w:rsidRPr="007C5B54">
        <w:instrText xml:space="preserve"> PAGEREF _Toc361829024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Bing Maps Light Conhecido por Assinatura Mensal de Pacote de 5 Mil Usuários</w:t>
      </w:r>
      <w:r w:rsidRPr="007C5B54">
        <w:tab/>
      </w:r>
      <w:r w:rsidRPr="007C5B54">
        <w:fldChar w:fldCharType="begin"/>
      </w:r>
      <w:r w:rsidRPr="007C5B54">
        <w:instrText xml:space="preserve"> PAGEREF _Toc361829025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Assinatura Mensal de Tarifa por Plataforma de Gerenciamento de Ativos Móveis do Bing Maps</w:t>
      </w:r>
      <w:r w:rsidRPr="007C5B54">
        <w:tab/>
      </w:r>
      <w:r w:rsidRPr="007C5B54">
        <w:fldChar w:fldCharType="begin"/>
      </w:r>
      <w:r w:rsidRPr="007C5B54">
        <w:instrText xml:space="preserve"> PAGEREF _Toc361829026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 xml:space="preserve">Gerenciamento de Ativos Móveis do Bing Maps (América do Norte) com roteamento </w:t>
      </w:r>
      <w:r w:rsidRPr="007C5B54">
        <w:rPr>
          <w:rFonts w:cs="Tahoma"/>
        </w:rPr>
        <w:br/>
        <w:t>por Assinatura Mensal de Ativos</w:t>
      </w:r>
      <w:r w:rsidRPr="007C5B54">
        <w:tab/>
      </w:r>
      <w:r w:rsidRPr="007C5B54">
        <w:fldChar w:fldCharType="begin"/>
      </w:r>
      <w:r w:rsidRPr="007C5B54">
        <w:instrText xml:space="preserve"> PAGEREF _Toc361829027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 xml:space="preserve">Gerenciamento de Ativos Móveis do Bing Maps (América do Norte) sem roteamento por </w:t>
      </w:r>
      <w:r w:rsidRPr="007C5B54">
        <w:rPr>
          <w:rFonts w:cs="Tahoma"/>
        </w:rPr>
        <w:br/>
        <w:t>Assinatura Mensal de Ativos</w:t>
      </w:r>
      <w:r w:rsidRPr="007C5B54">
        <w:tab/>
      </w:r>
      <w:r w:rsidRPr="007C5B54">
        <w:fldChar w:fldCharType="begin"/>
      </w:r>
      <w:r w:rsidRPr="007C5B54">
        <w:instrText xml:space="preserve"> PAGEREF _Toc361829028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Gerenciamento de Ativos Móveis do Bing Maps (Europa) com roteamento por Assinatura Mensal de Ativos</w:t>
      </w:r>
      <w:r w:rsidRPr="007C5B54">
        <w:tab/>
      </w:r>
      <w:r w:rsidRPr="007C5B54">
        <w:fldChar w:fldCharType="begin"/>
      </w:r>
      <w:r w:rsidRPr="007C5B54">
        <w:instrText xml:space="preserve"> PAGEREF _Toc361829029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Gerenciamento de Ativos Móveis do Bing Maps (Europa) sem roteamento por Assinatura Mensal de Ativos</w:t>
      </w:r>
      <w:r w:rsidRPr="007C5B54">
        <w:tab/>
      </w:r>
      <w:r w:rsidRPr="007C5B54">
        <w:fldChar w:fldCharType="begin"/>
      </w:r>
      <w:r w:rsidRPr="007C5B54">
        <w:instrText xml:space="preserve"> PAGEREF _Toc361829030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BizTalk</w:t>
      </w:r>
      <w:r w:rsidRPr="007C5B54">
        <w:rPr>
          <w:rFonts w:cs="Tahoma"/>
          <w:vertAlign w:val="superscript"/>
        </w:rPr>
        <w:t>®</w:t>
      </w:r>
      <w:r w:rsidRPr="007C5B54">
        <w:rPr>
          <w:rFonts w:cs="Tahoma"/>
        </w:rPr>
        <w:t xml:space="preserve"> Server 2013 Branch Edition</w:t>
      </w:r>
      <w:r w:rsidRPr="007C5B54">
        <w:tab/>
      </w:r>
      <w:r w:rsidRPr="007C5B54">
        <w:fldChar w:fldCharType="begin"/>
      </w:r>
      <w:r w:rsidRPr="007C5B54">
        <w:instrText xml:space="preserve"> PAGEREF _Toc361829031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BizTalk</w:t>
      </w:r>
      <w:r w:rsidRPr="007C5B54">
        <w:rPr>
          <w:rFonts w:cs="Tahoma"/>
          <w:vertAlign w:val="superscript"/>
        </w:rPr>
        <w:t>®</w:t>
      </w:r>
      <w:r w:rsidRPr="007C5B54">
        <w:rPr>
          <w:rFonts w:cs="Tahoma"/>
        </w:rPr>
        <w:t xml:space="preserve"> Server 2013 Enterprise Edition</w:t>
      </w:r>
      <w:r w:rsidRPr="007C5B54">
        <w:tab/>
      </w:r>
      <w:r w:rsidRPr="007C5B54">
        <w:fldChar w:fldCharType="begin"/>
      </w:r>
      <w:r w:rsidRPr="007C5B54">
        <w:instrText xml:space="preserve"> PAGEREF _Toc361829032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BizTalk</w:t>
      </w:r>
      <w:r w:rsidRPr="007C5B54">
        <w:rPr>
          <w:rFonts w:cs="Tahoma"/>
          <w:vertAlign w:val="superscript"/>
        </w:rPr>
        <w:t>®</w:t>
      </w:r>
      <w:r w:rsidRPr="007C5B54">
        <w:rPr>
          <w:rFonts w:cs="Tahoma"/>
        </w:rPr>
        <w:t xml:space="preserve"> Server 2013 Branch IDC</w:t>
      </w:r>
      <w:r w:rsidRPr="007C5B54">
        <w:tab/>
      </w:r>
      <w:r w:rsidRPr="007C5B54">
        <w:fldChar w:fldCharType="begin"/>
      </w:r>
      <w:r w:rsidRPr="007C5B54">
        <w:instrText xml:space="preserve"> PAGEREF _Toc361829033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BizTalk</w:t>
      </w:r>
      <w:r w:rsidRPr="007C5B54">
        <w:rPr>
          <w:rFonts w:cs="Tahoma"/>
          <w:vertAlign w:val="superscript"/>
        </w:rPr>
        <w:t>®</w:t>
      </w:r>
      <w:r w:rsidRPr="007C5B54">
        <w:rPr>
          <w:rFonts w:cs="Tahoma"/>
        </w:rPr>
        <w:t xml:space="preserve"> Server 2013 Standard Edition</w:t>
      </w:r>
      <w:r w:rsidRPr="007C5B54">
        <w:tab/>
      </w:r>
      <w:r w:rsidRPr="007C5B54">
        <w:fldChar w:fldCharType="begin"/>
      </w:r>
      <w:r w:rsidRPr="007C5B54">
        <w:instrText xml:space="preserve"> PAGEREF _Toc361829034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BizTalk</w:t>
      </w:r>
      <w:r w:rsidRPr="007C5B54">
        <w:rPr>
          <w:rFonts w:cs="Tahoma"/>
          <w:vertAlign w:val="superscript"/>
        </w:rPr>
        <w:t>®</w:t>
      </w:r>
      <w:r w:rsidRPr="007C5B54">
        <w:rPr>
          <w:rFonts w:cs="Tahoma"/>
        </w:rPr>
        <w:t xml:space="preserve"> Server 2013 Standard Edition IDC</w:t>
      </w:r>
      <w:r w:rsidRPr="007C5B54">
        <w:tab/>
      </w:r>
      <w:r w:rsidRPr="007C5B54">
        <w:fldChar w:fldCharType="begin"/>
      </w:r>
      <w:r w:rsidRPr="007C5B54">
        <w:instrText xml:space="preserve"> PAGEREF _Toc361829035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Business Intelligence Appliance 2012</w:t>
      </w:r>
      <w:r w:rsidRPr="007C5B54">
        <w:tab/>
      </w:r>
      <w:r w:rsidRPr="007C5B54">
        <w:fldChar w:fldCharType="begin"/>
      </w:r>
      <w:r w:rsidRPr="007C5B54">
        <w:instrText xml:space="preserve"> PAGEREF _Toc361829036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Bridge do Pacote de CALs Principais para Office 365 (Usuário e Dispositivo)</w:t>
      </w:r>
      <w:r w:rsidRPr="007C5B54">
        <w:tab/>
      </w:r>
      <w:r w:rsidRPr="007C5B54">
        <w:fldChar w:fldCharType="begin"/>
      </w:r>
      <w:r w:rsidRPr="007C5B54">
        <w:instrText xml:space="preserve"> PAGEREF _Toc361829037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Bridge do Pacote de CALs Principais para Office 365 e Windows</w:t>
      </w:r>
      <w:r w:rsidRPr="007C5B54">
        <w:rPr>
          <w:rFonts w:cs="Tahoma"/>
          <w:vertAlign w:val="superscript"/>
        </w:rPr>
        <w:t>®</w:t>
      </w:r>
      <w:r w:rsidRPr="007C5B54">
        <w:rPr>
          <w:rFonts w:cs="Tahoma"/>
        </w:rPr>
        <w:t xml:space="preserve"> Intune (Usuário e Dispositivo)</w:t>
      </w:r>
      <w:r w:rsidRPr="007C5B54">
        <w:tab/>
      </w:r>
      <w:r w:rsidRPr="007C5B54">
        <w:fldChar w:fldCharType="begin"/>
      </w:r>
      <w:r w:rsidRPr="007C5B54">
        <w:instrText xml:space="preserve"> PAGEREF _Toc361829038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Bridge do Pacote de CALs Principais para Windows</w:t>
      </w:r>
      <w:r w:rsidRPr="007C5B54">
        <w:rPr>
          <w:rFonts w:cs="Tahoma"/>
          <w:vertAlign w:val="superscript"/>
        </w:rPr>
        <w:t>®</w:t>
      </w:r>
      <w:r w:rsidRPr="007C5B54">
        <w:rPr>
          <w:rFonts w:cs="Tahoma"/>
        </w:rPr>
        <w:t xml:space="preserve"> Intune (Usuário e Dispositivo)</w:t>
      </w:r>
      <w:r w:rsidRPr="007C5B54">
        <w:tab/>
      </w:r>
      <w:r w:rsidRPr="007C5B54">
        <w:fldChar w:fldCharType="begin"/>
      </w:r>
      <w:r w:rsidRPr="007C5B54">
        <w:instrText xml:space="preserve"> PAGEREF _Toc361829039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Core CAL Suite (Usuário e Dispositivo)</w:t>
      </w:r>
      <w:r w:rsidRPr="007C5B54">
        <w:tab/>
      </w:r>
      <w:r w:rsidRPr="007C5B54">
        <w:fldChar w:fldCharType="begin"/>
      </w:r>
      <w:r w:rsidRPr="007C5B54">
        <w:instrText xml:space="preserve"> PAGEREF _Toc361829040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Core Infrastructure Server Suite Standard</w:t>
      </w:r>
      <w:r w:rsidRPr="007C5B54">
        <w:tab/>
      </w:r>
      <w:r w:rsidRPr="007C5B54">
        <w:fldChar w:fldCharType="begin"/>
      </w:r>
      <w:r w:rsidRPr="007C5B54">
        <w:instrText xml:space="preserve"> PAGEREF _Toc361829041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Core Infrastructure Server Suite Enterprise</w:t>
      </w:r>
      <w:r w:rsidRPr="007C5B54">
        <w:tab/>
      </w:r>
      <w:r w:rsidRPr="007C5B54">
        <w:fldChar w:fldCharType="begin"/>
      </w:r>
      <w:r w:rsidRPr="007C5B54">
        <w:instrText xml:space="preserve"> PAGEREF _Toc361829042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Core Infrastructure Server Suite Datacenter</w:t>
      </w:r>
      <w:r w:rsidRPr="007C5B54">
        <w:tab/>
      </w:r>
      <w:r w:rsidRPr="007C5B54">
        <w:fldChar w:fldCharType="begin"/>
      </w:r>
      <w:r w:rsidRPr="007C5B54">
        <w:instrText xml:space="preserve"> PAGEREF _Toc361829043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Duet Enterprise 2.0</w:t>
      </w:r>
      <w:r w:rsidRPr="007C5B54">
        <w:tab/>
      </w:r>
      <w:r w:rsidRPr="007C5B54">
        <w:fldChar w:fldCharType="begin"/>
      </w:r>
      <w:r w:rsidRPr="007C5B54">
        <w:instrText xml:space="preserve"> PAGEREF _Toc361829044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Armazenamento Adicional para Microsoft Dynamics CRM Online</w:t>
      </w:r>
      <w:r w:rsidRPr="007C5B54">
        <w:tab/>
      </w:r>
      <w:r w:rsidRPr="007C5B54">
        <w:fldChar w:fldCharType="begin"/>
      </w:r>
      <w:r w:rsidRPr="007C5B54">
        <w:instrText xml:space="preserve"> PAGEREF _Toc361829045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Microsoft Dynamics CRM Online por Usuário</w:t>
      </w:r>
      <w:r w:rsidRPr="007C5B54">
        <w:tab/>
      </w:r>
      <w:r w:rsidRPr="007C5B54">
        <w:fldChar w:fldCharType="begin"/>
      </w:r>
      <w:r w:rsidRPr="007C5B54">
        <w:instrText xml:space="preserve"> PAGEREF _Toc361829046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Microsoft Dynamics CRM Online para SA</w:t>
      </w:r>
      <w:r w:rsidRPr="007C5B54">
        <w:tab/>
      </w:r>
      <w:r w:rsidRPr="007C5B54">
        <w:fldChar w:fldCharType="begin"/>
      </w:r>
      <w:r w:rsidRPr="007C5B54">
        <w:instrText xml:space="preserve"> PAGEREF _Toc361829047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Bridge do Pacote de CALs Empresariais para Office 365 (Usuário e Dispositivo)</w:t>
      </w:r>
      <w:r w:rsidRPr="007C5B54">
        <w:tab/>
      </w:r>
      <w:r w:rsidRPr="007C5B54">
        <w:fldChar w:fldCharType="begin"/>
      </w:r>
      <w:r w:rsidRPr="007C5B54">
        <w:instrText xml:space="preserve"> PAGEREF _Toc361829048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Bridge do Pacote de CALs Empresariais para Office 365 e Windows</w:t>
      </w:r>
      <w:r w:rsidRPr="007C5B54">
        <w:rPr>
          <w:rFonts w:cs="Tahoma"/>
          <w:vertAlign w:val="superscript"/>
        </w:rPr>
        <w:t>®</w:t>
      </w:r>
      <w:r w:rsidRPr="007C5B54">
        <w:rPr>
          <w:rFonts w:cs="Tahoma"/>
        </w:rPr>
        <w:t xml:space="preserve"> Intune (Usuário e Dispositivo)</w:t>
      </w:r>
      <w:r w:rsidRPr="007C5B54">
        <w:tab/>
      </w:r>
      <w:r w:rsidRPr="007C5B54">
        <w:fldChar w:fldCharType="begin"/>
      </w:r>
      <w:r w:rsidRPr="007C5B54">
        <w:instrText xml:space="preserve"> PAGEREF _Toc361829049 \h </w:instrText>
      </w:r>
      <w:r w:rsidRPr="007C5B54">
        <w:fldChar w:fldCharType="separate"/>
      </w:r>
      <w:r w:rsidR="008E4487">
        <w:t>20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Bridge do Pacote de CALs Empresariais para Windows</w:t>
      </w:r>
      <w:r w:rsidRPr="007C5B54">
        <w:rPr>
          <w:rFonts w:cs="Tahoma"/>
          <w:vertAlign w:val="superscript"/>
        </w:rPr>
        <w:t>®</w:t>
      </w:r>
      <w:r w:rsidRPr="007C5B54">
        <w:rPr>
          <w:rFonts w:cs="Tahoma"/>
        </w:rPr>
        <w:t xml:space="preserve"> Intune (Usuário e Dispositivo)</w:t>
      </w:r>
      <w:r w:rsidRPr="007C5B54">
        <w:tab/>
      </w:r>
      <w:r w:rsidRPr="007C5B54">
        <w:fldChar w:fldCharType="begin"/>
      </w:r>
      <w:r w:rsidRPr="007C5B54">
        <w:instrText xml:space="preserve"> PAGEREF _Toc361829050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Pacote de CALs Empresariais (Usuário e Dispositivo)</w:t>
      </w:r>
      <w:r w:rsidRPr="007C5B54">
        <w:tab/>
      </w:r>
      <w:r w:rsidRPr="007C5B54">
        <w:fldChar w:fldCharType="begin"/>
      </w:r>
      <w:r w:rsidRPr="007C5B54">
        <w:instrText xml:space="preserve"> PAGEREF _Toc361829051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Empresarial do Exchange com Serviços 2013</w:t>
      </w:r>
      <w:r w:rsidRPr="007C5B54">
        <w:tab/>
      </w:r>
      <w:r w:rsidRPr="007C5B54">
        <w:fldChar w:fldCharType="begin"/>
      </w:r>
      <w:r w:rsidRPr="007C5B54">
        <w:instrText xml:space="preserve"> PAGEREF _Toc361829052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Empresarial do Exchange sem Serviços 2013</w:t>
      </w:r>
      <w:r w:rsidRPr="007C5B54">
        <w:tab/>
      </w:r>
      <w:r w:rsidRPr="007C5B54">
        <w:fldChar w:fldCharType="begin"/>
      </w:r>
      <w:r w:rsidRPr="007C5B54">
        <w:instrText xml:space="preserve"> PAGEREF _Toc361829053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lastRenderedPageBreak/>
        <w:t>Exchange Online Archiving para Exchange Server (SL de Usuário)</w:t>
      </w:r>
      <w:r w:rsidRPr="007C5B54">
        <w:tab/>
      </w:r>
      <w:r w:rsidRPr="007C5B54">
        <w:fldChar w:fldCharType="begin"/>
      </w:r>
      <w:r w:rsidRPr="007C5B54">
        <w:instrText xml:space="preserve"> PAGEREF _Toc361829054 \h </w:instrText>
      </w:r>
      <w:r w:rsidRPr="007C5B54">
        <w:fldChar w:fldCharType="separate"/>
      </w:r>
      <w:r w:rsidR="008E4487">
        <w:t>21</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Servidor A (SL de Usuário)</w:t>
      </w:r>
      <w:r w:rsidRPr="007C5B54">
        <w:rPr>
          <w:color w:val="auto"/>
        </w:rPr>
        <w:tab/>
      </w:r>
      <w:r w:rsidRPr="007C5B54">
        <w:rPr>
          <w:color w:val="auto"/>
        </w:rPr>
        <w:fldChar w:fldCharType="begin"/>
      </w:r>
      <w:r w:rsidRPr="007C5B54">
        <w:rPr>
          <w:color w:val="auto"/>
        </w:rPr>
        <w:instrText xml:space="preserve"> PAGEREF _Toc361829055 \h </w:instrText>
      </w:r>
      <w:r w:rsidRPr="007C5B54">
        <w:rPr>
          <w:color w:val="auto"/>
        </w:rPr>
      </w:r>
      <w:r w:rsidRPr="007C5B54">
        <w:rPr>
          <w:color w:val="auto"/>
        </w:rPr>
        <w:fldChar w:fldCharType="separate"/>
      </w:r>
      <w:r w:rsidR="008E4487">
        <w:rPr>
          <w:color w:val="auto"/>
        </w:rPr>
        <w:t>21</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Hosted Archive (SL de Usuário)</w:t>
      </w:r>
      <w:r w:rsidRPr="007C5B54">
        <w:tab/>
      </w:r>
      <w:r w:rsidRPr="007C5B54">
        <w:fldChar w:fldCharType="begin"/>
      </w:r>
      <w:r w:rsidRPr="007C5B54">
        <w:instrText xml:space="preserve"> PAGEREF _Toc361829056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Hosted Archive Extra Storage (SL de Usuário)</w:t>
      </w:r>
      <w:r w:rsidRPr="007C5B54">
        <w:tab/>
      </w:r>
      <w:r w:rsidRPr="007C5B54">
        <w:fldChar w:fldCharType="begin"/>
      </w:r>
      <w:r w:rsidRPr="007C5B54">
        <w:instrText xml:space="preserve"> PAGEREF _Toc361829057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Hosted Encryption (SL de Usuário)</w:t>
      </w:r>
      <w:r w:rsidRPr="007C5B54">
        <w:tab/>
      </w:r>
      <w:r w:rsidRPr="007C5B54">
        <w:fldChar w:fldCharType="begin"/>
      </w:r>
      <w:r w:rsidRPr="007C5B54">
        <w:instrText xml:space="preserve"> PAGEREF _Toc361829058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Online Archiving para Exchange Online A</w:t>
      </w:r>
      <w:r w:rsidRPr="007C5B54">
        <w:tab/>
      </w:r>
      <w:r w:rsidRPr="007C5B54">
        <w:fldChar w:fldCharType="begin"/>
      </w:r>
      <w:r w:rsidRPr="007C5B54">
        <w:instrText xml:space="preserve"> PAGEREF _Toc361829059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Online Archiving para Exchange Online</w:t>
      </w:r>
      <w:r w:rsidRPr="007C5B54">
        <w:tab/>
      </w:r>
      <w:r w:rsidRPr="007C5B54">
        <w:fldChar w:fldCharType="begin"/>
      </w:r>
      <w:r w:rsidRPr="007C5B54">
        <w:instrText xml:space="preserve"> PAGEREF _Toc361829060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Quiosque do Exchange Online (SL de Usuário)</w:t>
      </w:r>
      <w:r w:rsidRPr="007C5B54">
        <w:tab/>
      </w:r>
      <w:r w:rsidRPr="007C5B54">
        <w:fldChar w:fldCharType="begin"/>
      </w:r>
      <w:r w:rsidRPr="007C5B54">
        <w:instrText xml:space="preserve"> PAGEREF _Toc361829061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Exchange Online Plano 1 (SL de Usuário)</w:t>
      </w:r>
      <w:r w:rsidRPr="007C5B54">
        <w:tab/>
      </w:r>
      <w:r w:rsidRPr="007C5B54">
        <w:fldChar w:fldCharType="begin"/>
      </w:r>
      <w:r w:rsidRPr="007C5B54">
        <w:instrText xml:space="preserve"> PAGEREF _Toc361829062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Online Plano 1 (SL de Usuário)</w:t>
      </w:r>
      <w:r w:rsidRPr="007C5B54">
        <w:tab/>
      </w:r>
      <w:r w:rsidRPr="007C5B54">
        <w:fldChar w:fldCharType="begin"/>
      </w:r>
      <w:r w:rsidRPr="007C5B54">
        <w:instrText xml:space="preserve"> PAGEREF _Toc361829063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Online Plano 2 (SL de Usuário)</w:t>
      </w:r>
      <w:r w:rsidRPr="007C5B54">
        <w:tab/>
      </w:r>
      <w:r w:rsidRPr="007C5B54">
        <w:fldChar w:fldCharType="begin"/>
      </w:r>
      <w:r w:rsidRPr="007C5B54">
        <w:instrText xml:space="preserve"> PAGEREF _Toc361829064 \h </w:instrText>
      </w:r>
      <w:r w:rsidRPr="007C5B54">
        <w:fldChar w:fldCharType="separate"/>
      </w:r>
      <w:r w:rsidR="008E4487">
        <w:t>21</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Exchange Online Plan 1A para Alunos (SL do Usuário)</w:t>
      </w:r>
      <w:r w:rsidRPr="007C5B54">
        <w:rPr>
          <w:color w:val="auto"/>
        </w:rPr>
        <w:tab/>
      </w:r>
      <w:r w:rsidRPr="007C5B54">
        <w:rPr>
          <w:color w:val="auto"/>
        </w:rPr>
        <w:fldChar w:fldCharType="begin"/>
      </w:r>
      <w:r w:rsidRPr="007C5B54">
        <w:rPr>
          <w:color w:val="auto"/>
        </w:rPr>
        <w:instrText xml:space="preserve"> PAGEREF _Toc361829065 \h </w:instrText>
      </w:r>
      <w:r w:rsidRPr="007C5B54">
        <w:rPr>
          <w:color w:val="auto"/>
        </w:rPr>
      </w:r>
      <w:r w:rsidRPr="007C5B54">
        <w:rPr>
          <w:color w:val="auto"/>
        </w:rPr>
        <w:fldChar w:fldCharType="separate"/>
      </w:r>
      <w:r w:rsidR="008E4487">
        <w:rPr>
          <w:color w:val="auto"/>
        </w:rPr>
        <w:t>21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Exchange Online Plano 2A (SL de Usuário)</w:t>
      </w:r>
      <w:r w:rsidRPr="007C5B54">
        <w:rPr>
          <w:color w:val="auto"/>
        </w:rPr>
        <w:tab/>
      </w:r>
      <w:r w:rsidRPr="007C5B54">
        <w:rPr>
          <w:color w:val="auto"/>
        </w:rPr>
        <w:fldChar w:fldCharType="begin"/>
      </w:r>
      <w:r w:rsidRPr="007C5B54">
        <w:rPr>
          <w:color w:val="auto"/>
        </w:rPr>
        <w:instrText xml:space="preserve"> PAGEREF _Toc361829066 \h </w:instrText>
      </w:r>
      <w:r w:rsidRPr="007C5B54">
        <w:rPr>
          <w:color w:val="auto"/>
        </w:rPr>
      </w:r>
      <w:r w:rsidRPr="007C5B54">
        <w:rPr>
          <w:color w:val="auto"/>
        </w:rPr>
        <w:fldChar w:fldCharType="separate"/>
      </w:r>
      <w:r w:rsidR="008E4487">
        <w:rPr>
          <w:color w:val="auto"/>
        </w:rPr>
        <w:t>21</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Online Protection (SL de Usuário)</w:t>
      </w:r>
      <w:r w:rsidRPr="007C5B54">
        <w:tab/>
      </w:r>
      <w:r w:rsidRPr="007C5B54">
        <w:fldChar w:fldCharType="begin"/>
      </w:r>
      <w:r w:rsidRPr="007C5B54">
        <w:instrText xml:space="preserve"> PAGEREF _Toc361829067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Server Enterprise 2013</w:t>
      </w:r>
      <w:r w:rsidRPr="007C5B54">
        <w:tab/>
      </w:r>
      <w:r w:rsidRPr="007C5B54">
        <w:fldChar w:fldCharType="begin"/>
      </w:r>
      <w:r w:rsidRPr="007C5B54">
        <w:instrText xml:space="preserve"> PAGEREF _Toc361829068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Server Standard 2013</w:t>
      </w:r>
      <w:r w:rsidRPr="007C5B54">
        <w:tab/>
      </w:r>
      <w:r w:rsidRPr="007C5B54">
        <w:fldChar w:fldCharType="begin"/>
      </w:r>
      <w:r w:rsidRPr="007C5B54">
        <w:instrText xml:space="preserve"> PAGEREF _Toc361829069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Exchange Server 2007 Standard for Small Business</w:t>
      </w:r>
      <w:r w:rsidRPr="007C5B54">
        <w:tab/>
      </w:r>
      <w:r w:rsidRPr="007C5B54">
        <w:fldChar w:fldCharType="begin"/>
      </w:r>
      <w:r w:rsidRPr="007C5B54">
        <w:instrText xml:space="preserve"> PAGEREF _Toc361829070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Exchange Server 2007 Standard for Small Business</w:t>
      </w:r>
      <w:r w:rsidRPr="007C5B54">
        <w:tab/>
      </w:r>
      <w:r w:rsidRPr="007C5B54">
        <w:fldChar w:fldCharType="begin"/>
      </w:r>
      <w:r w:rsidRPr="007C5B54">
        <w:instrText xml:space="preserve"> PAGEREF _Toc361829071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Exchange Server 2010 Standard (Dispositivo e Usuário)</w:t>
      </w:r>
      <w:r w:rsidRPr="007C5B54">
        <w:tab/>
      </w:r>
      <w:r w:rsidRPr="007C5B54">
        <w:fldChar w:fldCharType="begin"/>
      </w:r>
      <w:r w:rsidRPr="007C5B54">
        <w:instrText xml:space="preserve"> PAGEREF _Toc361829072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Endpoint Protection</w:t>
      </w:r>
      <w:r w:rsidRPr="007C5B54">
        <w:tab/>
      </w:r>
      <w:r w:rsidRPr="007C5B54">
        <w:fldChar w:fldCharType="begin"/>
      </w:r>
      <w:r w:rsidRPr="007C5B54">
        <w:instrText xml:space="preserve"> PAGEREF _Toc361829073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Forefront Identity Manager 2010 R2 (Somente usuário)</w:t>
      </w:r>
      <w:r w:rsidRPr="007C5B54">
        <w:tab/>
      </w:r>
      <w:r w:rsidRPr="007C5B54">
        <w:fldChar w:fldCharType="begin"/>
      </w:r>
      <w:r w:rsidRPr="007C5B54">
        <w:instrText xml:space="preserve"> PAGEREF _Toc361829074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Identity Manager 2010 R2 External Connector</w:t>
      </w:r>
      <w:r w:rsidRPr="007C5B54">
        <w:tab/>
      </w:r>
      <w:r w:rsidRPr="007C5B54">
        <w:fldChar w:fldCharType="begin"/>
      </w:r>
      <w:r w:rsidRPr="007C5B54">
        <w:instrText xml:space="preserve"> PAGEREF _Toc361829075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Identity Manager 2010 R2 Server</w:t>
      </w:r>
      <w:r w:rsidRPr="007C5B54">
        <w:tab/>
      </w:r>
      <w:r w:rsidRPr="007C5B54">
        <w:fldChar w:fldCharType="begin"/>
      </w:r>
      <w:r w:rsidRPr="007C5B54">
        <w:instrText xml:space="preserve"> PAGEREF _Toc361829076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Identity Manager 2010 R2 – Windows Live Edition</w:t>
      </w:r>
      <w:r w:rsidRPr="007C5B54">
        <w:tab/>
      </w:r>
      <w:r w:rsidRPr="007C5B54">
        <w:fldChar w:fldCharType="begin"/>
      </w:r>
      <w:r w:rsidRPr="007C5B54">
        <w:instrText xml:space="preserve"> PAGEREF _Toc361829077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Online Protection for Exchange (SL de Dispositivo e Usuário)</w:t>
      </w:r>
      <w:r w:rsidRPr="007C5B54">
        <w:tab/>
      </w:r>
      <w:r w:rsidRPr="007C5B54">
        <w:fldChar w:fldCharType="begin"/>
      </w:r>
      <w:r w:rsidRPr="007C5B54">
        <w:instrText xml:space="preserve"> PAGEREF _Toc361829078 \h </w:instrText>
      </w:r>
      <w:r w:rsidRPr="007C5B54">
        <w:fldChar w:fldCharType="separate"/>
      </w:r>
      <w:r w:rsidR="008E4487">
        <w:t>21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Protection 2010 for Exchange Server (SL de Dispositivo e Usuário)</w:t>
      </w:r>
      <w:r w:rsidRPr="007C5B54">
        <w:tab/>
      </w:r>
      <w:r w:rsidRPr="007C5B54">
        <w:fldChar w:fldCharType="begin"/>
      </w:r>
      <w:r w:rsidRPr="007C5B54">
        <w:instrText xml:space="preserve"> PAGEREF _Toc361829079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Protection Suite (SL de Dispositivo e Usuário)</w:t>
      </w:r>
      <w:r w:rsidRPr="007C5B54">
        <w:tab/>
      </w:r>
      <w:r w:rsidRPr="007C5B54">
        <w:fldChar w:fldCharType="begin"/>
      </w:r>
      <w:r w:rsidRPr="007C5B54">
        <w:instrText xml:space="preserve"> PAGEREF _Toc361829080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Security for Office Communications Server (SL de Dispositivo e Usuário)</w:t>
      </w:r>
      <w:r w:rsidRPr="007C5B54">
        <w:tab/>
      </w:r>
      <w:r w:rsidRPr="007C5B54">
        <w:fldChar w:fldCharType="begin"/>
      </w:r>
      <w:r w:rsidRPr="007C5B54">
        <w:instrText xml:space="preserve"> PAGEREF _Toc361829081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Protection 2010 for SharePoint (SL de Dispositivo e Usuário)</w:t>
      </w:r>
      <w:r w:rsidRPr="007C5B54">
        <w:tab/>
      </w:r>
      <w:r w:rsidRPr="007C5B54">
        <w:fldChar w:fldCharType="begin"/>
      </w:r>
      <w:r w:rsidRPr="007C5B54">
        <w:instrText xml:space="preserve"> PAGEREF _Toc361829082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Protection 2010 for SharePoint for Internet Sites (SL Complementar)</w:t>
      </w:r>
      <w:r w:rsidRPr="007C5B54">
        <w:tab/>
      </w:r>
      <w:r w:rsidRPr="007C5B54">
        <w:fldChar w:fldCharType="begin"/>
      </w:r>
      <w:r w:rsidRPr="007C5B54">
        <w:instrText xml:space="preserve"> PAGEREF _Toc361829083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Threat Management Gateway Web Protection Services</w:t>
      </w:r>
      <w:r w:rsidRPr="007C5B54">
        <w:tab/>
      </w:r>
      <w:r w:rsidRPr="007C5B54">
        <w:fldChar w:fldCharType="begin"/>
      </w:r>
      <w:r w:rsidRPr="007C5B54">
        <w:instrText xml:space="preserve"> PAGEREF _Toc361829084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Forefront Unified Access Gateway Server 2010</w:t>
      </w:r>
      <w:r w:rsidRPr="007C5B54">
        <w:tab/>
      </w:r>
      <w:r w:rsidRPr="007C5B54">
        <w:fldChar w:fldCharType="begin"/>
      </w:r>
      <w:r w:rsidRPr="007C5B54">
        <w:instrText xml:space="preserve"> PAGEREF _Toc361829085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External Connector do Forefront Unified Access Gateway 2010</w:t>
      </w:r>
      <w:r w:rsidRPr="007C5B54">
        <w:tab/>
      </w:r>
      <w:r w:rsidRPr="007C5B54">
        <w:fldChar w:fldCharType="begin"/>
      </w:r>
      <w:r w:rsidRPr="007C5B54">
        <w:instrText xml:space="preserve"> PAGEREF _Toc361829086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Forefront Unified Access Gateway 2010</w:t>
      </w:r>
      <w:r w:rsidRPr="007C5B54">
        <w:tab/>
      </w:r>
      <w:r w:rsidRPr="007C5B54">
        <w:fldChar w:fldCharType="begin"/>
      </w:r>
      <w:r w:rsidRPr="007C5B54">
        <w:instrText xml:space="preserve"> PAGEREF _Toc361829087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Pacote CAL do Forefront Unified Access Gateway 2010 10K</w:t>
      </w:r>
      <w:r w:rsidRPr="007C5B54">
        <w:tab/>
      </w:r>
      <w:r w:rsidRPr="007C5B54">
        <w:fldChar w:fldCharType="begin"/>
      </w:r>
      <w:r w:rsidRPr="007C5B54">
        <w:instrText xml:space="preserve"> PAGEREF _Toc361829088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HPC Pack 2008 R2 Enterprise</w:t>
      </w:r>
      <w:r w:rsidRPr="007C5B54">
        <w:tab/>
      </w:r>
      <w:r w:rsidRPr="007C5B54">
        <w:fldChar w:fldCharType="begin"/>
      </w:r>
      <w:r w:rsidRPr="007C5B54">
        <w:instrText xml:space="preserve"> PAGEREF _Toc361829089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HPC Pack 2008 R2 para Workstation</w:t>
      </w:r>
      <w:r w:rsidRPr="007C5B54">
        <w:tab/>
      </w:r>
      <w:r w:rsidRPr="007C5B54">
        <w:fldChar w:fldCharType="begin"/>
      </w:r>
      <w:r w:rsidRPr="007C5B54">
        <w:instrText xml:space="preserve"> PAGEREF _Toc361829090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Learning Solutions Combination E-Reference Library (SL de Usuário)</w:t>
      </w:r>
      <w:r w:rsidRPr="007C5B54">
        <w:tab/>
      </w:r>
      <w:r w:rsidRPr="007C5B54">
        <w:fldChar w:fldCharType="begin"/>
      </w:r>
      <w:r w:rsidRPr="007C5B54">
        <w:instrText xml:space="preserve"> PAGEREF _Toc361829091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Learning Solutions IT Academy (SL de Serviços)</w:t>
      </w:r>
      <w:r w:rsidRPr="007C5B54">
        <w:tab/>
      </w:r>
      <w:r w:rsidRPr="007C5B54">
        <w:fldChar w:fldCharType="begin"/>
      </w:r>
      <w:r w:rsidRPr="007C5B54">
        <w:instrText xml:space="preserve"> PAGEREF _Toc361829092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Cupons de Exame do Learning Solutions MCP 1 (SL de Serviços)</w:t>
      </w:r>
      <w:r w:rsidRPr="007C5B54">
        <w:tab/>
      </w:r>
      <w:r w:rsidRPr="007C5B54">
        <w:fldChar w:fldCharType="begin"/>
      </w:r>
      <w:r w:rsidRPr="007C5B54">
        <w:instrText xml:space="preserve"> PAGEREF _Toc361829093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30 Cupons de Exame do Learning Solutions MCP (SL de Usuário)</w:t>
      </w:r>
      <w:r w:rsidRPr="007C5B54">
        <w:tab/>
      </w:r>
      <w:r w:rsidRPr="007C5B54">
        <w:fldChar w:fldCharType="begin"/>
      </w:r>
      <w:r w:rsidRPr="007C5B54">
        <w:instrText xml:space="preserve"> PAGEREF _Toc361829094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do Site de Exame do Learning Solutions MOS 500 (SL de Serviços)</w:t>
      </w:r>
      <w:r w:rsidRPr="007C5B54">
        <w:tab/>
      </w:r>
      <w:r w:rsidRPr="007C5B54">
        <w:fldChar w:fldCharType="begin"/>
      </w:r>
      <w:r w:rsidRPr="007C5B54">
        <w:instrText xml:space="preserve"> PAGEREF _Toc361829095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do Site de Exame do Learning Solutions MTA 250 (SL de Serviços)</w:t>
      </w:r>
      <w:r w:rsidRPr="007C5B54">
        <w:tab/>
      </w:r>
      <w:r w:rsidRPr="007C5B54">
        <w:fldChar w:fldCharType="begin"/>
      </w:r>
      <w:r w:rsidRPr="007C5B54">
        <w:instrText xml:space="preserve"> PAGEREF _Toc361829096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Lync Online Plano 1 (SL de Usuário)</w:t>
      </w:r>
      <w:r w:rsidRPr="007C5B54">
        <w:tab/>
      </w:r>
      <w:r w:rsidRPr="007C5B54">
        <w:fldChar w:fldCharType="begin"/>
      </w:r>
      <w:r w:rsidRPr="007C5B54">
        <w:instrText xml:space="preserve"> PAGEREF _Toc361829097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Lync Online Plano 1 (SL de Usuário)</w:t>
      </w:r>
      <w:r w:rsidRPr="007C5B54">
        <w:tab/>
      </w:r>
      <w:r w:rsidRPr="007C5B54">
        <w:fldChar w:fldCharType="begin"/>
      </w:r>
      <w:r w:rsidRPr="007C5B54">
        <w:instrText xml:space="preserve"> PAGEREF _Toc361829098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Lync Online Plano 2 (SL de Usuário)</w:t>
      </w:r>
      <w:r w:rsidRPr="007C5B54">
        <w:tab/>
      </w:r>
      <w:r w:rsidRPr="007C5B54">
        <w:fldChar w:fldCharType="begin"/>
      </w:r>
      <w:r w:rsidRPr="007C5B54">
        <w:instrText xml:space="preserve"> PAGEREF _Toc361829099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Lync Online Plano 3 (SL de Usuário)</w:t>
      </w:r>
      <w:r w:rsidRPr="007C5B54">
        <w:tab/>
      </w:r>
      <w:r w:rsidRPr="007C5B54">
        <w:fldChar w:fldCharType="begin"/>
      </w:r>
      <w:r w:rsidRPr="007C5B54">
        <w:instrText xml:space="preserve"> PAGEREF _Toc361829100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Lync Online Plano 3A (SL de Usuário)</w:t>
      </w:r>
      <w:r w:rsidRPr="007C5B54">
        <w:tab/>
      </w:r>
      <w:r w:rsidRPr="007C5B54">
        <w:fldChar w:fldCharType="begin"/>
      </w:r>
      <w:r w:rsidRPr="007C5B54">
        <w:instrText xml:space="preserve"> PAGEREF _Toc361829101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Lync Server 2013</w:t>
      </w:r>
      <w:r w:rsidRPr="007C5B54">
        <w:tab/>
      </w:r>
      <w:r w:rsidRPr="007C5B54">
        <w:fldChar w:fldCharType="begin"/>
      </w:r>
      <w:r w:rsidRPr="007C5B54">
        <w:instrText xml:space="preserve"> PAGEREF _Toc361829102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Empresarial do Lync Server 2013</w:t>
      </w:r>
      <w:r w:rsidRPr="007C5B54">
        <w:tab/>
      </w:r>
      <w:r w:rsidRPr="007C5B54">
        <w:fldChar w:fldCharType="begin"/>
      </w:r>
      <w:r w:rsidRPr="007C5B54">
        <w:instrText xml:space="preserve"> PAGEREF _Toc361829103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Lync Server Plus 2013</w:t>
      </w:r>
      <w:r w:rsidRPr="007C5B54">
        <w:tab/>
      </w:r>
      <w:r w:rsidRPr="007C5B54">
        <w:fldChar w:fldCharType="begin"/>
      </w:r>
      <w:r w:rsidRPr="007C5B54">
        <w:instrText xml:space="preserve"> PAGEREF _Toc361829104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Padrão do Lync Server 2013</w:t>
      </w:r>
      <w:r w:rsidRPr="007C5B54">
        <w:tab/>
      </w:r>
      <w:r w:rsidRPr="007C5B54">
        <w:fldChar w:fldCharType="begin"/>
      </w:r>
      <w:r w:rsidRPr="007C5B54">
        <w:instrText xml:space="preserve"> PAGEREF _Toc361829105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Empresarial Aditiva do Microsoft Dynamics AX 2012 R2 (Usuário e Dispositivo)</w:t>
      </w:r>
      <w:r w:rsidRPr="007C5B54">
        <w:tab/>
      </w:r>
      <w:r w:rsidRPr="007C5B54">
        <w:fldChar w:fldCharType="begin"/>
      </w:r>
      <w:r w:rsidRPr="007C5B54">
        <w:instrText xml:space="preserve"> PAGEREF _Toc361829106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Empresarial do Microsoft Dynamics AX 2012 R2 (Usuário e Dispositivo)</w:t>
      </w:r>
      <w:r w:rsidRPr="007C5B54">
        <w:tab/>
      </w:r>
      <w:r w:rsidRPr="007C5B54">
        <w:fldChar w:fldCharType="begin"/>
      </w:r>
      <w:r w:rsidRPr="007C5B54">
        <w:instrText xml:space="preserve"> PAGEREF _Toc361829107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Aditiva do Microsoft Dynamics AX 2012 R2 Funcional (Usuário e Dispositivo)</w:t>
      </w:r>
      <w:r w:rsidRPr="007C5B54">
        <w:tab/>
      </w:r>
      <w:r w:rsidRPr="007C5B54">
        <w:fldChar w:fldCharType="begin"/>
      </w:r>
      <w:r w:rsidRPr="007C5B54">
        <w:instrText xml:space="preserve"> PAGEREF _Toc361829108 \h </w:instrText>
      </w:r>
      <w:r w:rsidRPr="007C5B54">
        <w:fldChar w:fldCharType="separate"/>
      </w:r>
      <w:r w:rsidR="008E4487">
        <w:t>22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Funcional do Microsoft Dynamics AX 2012 R2 (Usuário e Dispositivo)</w:t>
      </w:r>
      <w:r w:rsidRPr="007C5B54">
        <w:tab/>
      </w:r>
      <w:r w:rsidRPr="007C5B54">
        <w:fldChar w:fldCharType="begin"/>
      </w:r>
      <w:r w:rsidRPr="007C5B54">
        <w:instrText xml:space="preserve"> PAGEREF _Toc361829109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de Autoatendimento do Microsoft Dynamics AX 2012 R2 (Usuário e Dispositivo)</w:t>
      </w:r>
      <w:r w:rsidRPr="007C5B54">
        <w:tab/>
      </w:r>
      <w:r w:rsidRPr="007C5B54">
        <w:fldChar w:fldCharType="begin"/>
      </w:r>
      <w:r w:rsidRPr="007C5B54">
        <w:instrText xml:space="preserve"> PAGEREF _Toc361829110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Microsoft Dynamics AX 2012 R2 Server</w:t>
      </w:r>
      <w:r w:rsidRPr="007C5B54">
        <w:tab/>
      </w:r>
      <w:r w:rsidRPr="007C5B54">
        <w:fldChar w:fldCharType="begin"/>
      </w:r>
      <w:r w:rsidRPr="007C5B54">
        <w:instrText xml:space="preserve"> PAGEREF _Toc361829111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Aditiva de Tarefa do Microsoft Dynamics AX 2012 R2 (Usuário e Dispositivo)</w:t>
      </w:r>
      <w:r w:rsidRPr="007C5B54">
        <w:tab/>
      </w:r>
      <w:r w:rsidRPr="007C5B54">
        <w:fldChar w:fldCharType="begin"/>
      </w:r>
      <w:r w:rsidRPr="007C5B54">
        <w:instrText xml:space="preserve"> PAGEREF _Toc361829112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lastRenderedPageBreak/>
        <w:t>CAL de Tarefa do Microsoft Dynamics AX 2012 R2 (Usuário e Dispositivo)</w:t>
      </w:r>
      <w:r w:rsidRPr="007C5B54">
        <w:tab/>
      </w:r>
      <w:r w:rsidRPr="007C5B54">
        <w:fldChar w:fldCharType="begin"/>
      </w:r>
      <w:r w:rsidRPr="007C5B54">
        <w:instrText xml:space="preserve"> PAGEREF _Toc361829113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Microsoft Dynamics CRM 2011 (Usuário e Dispositivo)</w:t>
      </w:r>
      <w:r w:rsidRPr="007C5B54">
        <w:tab/>
      </w:r>
      <w:r w:rsidRPr="007C5B54">
        <w:fldChar w:fldCharType="begin"/>
      </w:r>
      <w:r w:rsidRPr="007C5B54">
        <w:instrText xml:space="preserve"> PAGEREF _Toc361829114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Microsoft Dynamics CRM 2011 Employee Self Service (Usuário e Dispositivo)</w:t>
      </w:r>
      <w:r w:rsidRPr="007C5B54">
        <w:tab/>
      </w:r>
      <w:r w:rsidRPr="007C5B54">
        <w:fldChar w:fldCharType="begin"/>
      </w:r>
      <w:r w:rsidRPr="007C5B54">
        <w:instrText xml:space="preserve"> PAGEREF _Toc361829115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Conector Externo para Microsoft Dynamics CRM 2011</w:t>
      </w:r>
      <w:r w:rsidRPr="007C5B54">
        <w:tab/>
      </w:r>
      <w:r w:rsidRPr="007C5B54">
        <w:fldChar w:fldCharType="begin"/>
      </w:r>
      <w:r w:rsidRPr="007C5B54">
        <w:instrText xml:space="preserve"> PAGEREF _Toc361829116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Adicional de Uso Completo do Microsoft Dynamics CRM 2011 (Usuário e Dispositivo)</w:t>
      </w:r>
      <w:r w:rsidRPr="007C5B54">
        <w:tab/>
      </w:r>
      <w:r w:rsidRPr="007C5B54">
        <w:fldChar w:fldCharType="begin"/>
      </w:r>
      <w:r w:rsidRPr="007C5B54">
        <w:instrText xml:space="preserve"> PAGEREF _Toc361829117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Limitada para Microsoft Dynamics CRM 2011 (Usuários e Dispositivo)</w:t>
      </w:r>
      <w:r w:rsidRPr="007C5B54">
        <w:tab/>
      </w:r>
      <w:r w:rsidRPr="007C5B54">
        <w:fldChar w:fldCharType="begin"/>
      </w:r>
      <w:r w:rsidRPr="007C5B54">
        <w:instrText xml:space="preserve"> PAGEREF _Toc361829118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Adicional de Uso Limitado do Microsoft Dynamics CRM 2011 (Usuário e Dispositivo)</w:t>
      </w:r>
      <w:r w:rsidRPr="007C5B54">
        <w:tab/>
      </w:r>
      <w:r w:rsidRPr="007C5B54">
        <w:fldChar w:fldCharType="begin"/>
      </w:r>
      <w:r w:rsidRPr="007C5B54">
        <w:instrText xml:space="preserve"> PAGEREF _Toc361829119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Microsoft Dynamics CRM Server 2011</w:t>
      </w:r>
      <w:r w:rsidRPr="007C5B54">
        <w:tab/>
      </w:r>
      <w:r w:rsidRPr="007C5B54">
        <w:fldChar w:fldCharType="begin"/>
      </w:r>
      <w:r w:rsidRPr="007C5B54">
        <w:instrText xml:space="preserve"> PAGEREF _Toc361829120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Microsoft Dynamics CRM Workgroup Server 2011</w:t>
      </w:r>
      <w:r w:rsidRPr="007C5B54">
        <w:tab/>
      </w:r>
      <w:r w:rsidRPr="007C5B54">
        <w:fldChar w:fldCharType="begin"/>
      </w:r>
      <w:r w:rsidRPr="007C5B54">
        <w:instrText xml:space="preserve"> PAGEREF _Toc361829121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Microsoft Office Audit and Control Management Server</w:t>
      </w:r>
      <w:r w:rsidRPr="007C5B54">
        <w:tab/>
      </w:r>
      <w:r w:rsidRPr="007C5B54">
        <w:fldChar w:fldCharType="begin"/>
      </w:r>
      <w:r w:rsidRPr="007C5B54">
        <w:instrText xml:space="preserve"> PAGEREF _Toc361829122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API do Tradutor da Microsoft</w:t>
      </w:r>
      <w:r w:rsidRPr="007C5B54">
        <w:tab/>
      </w:r>
      <w:r w:rsidRPr="007C5B54">
        <w:fldChar w:fldCharType="begin"/>
      </w:r>
      <w:r w:rsidRPr="007C5B54">
        <w:instrText xml:space="preserve"> PAGEREF _Toc361829123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Midsize Business (SL de Usuário)</w:t>
      </w:r>
      <w:r w:rsidRPr="007C5B54">
        <w:tab/>
      </w:r>
      <w:r w:rsidRPr="007C5B54">
        <w:fldChar w:fldCharType="begin"/>
      </w:r>
      <w:r w:rsidRPr="007C5B54">
        <w:instrText xml:space="preserve"> PAGEREF _Toc361829124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Education A2 (SL de Usuário)</w:t>
      </w:r>
      <w:r w:rsidRPr="007C5B54">
        <w:tab/>
      </w:r>
      <w:r w:rsidRPr="007C5B54">
        <w:fldChar w:fldCharType="begin"/>
      </w:r>
      <w:r w:rsidRPr="007C5B54">
        <w:instrText xml:space="preserve"> PAGEREF _Toc361829125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Education A3 (SL de Usuário)</w:t>
      </w:r>
      <w:r w:rsidRPr="007C5B54">
        <w:tab/>
      </w:r>
      <w:r w:rsidRPr="007C5B54">
        <w:fldChar w:fldCharType="begin"/>
      </w:r>
      <w:r w:rsidRPr="007C5B54">
        <w:instrText xml:space="preserve"> PAGEREF _Toc361829126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Education A4 (SL de Usuário)</w:t>
      </w:r>
      <w:r w:rsidRPr="007C5B54">
        <w:tab/>
      </w:r>
      <w:r w:rsidRPr="007C5B54">
        <w:fldChar w:fldCharType="begin"/>
      </w:r>
      <w:r w:rsidRPr="007C5B54">
        <w:instrText xml:space="preserve"> PAGEREF _Toc361829127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Enterprise E1 (SL de Usuário)</w:t>
      </w:r>
      <w:r w:rsidRPr="007C5B54">
        <w:tab/>
      </w:r>
      <w:r w:rsidRPr="007C5B54">
        <w:fldChar w:fldCharType="begin"/>
      </w:r>
      <w:r w:rsidRPr="007C5B54">
        <w:instrText xml:space="preserve"> PAGEREF _Toc361829128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Enterprise E2 - E4 (SL de Usuário)</w:t>
      </w:r>
      <w:r w:rsidRPr="007C5B54">
        <w:tab/>
      </w:r>
      <w:r w:rsidRPr="007C5B54">
        <w:fldChar w:fldCharType="begin"/>
      </w:r>
      <w:r w:rsidRPr="007C5B54">
        <w:instrText xml:space="preserve"> PAGEREF _Toc361829129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Office 365 Enterprise E1, E3, E4 (SL de Usuário)</w:t>
      </w:r>
      <w:r w:rsidRPr="007C5B54">
        <w:tab/>
      </w:r>
      <w:r w:rsidRPr="007C5B54">
        <w:fldChar w:fldCharType="begin"/>
      </w:r>
      <w:r w:rsidRPr="007C5B54">
        <w:instrText xml:space="preserve"> PAGEREF _Toc361829130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Enterprise E3, E4 sem Complemento do Office Pro Plus (SL de Usuário)</w:t>
      </w:r>
      <w:r w:rsidRPr="007C5B54">
        <w:tab/>
      </w:r>
      <w:r w:rsidRPr="007C5B54">
        <w:fldChar w:fldCharType="begin"/>
      </w:r>
      <w:r w:rsidRPr="007C5B54">
        <w:instrText xml:space="preserve"> PAGEREF _Toc361829131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Enterprise K1 (SL de Usuário)</w:t>
      </w:r>
      <w:r w:rsidRPr="007C5B54">
        <w:tab/>
      </w:r>
      <w:r w:rsidRPr="007C5B54">
        <w:fldChar w:fldCharType="begin"/>
      </w:r>
      <w:r w:rsidRPr="007C5B54">
        <w:instrText xml:space="preserve"> PAGEREF _Toc361829132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Enterprise K2 (SL de Usuário)</w:t>
      </w:r>
      <w:r w:rsidRPr="007C5B54">
        <w:tab/>
      </w:r>
      <w:r w:rsidRPr="007C5B54">
        <w:fldChar w:fldCharType="begin"/>
      </w:r>
      <w:r w:rsidRPr="007C5B54">
        <w:instrText xml:space="preserve"> PAGEREF _Toc361829133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Government G1 - G4 (SL de Usuário)</w:t>
      </w:r>
      <w:r w:rsidRPr="007C5B54">
        <w:tab/>
      </w:r>
      <w:r w:rsidRPr="007C5B54">
        <w:fldChar w:fldCharType="begin"/>
      </w:r>
      <w:r w:rsidRPr="007C5B54">
        <w:instrText xml:space="preserve"> PAGEREF _Toc361829134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Office 365 Government G1, G3, G4 (SL de Usuário)</w:t>
      </w:r>
      <w:r w:rsidRPr="007C5B54">
        <w:tab/>
      </w:r>
      <w:r w:rsidRPr="007C5B54">
        <w:fldChar w:fldCharType="begin"/>
      </w:r>
      <w:r w:rsidRPr="007C5B54">
        <w:instrText xml:space="preserve"> PAGEREF _Toc361829135 \h </w:instrText>
      </w:r>
      <w:r w:rsidRPr="007C5B54">
        <w:fldChar w:fldCharType="separate"/>
      </w:r>
      <w:r w:rsidR="008E4487">
        <w:t>23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Office 365 Government G3, G4 sem Complemento do Office Pro Plus (SL de Usuário)</w:t>
      </w:r>
      <w:r w:rsidRPr="007C5B54">
        <w:tab/>
      </w:r>
      <w:r w:rsidRPr="007C5B54">
        <w:fldChar w:fldCharType="begin"/>
      </w:r>
      <w:r w:rsidRPr="007C5B54">
        <w:instrText xml:space="preserve"> PAGEREF _Toc361829136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Aplicativos da Web do Office com SharePoint Plano 2A (SL do Usuário)</w:t>
      </w:r>
      <w:r w:rsidRPr="007C5B54">
        <w:tab/>
      </w:r>
      <w:r w:rsidRPr="007C5B54">
        <w:fldChar w:fldCharType="begin"/>
      </w:r>
      <w:r w:rsidRPr="007C5B54">
        <w:instrText xml:space="preserve"> PAGEREF _Toc361829137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Project Online</w:t>
      </w:r>
      <w:r w:rsidRPr="007C5B54">
        <w:tab/>
      </w:r>
      <w:r w:rsidRPr="007C5B54">
        <w:fldChar w:fldCharType="begin"/>
      </w:r>
      <w:r w:rsidRPr="007C5B54">
        <w:instrText xml:space="preserve"> PAGEREF _Toc361829138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Project Online A</w:t>
      </w:r>
      <w:r w:rsidRPr="007C5B54">
        <w:tab/>
      </w:r>
      <w:r w:rsidRPr="007C5B54">
        <w:fldChar w:fldCharType="begin"/>
      </w:r>
      <w:r w:rsidRPr="007C5B54">
        <w:instrText xml:space="preserve"> PAGEREF _Toc361829139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Project Server 2013</w:t>
      </w:r>
      <w:r w:rsidRPr="007C5B54">
        <w:tab/>
      </w:r>
      <w:r w:rsidRPr="007C5B54">
        <w:fldChar w:fldCharType="begin"/>
      </w:r>
      <w:r w:rsidRPr="007C5B54">
        <w:instrText xml:space="preserve"> PAGEREF _Toc361829140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Project Server 2013</w:t>
      </w:r>
      <w:r w:rsidRPr="007C5B54">
        <w:tab/>
      </w:r>
      <w:r w:rsidRPr="007C5B54">
        <w:fldChar w:fldCharType="begin"/>
      </w:r>
      <w:r w:rsidRPr="007C5B54">
        <w:instrText xml:space="preserve"> PAGEREF _Toc361829141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Armazenamento Extra do SharePoint™ Online de 1 GB (SL Complementar)</w:t>
      </w:r>
      <w:r w:rsidRPr="007C5B54">
        <w:tab/>
      </w:r>
      <w:r w:rsidRPr="007C5B54">
        <w:fldChar w:fldCharType="begin"/>
      </w:r>
      <w:r w:rsidRPr="007C5B54">
        <w:instrText xml:space="preserve"> PAGEREF _Toc361829142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Armazenamento Extra do SharePoint™ Online de A 1 GB (SL Complementar)</w:t>
      </w:r>
      <w:r w:rsidRPr="007C5B54">
        <w:tab/>
      </w:r>
      <w:r w:rsidRPr="007C5B54">
        <w:fldChar w:fldCharType="begin"/>
      </w:r>
      <w:r w:rsidRPr="007C5B54">
        <w:instrText xml:space="preserve"> PAGEREF _Toc361829143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SharePoint™ Online Plano 1 (SL de Usuário)</w:t>
      </w:r>
      <w:r w:rsidRPr="007C5B54">
        <w:tab/>
      </w:r>
      <w:r w:rsidRPr="007C5B54">
        <w:fldChar w:fldCharType="begin"/>
      </w:r>
      <w:r w:rsidRPr="007C5B54">
        <w:instrText xml:space="preserve"> PAGEREF _Toc361829144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SharePoint™ Online Plano 1 (SL de Usuário)</w:t>
      </w:r>
      <w:r w:rsidRPr="007C5B54">
        <w:tab/>
      </w:r>
      <w:r w:rsidRPr="007C5B54">
        <w:fldChar w:fldCharType="begin"/>
      </w:r>
      <w:r w:rsidRPr="007C5B54">
        <w:instrText xml:space="preserve"> PAGEREF _Toc361829145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SharePoint™ Online Plano 1 com Complemento Yammer (SL de Usuário)</w:t>
      </w:r>
      <w:r w:rsidRPr="007C5B54">
        <w:tab/>
      </w:r>
      <w:r w:rsidRPr="007C5B54">
        <w:fldChar w:fldCharType="begin"/>
      </w:r>
      <w:r w:rsidRPr="007C5B54">
        <w:instrText xml:space="preserve"> PAGEREF _Toc361829146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SharePoint™ Online Plano 2 (SL de Usuário)</w:t>
      </w:r>
      <w:r w:rsidRPr="007C5B54">
        <w:tab/>
      </w:r>
      <w:r w:rsidRPr="007C5B54">
        <w:fldChar w:fldCharType="begin"/>
      </w:r>
      <w:r w:rsidRPr="007C5B54">
        <w:instrText xml:space="preserve"> PAGEREF _Toc361829147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SharePoint™ Server 2013</w:t>
      </w:r>
      <w:r w:rsidRPr="007C5B54">
        <w:tab/>
      </w:r>
      <w:r w:rsidRPr="007C5B54">
        <w:fldChar w:fldCharType="begin"/>
      </w:r>
      <w:r w:rsidRPr="007C5B54">
        <w:instrText xml:space="preserve"> PAGEREF _Toc361829148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Empresarial do SharePoint™ Server 2013</w:t>
      </w:r>
      <w:r w:rsidRPr="007C5B54">
        <w:tab/>
      </w:r>
      <w:r w:rsidRPr="007C5B54">
        <w:fldChar w:fldCharType="begin"/>
      </w:r>
      <w:r w:rsidRPr="007C5B54">
        <w:instrText xml:space="preserve"> PAGEREF _Toc361829149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Padrão do SharePoint™ Server 2013</w:t>
      </w:r>
      <w:r w:rsidRPr="007C5B54">
        <w:tab/>
      </w:r>
      <w:r w:rsidRPr="007C5B54">
        <w:fldChar w:fldCharType="begin"/>
      </w:r>
      <w:r w:rsidRPr="007C5B54">
        <w:instrText xml:space="preserve"> PAGEREF _Toc361829150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para um processador do SQL Server</w:t>
      </w:r>
      <w:r w:rsidRPr="007C5B54">
        <w:rPr>
          <w:rFonts w:eastAsia="Times New Roman" w:cs="Tahoma"/>
          <w:vertAlign w:val="superscript"/>
        </w:rPr>
        <w:t>®</w:t>
      </w:r>
      <w:r w:rsidRPr="007C5B54">
        <w:rPr>
          <w:rFonts w:cs="Tahoma"/>
        </w:rPr>
        <w:t xml:space="preserve"> 2008 R2 Datacenter 1</w:t>
      </w:r>
      <w:r w:rsidRPr="007C5B54">
        <w:tab/>
      </w:r>
      <w:r w:rsidRPr="007C5B54">
        <w:fldChar w:fldCharType="begin"/>
      </w:r>
      <w:r w:rsidRPr="007C5B54">
        <w:instrText xml:space="preserve"> PAGEREF _Toc361829151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2008 R2 Small Business</w:t>
      </w:r>
      <w:r w:rsidRPr="007C5B54">
        <w:tab/>
      </w:r>
      <w:r w:rsidRPr="007C5B54">
        <w:fldChar w:fldCharType="begin"/>
      </w:r>
      <w:r w:rsidRPr="007C5B54">
        <w:instrText xml:space="preserve"> PAGEREF _Toc361829152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SQL Server</w:t>
      </w:r>
      <w:r w:rsidRPr="007C5B54">
        <w:rPr>
          <w:rFonts w:eastAsia="Times New Roman" w:cs="Tahoma"/>
          <w:vertAlign w:val="superscript"/>
        </w:rPr>
        <w:t>®</w:t>
      </w:r>
      <w:r w:rsidRPr="007C5B54">
        <w:rPr>
          <w:rFonts w:cs="Tahoma"/>
        </w:rPr>
        <w:t xml:space="preserve"> 2008 R2 Small Business</w:t>
      </w:r>
      <w:r w:rsidRPr="007C5B54">
        <w:tab/>
      </w:r>
      <w:r w:rsidRPr="007C5B54">
        <w:fldChar w:fldCharType="begin"/>
      </w:r>
      <w:r w:rsidRPr="007C5B54">
        <w:instrText xml:space="preserve"> PAGEREF _Toc361829153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2008 R2 Web por Processador</w:t>
      </w:r>
      <w:r w:rsidRPr="007C5B54">
        <w:tab/>
      </w:r>
      <w:r w:rsidRPr="007C5B54">
        <w:fldChar w:fldCharType="begin"/>
      </w:r>
      <w:r w:rsidRPr="007C5B54">
        <w:instrText xml:space="preserve"> PAGEREF _Toc361829154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SQL Server</w:t>
      </w:r>
      <w:r w:rsidRPr="007C5B54">
        <w:rPr>
          <w:rFonts w:eastAsia="Times New Roman" w:cs="Tahoma"/>
          <w:vertAlign w:val="superscript"/>
        </w:rPr>
        <w:t>®</w:t>
      </w:r>
      <w:r w:rsidRPr="007C5B54">
        <w:rPr>
          <w:rFonts w:cs="Tahoma"/>
        </w:rPr>
        <w:t xml:space="preserve"> 2008 R2 Workgroup</w:t>
      </w:r>
      <w:r w:rsidRPr="007C5B54">
        <w:tab/>
      </w:r>
      <w:r w:rsidRPr="007C5B54">
        <w:fldChar w:fldCharType="begin"/>
      </w:r>
      <w:r w:rsidRPr="007C5B54">
        <w:instrText xml:space="preserve"> PAGEREF _Toc361829155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2008 R2 Workgroup (Complementar para 5 Clientes)</w:t>
      </w:r>
      <w:r w:rsidRPr="007C5B54">
        <w:tab/>
      </w:r>
      <w:r w:rsidRPr="007C5B54">
        <w:fldChar w:fldCharType="begin"/>
      </w:r>
      <w:r w:rsidRPr="007C5B54">
        <w:instrText xml:space="preserve"> PAGEREF _Toc361829156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para um Processador do SQL Server</w:t>
      </w:r>
      <w:r w:rsidRPr="007C5B54">
        <w:rPr>
          <w:rFonts w:eastAsia="Times New Roman" w:cs="Tahoma"/>
          <w:vertAlign w:val="superscript"/>
        </w:rPr>
        <w:t>®</w:t>
      </w:r>
      <w:r w:rsidRPr="007C5B54">
        <w:rPr>
          <w:rFonts w:cs="Tahoma"/>
        </w:rPr>
        <w:t xml:space="preserve"> 2008 R2 Workgroup</w:t>
      </w:r>
      <w:r w:rsidRPr="007C5B54">
        <w:tab/>
      </w:r>
      <w:r w:rsidRPr="007C5B54">
        <w:fldChar w:fldCharType="begin"/>
      </w:r>
      <w:r w:rsidRPr="007C5B54">
        <w:instrText xml:space="preserve"> PAGEREF _Toc361829157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2012 Business Intelligence</w:t>
      </w:r>
      <w:r w:rsidRPr="007C5B54">
        <w:tab/>
      </w:r>
      <w:r w:rsidRPr="007C5B54">
        <w:fldChar w:fldCharType="begin"/>
      </w:r>
      <w:r w:rsidRPr="007C5B54">
        <w:instrText xml:space="preserve"> PAGEREF _Toc361829158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SQL Server</w:t>
      </w:r>
      <w:r w:rsidRPr="007C5B54">
        <w:rPr>
          <w:rFonts w:eastAsia="Times New Roman" w:cs="Tahoma"/>
          <w:vertAlign w:val="superscript"/>
        </w:rPr>
        <w:t>®</w:t>
      </w:r>
      <w:r w:rsidRPr="007C5B54">
        <w:rPr>
          <w:rFonts w:cs="Tahoma"/>
        </w:rPr>
        <w:t xml:space="preserve"> 2012 (SL de Usuário e Dispositivo)</w:t>
      </w:r>
      <w:r w:rsidRPr="007C5B54">
        <w:tab/>
      </w:r>
      <w:r w:rsidRPr="007C5B54">
        <w:fldChar w:fldCharType="begin"/>
      </w:r>
      <w:r w:rsidRPr="007C5B54">
        <w:instrText xml:space="preserve"> PAGEREF _Toc361829159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2012 Developer</w:t>
      </w:r>
      <w:r w:rsidRPr="007C5B54">
        <w:tab/>
      </w:r>
      <w:r w:rsidRPr="007C5B54">
        <w:fldChar w:fldCharType="begin"/>
      </w:r>
      <w:r w:rsidRPr="007C5B54">
        <w:instrText xml:space="preserve"> PAGEREF _Toc361829160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2012 Enterprise</w:t>
      </w:r>
      <w:r w:rsidRPr="007C5B54">
        <w:tab/>
      </w:r>
      <w:r w:rsidRPr="007C5B54">
        <w:fldChar w:fldCharType="begin"/>
      </w:r>
      <w:r w:rsidRPr="007C5B54">
        <w:instrText xml:space="preserve"> PAGEREF _Toc361829161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2012 Enterprise Core (duas Licenças Principais de pacote)</w:t>
      </w:r>
      <w:r w:rsidRPr="007C5B54">
        <w:tab/>
      </w:r>
      <w:r w:rsidRPr="007C5B54">
        <w:fldChar w:fldCharType="begin"/>
      </w:r>
      <w:r w:rsidRPr="007C5B54">
        <w:instrText xml:space="preserve"> PAGEREF _Toc361829162 \h </w:instrText>
      </w:r>
      <w:r w:rsidRPr="007C5B54">
        <w:fldChar w:fldCharType="separate"/>
      </w:r>
      <w:r w:rsidR="008E4487">
        <w:t>24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2012 Parallel Data Warehouse</w:t>
      </w:r>
      <w:r w:rsidRPr="007C5B54">
        <w:tab/>
      </w:r>
      <w:r w:rsidRPr="007C5B54">
        <w:fldChar w:fldCharType="begin"/>
      </w:r>
      <w:r w:rsidRPr="007C5B54">
        <w:instrText xml:space="preserve"> PAGEREF _Toc361829163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2012 Parallel Data Warehouse Developer</w:t>
      </w:r>
      <w:r w:rsidRPr="007C5B54">
        <w:tab/>
      </w:r>
      <w:r w:rsidRPr="007C5B54">
        <w:fldChar w:fldCharType="begin"/>
      </w:r>
      <w:r w:rsidRPr="007C5B54">
        <w:instrText xml:space="preserve"> PAGEREF _Toc361829164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2012 Standard</w:t>
      </w:r>
      <w:r w:rsidRPr="007C5B54">
        <w:tab/>
      </w:r>
      <w:r w:rsidRPr="007C5B54">
        <w:fldChar w:fldCharType="begin"/>
      </w:r>
      <w:r w:rsidRPr="007C5B54">
        <w:instrText xml:space="preserve"> PAGEREF _Toc361829165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SQL Server</w:t>
      </w:r>
      <w:r w:rsidRPr="007C5B54">
        <w:rPr>
          <w:rFonts w:eastAsia="Times New Roman" w:cs="Tahoma"/>
          <w:vertAlign w:val="superscript"/>
        </w:rPr>
        <w:t>®</w:t>
      </w:r>
      <w:r w:rsidRPr="007C5B54">
        <w:rPr>
          <w:rFonts w:cs="Tahoma"/>
        </w:rPr>
        <w:t xml:space="preserve"> 2012 Standard Core (duas Licenças Principais de pacote)</w:t>
      </w:r>
      <w:r w:rsidRPr="007C5B54">
        <w:tab/>
      </w:r>
      <w:r w:rsidRPr="007C5B54">
        <w:fldChar w:fldCharType="begin"/>
      </w:r>
      <w:r w:rsidRPr="007C5B54">
        <w:instrText xml:space="preserve"> PAGEREF _Toc361829166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Servidor do System Center Configuration Manager 2007 R3 Enterprise</w:t>
      </w:r>
      <w:r w:rsidRPr="007C5B54">
        <w:tab/>
      </w:r>
      <w:r w:rsidRPr="007C5B54">
        <w:fldChar w:fldCharType="begin"/>
      </w:r>
      <w:r w:rsidRPr="007C5B54">
        <w:instrText xml:space="preserve"> PAGEREF _Toc361829167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 xml:space="preserve">Licença de Gerenciamento de Servidor Standard (ML de Servidor Standard) do </w:t>
      </w:r>
      <w:r w:rsidRPr="007C5B54">
        <w:rPr>
          <w:rFonts w:cs="Tahoma"/>
        </w:rPr>
        <w:br/>
        <w:t>System Center Configuration Manager 2007 R3)</w:t>
      </w:r>
      <w:r w:rsidRPr="007C5B54">
        <w:tab/>
      </w:r>
      <w:r w:rsidRPr="007C5B54">
        <w:fldChar w:fldCharType="begin"/>
      </w:r>
      <w:r w:rsidRPr="007C5B54">
        <w:instrText xml:space="preserve"> PAGEREF _Toc361829168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Servidor Enterprise do System Center Data Protection Manager 2010</w:t>
      </w:r>
      <w:r w:rsidRPr="007C5B54">
        <w:tab/>
      </w:r>
      <w:r w:rsidRPr="007C5B54">
        <w:fldChar w:fldCharType="begin"/>
      </w:r>
      <w:r w:rsidRPr="007C5B54">
        <w:instrText xml:space="preserve"> PAGEREF _Toc361829169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Servidor Standard do System Center Data Protection Manager 2010</w:t>
      </w:r>
      <w:r w:rsidRPr="007C5B54">
        <w:tab/>
      </w:r>
      <w:r w:rsidRPr="007C5B54">
        <w:fldChar w:fldCharType="begin"/>
      </w:r>
      <w:r w:rsidRPr="007C5B54">
        <w:instrText xml:space="preserve"> PAGEREF _Toc361829170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lastRenderedPageBreak/>
        <w:t>System Center Essentials 2010</w:t>
      </w:r>
      <w:r w:rsidRPr="007C5B54">
        <w:tab/>
      </w:r>
      <w:r w:rsidRPr="007C5B54">
        <w:fldChar w:fldCharType="begin"/>
      </w:r>
      <w:r w:rsidRPr="007C5B54">
        <w:instrText xml:space="preserve"> PAGEREF _Toc361829171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ML de Cliente do System Center Essentials 2010</w:t>
      </w:r>
      <w:r w:rsidRPr="007C5B54">
        <w:tab/>
      </w:r>
      <w:r w:rsidRPr="007C5B54">
        <w:fldChar w:fldCharType="begin"/>
      </w:r>
      <w:r w:rsidRPr="007C5B54">
        <w:instrText xml:space="preserve"> PAGEREF _Toc361829172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ML de Servidor do System Center Essentials 2010</w:t>
      </w:r>
      <w:r w:rsidRPr="007C5B54">
        <w:tab/>
      </w:r>
      <w:r w:rsidRPr="007C5B54">
        <w:fldChar w:fldCharType="begin"/>
      </w:r>
      <w:r w:rsidRPr="007C5B54">
        <w:instrText xml:space="preserve"> PAGEREF _Toc361829173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System Center Essentials 2010 com Tecnologia SQL Server 2008</w:t>
      </w:r>
      <w:r w:rsidRPr="007C5B54">
        <w:tab/>
      </w:r>
      <w:r w:rsidRPr="007C5B54">
        <w:fldChar w:fldCharType="begin"/>
      </w:r>
      <w:r w:rsidRPr="007C5B54">
        <w:instrText xml:space="preserve"> PAGEREF _Toc361829174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Management License Suite do System Center Essentials Plus 2010 Client</w:t>
      </w:r>
      <w:r w:rsidRPr="007C5B54">
        <w:tab/>
      </w:r>
      <w:r w:rsidRPr="007C5B54">
        <w:fldChar w:fldCharType="begin"/>
      </w:r>
      <w:r w:rsidRPr="007C5B54">
        <w:instrText xml:space="preserve"> PAGEREF _Toc361829175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Servidor Standard do System Center Operations Manager 2007 R2</w:t>
      </w:r>
      <w:r w:rsidRPr="007C5B54">
        <w:tab/>
      </w:r>
      <w:r w:rsidRPr="007C5B54">
        <w:fldChar w:fldCharType="begin"/>
      </w:r>
      <w:r w:rsidRPr="007C5B54">
        <w:instrText xml:space="preserve"> PAGEREF _Toc361829176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Servidor Enterprise do System Center Operations Manager 2007 R2</w:t>
      </w:r>
      <w:r w:rsidRPr="007C5B54">
        <w:tab/>
      </w:r>
      <w:r w:rsidRPr="007C5B54">
        <w:fldChar w:fldCharType="begin"/>
      </w:r>
      <w:r w:rsidRPr="007C5B54">
        <w:instrText xml:space="preserve"> PAGEREF _Toc361829177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do System Center Operations Manager 2007 R2 por OSE</w:t>
      </w:r>
      <w:r w:rsidRPr="007C5B54">
        <w:tab/>
      </w:r>
      <w:r w:rsidRPr="007C5B54">
        <w:fldChar w:fldCharType="begin"/>
      </w:r>
      <w:r w:rsidRPr="007C5B54">
        <w:instrText xml:space="preserve"> PAGEREF _Toc361829178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do System Center Operations Manager 2007 R2 por Usuário</w:t>
      </w:r>
      <w:r w:rsidRPr="007C5B54">
        <w:tab/>
      </w:r>
      <w:r w:rsidRPr="007C5B54">
        <w:fldChar w:fldCharType="begin"/>
      </w:r>
      <w:r w:rsidRPr="007C5B54">
        <w:instrText xml:space="preserve"> PAGEREF _Toc361829179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System Center Reporting Manager 2006</w:t>
      </w:r>
      <w:r w:rsidRPr="007C5B54">
        <w:tab/>
      </w:r>
      <w:r w:rsidRPr="007C5B54">
        <w:fldChar w:fldCharType="begin"/>
      </w:r>
      <w:r w:rsidRPr="007C5B54">
        <w:instrText xml:space="preserve"> PAGEREF _Toc361829180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System Center Server Management Suite Enterprise</w:t>
      </w:r>
      <w:r w:rsidRPr="007C5B54">
        <w:tab/>
      </w:r>
      <w:r w:rsidRPr="007C5B54">
        <w:fldChar w:fldCharType="begin"/>
      </w:r>
      <w:r w:rsidRPr="007C5B54">
        <w:instrText xml:space="preserve"> PAGEREF _Toc361829181 \h </w:instrText>
      </w:r>
      <w:r w:rsidRPr="007C5B54">
        <w:fldChar w:fldCharType="separate"/>
      </w:r>
      <w:r w:rsidR="008E4487">
        <w:t>25</w:t>
      </w:r>
      <w:r w:rsidRPr="007C5B54">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System Center Server Management Suite Datacenter</w:t>
      </w:r>
      <w:r w:rsidRPr="007C5B54">
        <w:rPr>
          <w:noProof/>
        </w:rPr>
        <w:tab/>
      </w:r>
      <w:r w:rsidRPr="007C5B54">
        <w:rPr>
          <w:noProof/>
        </w:rPr>
        <w:fldChar w:fldCharType="begin"/>
      </w:r>
      <w:r w:rsidRPr="007C5B54">
        <w:rPr>
          <w:noProof/>
        </w:rPr>
        <w:instrText xml:space="preserve"> PAGEREF _Toc361829182 \h </w:instrText>
      </w:r>
      <w:r w:rsidRPr="007C5B54">
        <w:rPr>
          <w:noProof/>
        </w:rPr>
      </w:r>
      <w:r w:rsidRPr="007C5B54">
        <w:rPr>
          <w:noProof/>
        </w:rPr>
        <w:fldChar w:fldCharType="separate"/>
      </w:r>
      <w:r w:rsidR="008E4487">
        <w:rPr>
          <w:noProof/>
        </w:rPr>
        <w:t>25</w:t>
      </w:r>
      <w:r w:rsidRPr="007C5B54">
        <w:rPr>
          <w:noProof/>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(ML de Cliente) do System Center Service Manager 2010 por OSE</w:t>
      </w:r>
      <w:r w:rsidRPr="007C5B54">
        <w:tab/>
      </w:r>
      <w:r w:rsidRPr="007C5B54">
        <w:fldChar w:fldCharType="begin"/>
      </w:r>
      <w:r w:rsidRPr="007C5B54">
        <w:instrText xml:space="preserve"> PAGEREF _Toc361829183 \h </w:instrText>
      </w:r>
      <w:r w:rsidRPr="007C5B54">
        <w:fldChar w:fldCharType="separate"/>
      </w:r>
      <w:r w:rsidR="008E4487">
        <w:t>25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(ML de Cliente) do System Center Service Manager 2010 por Usuário</w:t>
      </w:r>
      <w:r w:rsidRPr="007C5B54">
        <w:tab/>
      </w:r>
      <w:r w:rsidRPr="007C5B54">
        <w:fldChar w:fldCharType="begin"/>
      </w:r>
      <w:r w:rsidRPr="007C5B54">
        <w:instrText xml:space="preserve"> PAGEREF _Toc361829184 \h </w:instrText>
      </w:r>
      <w:r w:rsidRPr="007C5B54">
        <w:fldChar w:fldCharType="separate"/>
      </w:r>
      <w:r w:rsidR="008E4487">
        <w:t>25</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Licença de Gerenciamento de Servidor (ML de Servidor) do System Center Service Manager 2010 por OSE</w:t>
      </w:r>
      <w:r w:rsidRPr="007C5B54">
        <w:rPr>
          <w:color w:val="auto"/>
        </w:rPr>
        <w:tab/>
      </w:r>
      <w:r w:rsidRPr="007C5B54">
        <w:rPr>
          <w:color w:val="auto"/>
        </w:rPr>
        <w:fldChar w:fldCharType="begin"/>
      </w:r>
      <w:r w:rsidRPr="007C5B54">
        <w:rPr>
          <w:color w:val="auto"/>
        </w:rPr>
        <w:instrText xml:space="preserve"> PAGEREF _Toc361829185 \h </w:instrText>
      </w:r>
      <w:r w:rsidRPr="007C5B54">
        <w:rPr>
          <w:color w:val="auto"/>
        </w:rPr>
      </w:r>
      <w:r w:rsidRPr="007C5B54">
        <w:rPr>
          <w:color w:val="auto"/>
        </w:rPr>
        <w:fldChar w:fldCharType="separate"/>
      </w:r>
      <w:r w:rsidR="008E4487">
        <w:rPr>
          <w:color w:val="auto"/>
        </w:rPr>
        <w:t>26</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do System Center Virtual Machine Manager 2008 R2 por OSE</w:t>
      </w:r>
      <w:r w:rsidRPr="007C5B54">
        <w:tab/>
      </w:r>
      <w:r w:rsidRPr="007C5B54">
        <w:fldChar w:fldCharType="begin"/>
      </w:r>
      <w:r w:rsidRPr="007C5B54">
        <w:instrText xml:space="preserve"> PAGEREF _Toc361829186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do System Center Virtual Machine Manager 2008 R2 por Usuário</w:t>
      </w:r>
      <w:r w:rsidRPr="007C5B54">
        <w:tab/>
      </w:r>
      <w:r w:rsidRPr="007C5B54">
        <w:fldChar w:fldCharType="begin"/>
      </w:r>
      <w:r w:rsidRPr="007C5B54">
        <w:instrText xml:space="preserve"> PAGEREF _Toc361829187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Servidor Enterprise do System Center Virtual Machine Manager 2008 R2</w:t>
      </w:r>
      <w:r w:rsidRPr="007C5B54">
        <w:tab/>
      </w:r>
      <w:r w:rsidRPr="007C5B54">
        <w:fldChar w:fldCharType="begin"/>
      </w:r>
      <w:r w:rsidRPr="007C5B54">
        <w:instrText xml:space="preserve"> PAGEREF _Toc361829188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System Center 2012 Client Management Suite (ML de Cliente) por OSE</w:t>
      </w:r>
      <w:r w:rsidRPr="007C5B54">
        <w:tab/>
      </w:r>
      <w:r w:rsidRPr="007C5B54">
        <w:fldChar w:fldCharType="begin"/>
      </w:r>
      <w:r w:rsidRPr="007C5B54">
        <w:instrText xml:space="preserve"> PAGEREF _Toc361829189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System Center 2012 Client Management Suite (ML de Cliente) por Usuário</w:t>
      </w:r>
      <w:r w:rsidRPr="007C5B54">
        <w:tab/>
      </w:r>
      <w:r w:rsidRPr="007C5B54">
        <w:fldChar w:fldCharType="begin"/>
      </w:r>
      <w:r w:rsidRPr="007C5B54">
        <w:instrText xml:space="preserve"> PAGEREF _Toc361829190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 xml:space="preserve">Licença de Gerenciamento de Cliente (ML de Cliente) do System Center 2012 </w:t>
      </w:r>
      <w:r w:rsidRPr="007C5B54">
        <w:rPr>
          <w:rFonts w:cs="Tahoma"/>
        </w:rPr>
        <w:br/>
        <w:t>Configuration Manager (Somente para Aluno)</w:t>
      </w:r>
      <w:r w:rsidRPr="007C5B54">
        <w:tab/>
      </w:r>
      <w:r w:rsidRPr="007C5B54">
        <w:fldChar w:fldCharType="begin"/>
      </w:r>
      <w:r w:rsidRPr="007C5B54">
        <w:instrText xml:space="preserve"> PAGEREF _Toc361829191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do System Center 2012 Configuration Manager por OSE</w:t>
      </w:r>
      <w:r w:rsidRPr="007C5B54">
        <w:tab/>
      </w:r>
      <w:r w:rsidRPr="007C5B54">
        <w:fldChar w:fldCharType="begin"/>
      </w:r>
      <w:r w:rsidRPr="007C5B54">
        <w:instrText xml:space="preserve"> PAGEREF _Toc361829192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do System Center 2012 Configuration Manager por Usuário</w:t>
      </w:r>
      <w:r w:rsidRPr="007C5B54">
        <w:tab/>
      </w:r>
      <w:r w:rsidRPr="007C5B54">
        <w:fldChar w:fldCharType="begin"/>
      </w:r>
      <w:r w:rsidRPr="007C5B54">
        <w:instrText xml:space="preserve"> PAGEREF _Toc361829193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do System Center 2012 Datacenter Server (2 processadores)</w:t>
      </w:r>
      <w:r w:rsidRPr="007C5B54">
        <w:tab/>
      </w:r>
      <w:r w:rsidRPr="007C5B54">
        <w:fldChar w:fldCharType="begin"/>
      </w:r>
      <w:r w:rsidRPr="007C5B54">
        <w:instrText xml:space="preserve"> PAGEREF _Toc361829194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System Center 2012 Endpoint Protection</w:t>
      </w:r>
      <w:r w:rsidRPr="007C5B54">
        <w:tab/>
      </w:r>
      <w:r w:rsidRPr="007C5B54">
        <w:fldChar w:fldCharType="begin"/>
      </w:r>
      <w:r w:rsidRPr="007C5B54">
        <w:instrText xml:space="preserve"> PAGEREF _Toc361829195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do System Center 2012 Standard Server (2 processadores)</w:t>
      </w:r>
      <w:r w:rsidRPr="007C5B54">
        <w:tab/>
      </w:r>
      <w:r w:rsidRPr="007C5B54">
        <w:fldChar w:fldCharType="begin"/>
      </w:r>
      <w:r w:rsidRPr="007C5B54">
        <w:instrText xml:space="preserve"> PAGEREF _Toc361829196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TechNet Plus Single User</w:t>
      </w:r>
      <w:r w:rsidRPr="007C5B54">
        <w:tab/>
      </w:r>
      <w:r w:rsidRPr="007C5B54">
        <w:fldChar w:fldCharType="begin"/>
      </w:r>
      <w:r w:rsidRPr="007C5B54">
        <w:instrText xml:space="preserve"> PAGEREF _Toc361829197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VDI Suite</w:t>
      </w:r>
      <w:r w:rsidRPr="007C5B54">
        <w:tab/>
      </w:r>
      <w:r w:rsidRPr="007C5B54">
        <w:fldChar w:fldCharType="begin"/>
      </w:r>
      <w:r w:rsidRPr="007C5B54">
        <w:instrText xml:space="preserve"> PAGEREF _Toc361829198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VDI Suite com MDOP</w:t>
      </w:r>
      <w:r w:rsidRPr="007C5B54">
        <w:tab/>
      </w:r>
      <w:r w:rsidRPr="007C5B54">
        <w:fldChar w:fldCharType="begin"/>
      </w:r>
      <w:r w:rsidRPr="007C5B54">
        <w:instrText xml:space="preserve"> PAGEREF _Toc361829199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VDI Standard Suite</w:t>
      </w:r>
      <w:r w:rsidRPr="007C5B54">
        <w:tab/>
      </w:r>
      <w:r w:rsidRPr="007C5B54">
        <w:fldChar w:fldCharType="begin"/>
      </w:r>
      <w:r w:rsidRPr="007C5B54">
        <w:instrText xml:space="preserve"> PAGEREF _Toc361829200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VDI Standard Suite com MDOP</w:t>
      </w:r>
      <w:r w:rsidRPr="007C5B54">
        <w:tab/>
      </w:r>
      <w:r w:rsidRPr="007C5B54">
        <w:fldChar w:fldCharType="begin"/>
      </w:r>
      <w:r w:rsidRPr="007C5B54">
        <w:instrText xml:space="preserve"> PAGEREF _Toc361829201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VDI Premium Suite</w:t>
      </w:r>
      <w:r w:rsidRPr="007C5B54">
        <w:tab/>
      </w:r>
      <w:r w:rsidRPr="007C5B54">
        <w:fldChar w:fldCharType="begin"/>
      </w:r>
      <w:r w:rsidRPr="007C5B54">
        <w:instrText xml:space="preserve"> PAGEREF _Toc361829202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VDI Premium Suite com MDOP</w:t>
      </w:r>
      <w:r w:rsidRPr="007C5B54">
        <w:tab/>
      </w:r>
      <w:r w:rsidRPr="007C5B54">
        <w:fldChar w:fldCharType="begin"/>
      </w:r>
      <w:r w:rsidRPr="007C5B54">
        <w:instrText xml:space="preserve"> PAGEREF _Toc361829203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Virtual Server 2005 R2 Enterprise Edition</w:t>
      </w:r>
      <w:r w:rsidRPr="007C5B54">
        <w:tab/>
      </w:r>
      <w:r w:rsidRPr="007C5B54">
        <w:fldChar w:fldCharType="begin"/>
      </w:r>
      <w:r w:rsidRPr="007C5B54">
        <w:instrText xml:space="preserve"> PAGEREF _Toc361829204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Visual Studio</w:t>
      </w:r>
      <w:r w:rsidRPr="007C5B54">
        <w:rPr>
          <w:rFonts w:eastAsia="Times New Roman" w:cs="Tahoma"/>
          <w:vertAlign w:val="superscript"/>
        </w:rPr>
        <w:t>®</w:t>
      </w:r>
      <w:r w:rsidRPr="007C5B54">
        <w:rPr>
          <w:rFonts w:cs="Tahoma"/>
        </w:rPr>
        <w:t xml:space="preserve"> Team Foundation Server 2012 com Tecnologia SQL Server 2012</w:t>
      </w:r>
      <w:r w:rsidRPr="007C5B54">
        <w:tab/>
      </w:r>
      <w:r w:rsidRPr="007C5B54">
        <w:fldChar w:fldCharType="begin"/>
      </w:r>
      <w:r w:rsidRPr="007C5B54">
        <w:instrText xml:space="preserve"> PAGEREF _Toc361829205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Dispositivo do Visual Studio</w:t>
      </w:r>
      <w:r w:rsidRPr="007C5B54">
        <w:rPr>
          <w:rFonts w:cs="Tahoma"/>
          <w:vertAlign w:val="superscript"/>
        </w:rPr>
        <w:t>®</w:t>
      </w:r>
      <w:r w:rsidRPr="007C5B54">
        <w:rPr>
          <w:rFonts w:cs="Tahoma"/>
        </w:rPr>
        <w:t xml:space="preserve"> Team Foundation Server 2012</w:t>
      </w:r>
      <w:r w:rsidRPr="007C5B54">
        <w:tab/>
      </w:r>
      <w:r w:rsidRPr="007C5B54">
        <w:fldChar w:fldCharType="begin"/>
      </w:r>
      <w:r w:rsidRPr="007C5B54">
        <w:instrText xml:space="preserve"> PAGEREF _Toc361829206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Usuário do Visual Studio</w:t>
      </w:r>
      <w:r w:rsidRPr="007C5B54">
        <w:rPr>
          <w:rFonts w:cs="Tahoma"/>
          <w:vertAlign w:val="superscript"/>
        </w:rPr>
        <w:t>®</w:t>
      </w:r>
      <w:r w:rsidRPr="007C5B54">
        <w:rPr>
          <w:rFonts w:cs="Tahoma"/>
        </w:rPr>
        <w:t xml:space="preserve"> Team Foundation Server 2012</w:t>
      </w:r>
      <w:r w:rsidRPr="007C5B54">
        <w:tab/>
      </w:r>
      <w:r w:rsidRPr="007C5B54">
        <w:fldChar w:fldCharType="begin"/>
      </w:r>
      <w:r w:rsidRPr="007C5B54">
        <w:instrText xml:space="preserve"> PAGEREF _Toc361829207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Serviços do Windows Azure</w:t>
      </w:r>
      <w:r w:rsidRPr="007C5B54">
        <w:tab/>
      </w:r>
      <w:r w:rsidRPr="007C5B54">
        <w:fldChar w:fldCharType="begin"/>
      </w:r>
      <w:r w:rsidRPr="007C5B54">
        <w:instrText xml:space="preserve"> PAGEREF _Toc361829208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w:t>
      </w:r>
      <w:r w:rsidRPr="007C5B54">
        <w:rPr>
          <w:rFonts w:cs="Tahoma"/>
          <w:vertAlign w:val="superscript"/>
        </w:rPr>
        <w:t>®</w:t>
      </w:r>
      <w:r w:rsidRPr="007C5B54">
        <w:rPr>
          <w:rFonts w:cs="Tahoma"/>
        </w:rPr>
        <w:t xml:space="preserve"> Embedded Device Manager 2011</w:t>
      </w:r>
      <w:r w:rsidRPr="007C5B54">
        <w:tab/>
      </w:r>
      <w:r w:rsidRPr="007C5B54">
        <w:fldChar w:fldCharType="begin"/>
      </w:r>
      <w:r w:rsidRPr="007C5B54">
        <w:instrText xml:space="preserve"> PAGEREF _Toc361829209 \h </w:instrText>
      </w:r>
      <w:r w:rsidRPr="007C5B54">
        <w:fldChar w:fldCharType="separate"/>
      </w:r>
      <w:r w:rsidR="008E4487">
        <w:t>26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do Windows</w:t>
      </w:r>
      <w:r w:rsidRPr="007C5B54">
        <w:rPr>
          <w:rFonts w:cs="Tahoma"/>
          <w:vertAlign w:val="superscript"/>
        </w:rPr>
        <w:t>®</w:t>
      </w:r>
      <w:r w:rsidRPr="007C5B54">
        <w:rPr>
          <w:rFonts w:cs="Tahoma"/>
        </w:rPr>
        <w:t xml:space="preserve"> Embedded Device Manager 2011 por OSE</w:t>
      </w:r>
      <w:r w:rsidRPr="007C5B54">
        <w:tab/>
      </w:r>
      <w:r w:rsidRPr="007C5B54">
        <w:fldChar w:fldCharType="begin"/>
      </w:r>
      <w:r w:rsidRPr="007C5B54">
        <w:instrText xml:space="preserve"> PAGEREF _Toc361829210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de Gerenciamento de Cliente do Windows</w:t>
      </w:r>
      <w:r w:rsidRPr="007C5B54">
        <w:rPr>
          <w:rFonts w:cs="Tahoma"/>
          <w:vertAlign w:val="superscript"/>
        </w:rPr>
        <w:t>®</w:t>
      </w:r>
      <w:r w:rsidRPr="007C5B54">
        <w:rPr>
          <w:rFonts w:cs="Tahoma"/>
        </w:rPr>
        <w:t xml:space="preserve"> Embedded Device Manager 2011 por Usuário</w:t>
      </w:r>
      <w:r w:rsidRPr="007C5B54">
        <w:tab/>
      </w:r>
      <w:r w:rsidRPr="007C5B54">
        <w:fldChar w:fldCharType="begin"/>
      </w:r>
      <w:r w:rsidRPr="007C5B54">
        <w:instrText xml:space="preserve"> PAGEREF _Toc361829211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w:t>
      </w:r>
      <w:r w:rsidRPr="007C5B54">
        <w:rPr>
          <w:rFonts w:cs="Tahoma"/>
          <w:vertAlign w:val="superscript"/>
        </w:rPr>
        <w:t>®</w:t>
      </w:r>
      <w:r w:rsidRPr="007C5B54">
        <w:rPr>
          <w:rFonts w:cs="Tahoma"/>
        </w:rPr>
        <w:t xml:space="preserve"> Embedded Device Manager 2011 com Tecnologia SQL Server</w:t>
      </w:r>
      <w:r w:rsidRPr="007C5B54">
        <w:rPr>
          <w:rFonts w:cs="Tahoma"/>
          <w:vertAlign w:val="superscript"/>
        </w:rPr>
        <w:t>®</w:t>
      </w:r>
      <w:r w:rsidRPr="007C5B54">
        <w:rPr>
          <w:rFonts w:cs="Tahoma"/>
        </w:rPr>
        <w:t xml:space="preserve"> 2008</w:t>
      </w:r>
      <w:r w:rsidRPr="007C5B54">
        <w:tab/>
      </w:r>
      <w:r w:rsidRPr="007C5B54">
        <w:fldChar w:fldCharType="begin"/>
      </w:r>
      <w:r w:rsidRPr="007C5B54">
        <w:instrText xml:space="preserve"> PAGEREF _Toc361829212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Standard</w:t>
      </w:r>
      <w:r w:rsidRPr="007C5B54">
        <w:tab/>
      </w:r>
      <w:r w:rsidRPr="007C5B54">
        <w:fldChar w:fldCharType="begin"/>
      </w:r>
      <w:r w:rsidRPr="007C5B54">
        <w:instrText xml:space="preserve"> PAGEREF _Toc361829213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CAL Suite</w:t>
      </w:r>
      <w:r w:rsidRPr="007C5B54">
        <w:tab/>
      </w:r>
      <w:r w:rsidRPr="007C5B54">
        <w:fldChar w:fldCharType="begin"/>
      </w:r>
      <w:r w:rsidRPr="007C5B54">
        <w:instrText xml:space="preserve"> PAGEREF _Toc361829214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CAL Suite (5 clientes)</w:t>
      </w:r>
      <w:r w:rsidRPr="007C5B54">
        <w:tab/>
      </w:r>
      <w:r w:rsidRPr="007C5B54">
        <w:fldChar w:fldCharType="begin"/>
      </w:r>
      <w:r w:rsidRPr="007C5B54">
        <w:instrText xml:space="preserve"> PAGEREF _Toc361829215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CAL Suite (20 clientes)</w:t>
      </w:r>
      <w:r w:rsidRPr="007C5B54">
        <w:tab/>
      </w:r>
      <w:r w:rsidRPr="007C5B54">
        <w:fldChar w:fldCharType="begin"/>
      </w:r>
      <w:r w:rsidRPr="007C5B54">
        <w:instrText xml:space="preserve"> PAGEREF _Toc361829216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CAL Suite (50 clientes)</w:t>
      </w:r>
      <w:r w:rsidRPr="007C5B54">
        <w:tab/>
      </w:r>
      <w:r w:rsidRPr="007C5B54">
        <w:fldChar w:fldCharType="begin"/>
      </w:r>
      <w:r w:rsidRPr="007C5B54">
        <w:instrText xml:space="preserve"> PAGEREF _Toc361829217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Premium</w:t>
      </w:r>
      <w:r w:rsidRPr="007C5B54">
        <w:tab/>
      </w:r>
      <w:r w:rsidRPr="007C5B54">
        <w:fldChar w:fldCharType="begin"/>
      </w:r>
      <w:r w:rsidRPr="007C5B54">
        <w:instrText xml:space="preserve"> PAGEREF _Toc361829218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Pacote de CALs do Windows Essential Business Server 2008 CAL para Usuários ou Dispositivos Premium</w:t>
      </w:r>
      <w:r w:rsidRPr="007C5B54">
        <w:tab/>
      </w:r>
      <w:r w:rsidRPr="007C5B54">
        <w:fldChar w:fldCharType="begin"/>
      </w:r>
      <w:r w:rsidRPr="007C5B54">
        <w:instrText xml:space="preserve"> PAGEREF _Toc361829219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CAL Suite para Usuários ou Dispositivos Premium (5 clientes)</w:t>
      </w:r>
      <w:r w:rsidRPr="007C5B54">
        <w:tab/>
      </w:r>
      <w:r w:rsidRPr="007C5B54">
        <w:fldChar w:fldCharType="begin"/>
      </w:r>
      <w:r w:rsidRPr="007C5B54">
        <w:instrText xml:space="preserve"> PAGEREF _Toc361829220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CAL Suite para Usuários ou Dispositivos Premium (20 clientes)</w:t>
      </w:r>
      <w:r w:rsidRPr="007C5B54">
        <w:tab/>
      </w:r>
      <w:r w:rsidRPr="007C5B54">
        <w:fldChar w:fldCharType="begin"/>
      </w:r>
      <w:r w:rsidRPr="007C5B54">
        <w:instrText xml:space="preserve"> PAGEREF _Toc361829221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Essential Business Server 2008 CAL Suite para Usuários ou Dispositivos Premium (50 clientes)</w:t>
      </w:r>
      <w:r w:rsidRPr="007C5B54">
        <w:tab/>
      </w:r>
      <w:r w:rsidRPr="007C5B54">
        <w:fldChar w:fldCharType="begin"/>
      </w:r>
      <w:r w:rsidRPr="007C5B54">
        <w:instrText xml:space="preserve"> PAGEREF _Toc361829222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HPC Server 2008 R2 Suite</w:t>
      </w:r>
      <w:r w:rsidRPr="007C5B54">
        <w:tab/>
      </w:r>
      <w:r w:rsidRPr="007C5B54">
        <w:fldChar w:fldCharType="begin"/>
      </w:r>
      <w:r w:rsidRPr="007C5B54">
        <w:instrText xml:space="preserve"> PAGEREF _Toc361829223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Complemento do Windows Intune para System Center Configuration Manager e </w:t>
      </w:r>
      <w:r w:rsidRPr="007C5B54">
        <w:rPr>
          <w:rFonts w:cs="Tahoma"/>
        </w:rPr>
        <w:br/>
        <w:t>System Center Endppoint Protection (por usuário)</w:t>
      </w:r>
      <w:r w:rsidRPr="007C5B54">
        <w:tab/>
      </w:r>
      <w:r w:rsidRPr="007C5B54">
        <w:fldChar w:fldCharType="begin"/>
      </w:r>
      <w:r w:rsidRPr="007C5B54">
        <w:instrText xml:space="preserve"> PAGEREF _Toc361829224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Intune (por usuário)</w:t>
      </w:r>
      <w:r w:rsidRPr="007C5B54">
        <w:tab/>
      </w:r>
      <w:r w:rsidRPr="007C5B54">
        <w:fldChar w:fldCharType="begin"/>
      </w:r>
      <w:r w:rsidRPr="007C5B54">
        <w:instrText xml:space="preserve"> PAGEREF _Toc361829225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Armazenamento Extra Complementar de 1 GB de SL de Usuário do Windows Intune</w:t>
      </w:r>
      <w:r w:rsidRPr="007C5B54">
        <w:tab/>
      </w:r>
      <w:r w:rsidRPr="007C5B54">
        <w:fldChar w:fldCharType="begin"/>
      </w:r>
      <w:r w:rsidRPr="007C5B54">
        <w:instrText xml:space="preserve"> PAGEREF _Toc361829226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MultiPoint Server 2012 Standard</w:t>
      </w:r>
      <w:r w:rsidRPr="007C5B54">
        <w:tab/>
      </w:r>
      <w:r w:rsidRPr="007C5B54">
        <w:fldChar w:fldCharType="begin"/>
      </w:r>
      <w:r w:rsidRPr="007C5B54">
        <w:instrText xml:space="preserve"> PAGEREF _Toc361829227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lastRenderedPageBreak/>
        <w:t>Windows MultiPoint Server 2012 Premium</w:t>
      </w:r>
      <w:r w:rsidRPr="007C5B54">
        <w:tab/>
      </w:r>
      <w:r w:rsidRPr="007C5B54">
        <w:fldChar w:fldCharType="begin"/>
      </w:r>
      <w:r w:rsidRPr="007C5B54">
        <w:instrText xml:space="preserve"> PAGEREF _Toc361829228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Windows MultiPoint Server 2012</w:t>
      </w:r>
      <w:r w:rsidRPr="007C5B54">
        <w:tab/>
      </w:r>
      <w:r w:rsidRPr="007C5B54">
        <w:fldChar w:fldCharType="begin"/>
      </w:r>
      <w:r w:rsidRPr="007C5B54">
        <w:instrText xml:space="preserve"> PAGEREF _Toc361829229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Windows MultiPoint Server 2012 com CAL do Windows Server 2012</w:t>
      </w:r>
      <w:r w:rsidRPr="007C5B54">
        <w:tab/>
      </w:r>
      <w:r w:rsidRPr="007C5B54">
        <w:fldChar w:fldCharType="begin"/>
      </w:r>
      <w:r w:rsidRPr="007C5B54">
        <w:instrText xml:space="preserve"> PAGEREF _Toc361829230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MultiPoint Server 2012 Premium com Windows MultiPoint Server 2012 (CAL) (5 Clientes)</w:t>
      </w:r>
      <w:r w:rsidRPr="007C5B54">
        <w:tab/>
      </w:r>
      <w:r w:rsidRPr="007C5B54">
        <w:fldChar w:fldCharType="begin"/>
      </w:r>
      <w:r w:rsidRPr="007C5B54">
        <w:instrText xml:space="preserve"> PAGEREF _Toc361829231 \h </w:instrText>
      </w:r>
      <w:r w:rsidRPr="007C5B54">
        <w:fldChar w:fldCharType="separate"/>
      </w:r>
      <w:r w:rsidR="008E4487">
        <w:t>27</w:t>
      </w:r>
      <w:r w:rsidRPr="007C5B54">
        <w:fldChar w:fldCharType="end"/>
      </w:r>
    </w:p>
    <w:p w:rsidR="0081625E" w:rsidRPr="007C5B54" w:rsidRDefault="0081625E" w:rsidP="00A76328">
      <w:pPr>
        <w:pStyle w:val="TOC2"/>
        <w:rPr>
          <w:rFonts w:asciiTheme="minorHAnsi" w:eastAsiaTheme="minorEastAsia" w:hAnsiTheme="minorHAnsi" w:cstheme="minorBidi"/>
          <w:sz w:val="22"/>
          <w:szCs w:val="22"/>
        </w:rPr>
      </w:pPr>
      <w:r w:rsidRPr="007C5B54">
        <w:rPr>
          <w:rFonts w:cs="Tahoma"/>
        </w:rPr>
        <w:t>Windows MultiPoint Server 2012 Premium com Windows MultiPoint Server 2012 (CAL) (5 Clientes) com CAL do</w:t>
      </w:r>
      <w:r w:rsidR="00A76328">
        <w:rPr>
          <w:rFonts w:cs="Tahoma"/>
        </w:rPr>
        <w:t> </w:t>
      </w:r>
      <w:r w:rsidRPr="007C5B54">
        <w:rPr>
          <w:rFonts w:cs="Tahoma"/>
        </w:rPr>
        <w:t>Windows Server 2012 (5 Clientes)</w:t>
      </w:r>
      <w:r w:rsidRPr="007C5B54">
        <w:tab/>
      </w:r>
      <w:r w:rsidRPr="007C5B54">
        <w:fldChar w:fldCharType="begin"/>
      </w:r>
      <w:r w:rsidRPr="007C5B54">
        <w:instrText xml:space="preserve"> PAGEREF _Toc361829232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Server™ 2008 R2 HPC Edition</w:t>
      </w:r>
      <w:r w:rsidRPr="007C5B54">
        <w:tab/>
      </w:r>
      <w:r w:rsidRPr="007C5B54">
        <w:fldChar w:fldCharType="begin"/>
      </w:r>
      <w:r w:rsidRPr="007C5B54">
        <w:instrText xml:space="preserve"> PAGEREF _Toc361829233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Server™ 2008 R2 Enterprise</w:t>
      </w:r>
      <w:r w:rsidRPr="007C5B54">
        <w:tab/>
      </w:r>
      <w:r w:rsidRPr="007C5B54">
        <w:fldChar w:fldCharType="begin"/>
      </w:r>
      <w:r w:rsidRPr="007C5B54">
        <w:instrText xml:space="preserve"> PAGEREF _Toc361829234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Server™ 2008 R2 Itanium Based Systems</w:t>
      </w:r>
      <w:r w:rsidRPr="007C5B54">
        <w:tab/>
      </w:r>
      <w:r w:rsidRPr="007C5B54">
        <w:fldChar w:fldCharType="begin"/>
      </w:r>
      <w:r w:rsidRPr="007C5B54">
        <w:instrText xml:space="preserve"> PAGEREF _Toc361829235 \h </w:instrText>
      </w:r>
      <w:r w:rsidRPr="007C5B54">
        <w:fldChar w:fldCharType="separate"/>
      </w:r>
      <w:r w:rsidR="008E4487">
        <w:t>27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 Windows Server™ 2012 (Dispositivo e Usuário)</w:t>
      </w:r>
      <w:r w:rsidRPr="007C5B54">
        <w:tab/>
      </w:r>
      <w:r w:rsidRPr="007C5B54">
        <w:fldChar w:fldCharType="begin"/>
      </w:r>
      <w:r w:rsidRPr="007C5B54">
        <w:instrText xml:space="preserve"> PAGEREF _Toc361829236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Server™ 2012 Datacenter</w:t>
      </w:r>
      <w:r w:rsidRPr="007C5B54">
        <w:tab/>
      </w:r>
      <w:r w:rsidRPr="007C5B54">
        <w:fldChar w:fldCharType="begin"/>
      </w:r>
      <w:r w:rsidRPr="007C5B54">
        <w:instrText xml:space="preserve"> PAGEREF _Toc361829237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Server™ 2012 Standard</w:t>
      </w:r>
      <w:r w:rsidRPr="007C5B54">
        <w:tab/>
      </w:r>
      <w:r w:rsidRPr="007C5B54">
        <w:fldChar w:fldCharType="begin"/>
      </w:r>
      <w:r w:rsidRPr="007C5B54">
        <w:instrText xml:space="preserve"> PAGEREF _Toc361829238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External Connector do Windows Server™</w:t>
      </w:r>
      <w:r w:rsidRPr="007C5B54">
        <w:tab/>
      </w:r>
      <w:r w:rsidRPr="007C5B54">
        <w:fldChar w:fldCharType="begin"/>
      </w:r>
      <w:r w:rsidRPr="007C5B54">
        <w:instrText xml:space="preserve"> PAGEREF _Toc361829239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de Serviços de Área de Trabalho Remota do Windows Server™ 2012</w:t>
      </w:r>
      <w:r w:rsidRPr="007C5B54">
        <w:tab/>
      </w:r>
      <w:r w:rsidRPr="007C5B54">
        <w:fldChar w:fldCharType="begin"/>
      </w:r>
      <w:r w:rsidRPr="007C5B54">
        <w:instrText xml:space="preserve"> PAGEREF _Toc361829240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External Connector dos Serviços de Área de Trabalho Remota do Windows Server™ 2012</w:t>
      </w:r>
      <w:r w:rsidRPr="007C5B54">
        <w:tab/>
      </w:r>
      <w:r w:rsidRPr="007C5B54">
        <w:fldChar w:fldCharType="begin"/>
      </w:r>
      <w:r w:rsidRPr="007C5B54">
        <w:instrText xml:space="preserve"> PAGEREF _Toc361829241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CAL dos Serviços de Gerenciamento de Direitos do Active Directory do Windows Server™ 2012</w:t>
      </w:r>
      <w:r w:rsidRPr="007C5B54">
        <w:tab/>
      </w:r>
      <w:r w:rsidRPr="007C5B54">
        <w:fldChar w:fldCharType="begin"/>
      </w:r>
      <w:r w:rsidRPr="007C5B54">
        <w:instrText xml:space="preserve"> PAGEREF _Toc361829242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External Connector dos Serviços de Gerenciamento de Direitos do Active Directory do Windows Server™</w:t>
      </w:r>
      <w:r w:rsidRPr="007C5B54">
        <w:tab/>
      </w:r>
      <w:r w:rsidRPr="007C5B54">
        <w:fldChar w:fldCharType="begin"/>
      </w:r>
      <w:r w:rsidRPr="007C5B54">
        <w:instrText xml:space="preserve"> PAGEREF _Toc361829243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Small Business Server 2008 Premium</w:t>
      </w:r>
      <w:r w:rsidRPr="007C5B54">
        <w:tab/>
      </w:r>
      <w:r w:rsidRPr="007C5B54">
        <w:fldChar w:fldCharType="begin"/>
      </w:r>
      <w:r w:rsidRPr="007C5B54">
        <w:instrText xml:space="preserve"> PAGEREF _Toc361829244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Small Business Server 2011 CAL Suite (1 cliente)</w:t>
      </w:r>
      <w:r w:rsidRPr="007C5B54">
        <w:tab/>
      </w:r>
      <w:r w:rsidRPr="007C5B54">
        <w:fldChar w:fldCharType="begin"/>
      </w:r>
      <w:r w:rsidRPr="007C5B54">
        <w:instrText xml:space="preserve"> PAGEREF _Toc361829245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Small Business Server 2011 CAL Suite (5 clientes)</w:t>
      </w:r>
      <w:r w:rsidRPr="007C5B54">
        <w:tab/>
      </w:r>
      <w:r w:rsidRPr="007C5B54">
        <w:fldChar w:fldCharType="begin"/>
      </w:r>
      <w:r w:rsidRPr="007C5B54">
        <w:instrText xml:space="preserve"> PAGEREF _Toc361829246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Small Business Server 2011 CAL Suite (20 clientes)</w:t>
      </w:r>
      <w:r w:rsidRPr="007C5B54">
        <w:tab/>
      </w:r>
      <w:r w:rsidRPr="007C5B54">
        <w:fldChar w:fldCharType="begin"/>
      </w:r>
      <w:r w:rsidRPr="007C5B54">
        <w:instrText xml:space="preserve"> PAGEREF _Toc361829247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Pacote de CALs do Complemento do Windows Small Business Server (SBS) 2011 Premium</w:t>
      </w:r>
      <w:r w:rsidRPr="007C5B54">
        <w:tab/>
      </w:r>
      <w:r w:rsidRPr="007C5B54">
        <w:fldChar w:fldCharType="begin"/>
      </w:r>
      <w:r w:rsidRPr="007C5B54">
        <w:instrText xml:space="preserve"> PAGEREF _Toc361829248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Pacote de CALs do Complemento do Windows Small Business Server 2011 (5 clientes)</w:t>
      </w:r>
      <w:r w:rsidRPr="007C5B54">
        <w:tab/>
      </w:r>
      <w:r w:rsidRPr="007C5B54">
        <w:fldChar w:fldCharType="begin"/>
      </w:r>
      <w:r w:rsidRPr="007C5B54">
        <w:instrText xml:space="preserve"> PAGEREF _Toc361829249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Pacote de CALs do Complemento do Windows Small Business Server 2011 (20 clientes)</w:t>
      </w:r>
      <w:r w:rsidRPr="007C5B54">
        <w:tab/>
      </w:r>
      <w:r w:rsidRPr="007C5B54">
        <w:fldChar w:fldCharType="begin"/>
      </w:r>
      <w:r w:rsidRPr="007C5B54">
        <w:instrText xml:space="preserve"> PAGEREF _Toc361829250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Server Essentials 2012</w:t>
      </w:r>
      <w:r w:rsidRPr="007C5B54">
        <w:tab/>
      </w:r>
      <w:r w:rsidRPr="007C5B54">
        <w:fldChar w:fldCharType="begin"/>
      </w:r>
      <w:r w:rsidRPr="007C5B54">
        <w:instrText xml:space="preserve"> PAGEREF _Toc361829251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Small Business Server 2011 Essentials</w:t>
      </w:r>
      <w:r w:rsidRPr="007C5B54">
        <w:tab/>
      </w:r>
      <w:r w:rsidRPr="007C5B54">
        <w:fldChar w:fldCharType="begin"/>
      </w:r>
      <w:r w:rsidRPr="007C5B54">
        <w:instrText xml:space="preserve"> PAGEREF _Toc361829252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Windows Web Server 2008 R2</w:t>
      </w:r>
      <w:r w:rsidRPr="007C5B54">
        <w:tab/>
      </w:r>
      <w:r w:rsidRPr="007C5B54">
        <w:fldChar w:fldCharType="begin"/>
      </w:r>
      <w:r w:rsidRPr="007C5B54">
        <w:instrText xml:space="preserve"> PAGEREF _Toc361829253 \h </w:instrText>
      </w:r>
      <w:r w:rsidRPr="007C5B54">
        <w:fldChar w:fldCharType="separate"/>
      </w:r>
      <w:r w:rsidR="008E4487">
        <w:t>28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Yammer Enterprise</w:t>
      </w:r>
      <w:r w:rsidRPr="007C5B54">
        <w:tab/>
      </w:r>
      <w:r w:rsidRPr="007C5B54">
        <w:fldChar w:fldCharType="begin"/>
      </w:r>
      <w:r w:rsidRPr="007C5B54">
        <w:instrText xml:space="preserve"> PAGEREF _Toc361829254 \h </w:instrText>
      </w:r>
      <w:r w:rsidRPr="007C5B54">
        <w:fldChar w:fldCharType="separate"/>
      </w:r>
      <w:r w:rsidR="008E4487">
        <w:t>28</w:t>
      </w:r>
      <w:r w:rsidRPr="007C5B54">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SEÇÃO 1 – ALTERAÇÕES NA LISTA DE PRODUTOS NOS ÚLTIMOS 12 MESES</w:t>
      </w:r>
      <w:r w:rsidRPr="007C5B54">
        <w:tab/>
      </w:r>
      <w:r w:rsidR="0081625E" w:rsidRPr="007C5B54">
        <w:fldChar w:fldCharType="begin"/>
      </w:r>
      <w:r w:rsidR="0081625E" w:rsidRPr="007C5B54">
        <w:instrText xml:space="preserve"> PAGEREF _Toc361829256 \h </w:instrText>
      </w:r>
      <w:r w:rsidR="0081625E" w:rsidRPr="007C5B54">
        <w:fldChar w:fldCharType="separate"/>
      </w:r>
      <w:r w:rsidR="008E4487">
        <w:t>29</w:t>
      </w:r>
      <w:r w:rsidR="0081625E"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AGOSTO DE 2013</w:t>
      </w:r>
      <w:r w:rsidRPr="007C5B54">
        <w:tab/>
      </w:r>
      <w:r w:rsidRPr="007C5B54">
        <w:fldChar w:fldCharType="begin"/>
      </w:r>
      <w:r w:rsidRPr="007C5B54">
        <w:instrText xml:space="preserve"> PAGEREF _Toc361829257 \h </w:instrText>
      </w:r>
      <w:r w:rsidRPr="007C5B54">
        <w:fldChar w:fldCharType="separate"/>
      </w:r>
      <w:r w:rsidR="008E4487">
        <w:t>29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JULHO DE 2013</w:t>
      </w:r>
      <w:r w:rsidRPr="007C5B54">
        <w:tab/>
      </w:r>
      <w:r w:rsidRPr="007C5B54">
        <w:fldChar w:fldCharType="begin"/>
      </w:r>
      <w:r w:rsidRPr="007C5B54">
        <w:instrText xml:space="preserve"> PAGEREF _Toc361829258 \h </w:instrText>
      </w:r>
      <w:r w:rsidRPr="007C5B54">
        <w:fldChar w:fldCharType="separate"/>
      </w:r>
      <w:r w:rsidR="008E4487">
        <w:t>29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JUNHO DE 2013</w:t>
      </w:r>
      <w:r w:rsidRPr="007C5B54">
        <w:tab/>
      </w:r>
      <w:r w:rsidRPr="007C5B54">
        <w:fldChar w:fldCharType="begin"/>
      </w:r>
      <w:r w:rsidRPr="007C5B54">
        <w:instrText xml:space="preserve"> PAGEREF _Toc361829259 \h </w:instrText>
      </w:r>
      <w:r w:rsidRPr="007C5B54">
        <w:fldChar w:fldCharType="separate"/>
      </w:r>
      <w:r w:rsidR="008E4487">
        <w:t>30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MAIO DE 2013</w:t>
      </w:r>
      <w:r w:rsidRPr="007C5B54">
        <w:tab/>
      </w:r>
      <w:r w:rsidRPr="007C5B54">
        <w:fldChar w:fldCharType="begin"/>
      </w:r>
      <w:r w:rsidRPr="007C5B54">
        <w:instrText xml:space="preserve"> PAGEREF _Toc361829260 \h </w:instrText>
      </w:r>
      <w:r w:rsidRPr="007C5B54">
        <w:fldChar w:fldCharType="separate"/>
      </w:r>
      <w:r w:rsidR="008E4487">
        <w:t>30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ABRIL DE 2013</w:t>
      </w:r>
      <w:r w:rsidRPr="007C5B54">
        <w:tab/>
      </w:r>
      <w:r w:rsidRPr="007C5B54">
        <w:fldChar w:fldCharType="begin"/>
      </w:r>
      <w:r w:rsidRPr="007C5B54">
        <w:instrText xml:space="preserve"> PAGEREF _Toc361829261 \h </w:instrText>
      </w:r>
      <w:r w:rsidRPr="007C5B54">
        <w:fldChar w:fldCharType="separate"/>
      </w:r>
      <w:r w:rsidR="008E4487">
        <w:t>30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MARÇO DE 2013</w:t>
      </w:r>
      <w:r w:rsidRPr="007C5B54">
        <w:tab/>
      </w:r>
      <w:r w:rsidRPr="007C5B54">
        <w:fldChar w:fldCharType="begin"/>
      </w:r>
      <w:r w:rsidRPr="007C5B54">
        <w:instrText xml:space="preserve"> PAGEREF _Toc361829262 \h </w:instrText>
      </w:r>
      <w:r w:rsidRPr="007C5B54">
        <w:fldChar w:fldCharType="separate"/>
      </w:r>
      <w:r w:rsidR="008E4487">
        <w:t>32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FEVEREIRO DE 2013</w:t>
      </w:r>
      <w:r w:rsidRPr="007C5B54">
        <w:tab/>
      </w:r>
      <w:r w:rsidRPr="007C5B54">
        <w:fldChar w:fldCharType="begin"/>
      </w:r>
      <w:r w:rsidRPr="007C5B54">
        <w:instrText xml:space="preserve"> PAGEREF _Toc361829263 \h </w:instrText>
      </w:r>
      <w:r w:rsidRPr="007C5B54">
        <w:fldChar w:fldCharType="separate"/>
      </w:r>
      <w:r w:rsidR="008E4487">
        <w:t>34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JANEIRO DE 2013</w:t>
      </w:r>
      <w:r w:rsidRPr="007C5B54">
        <w:tab/>
      </w:r>
      <w:r w:rsidRPr="007C5B54">
        <w:fldChar w:fldCharType="begin"/>
      </w:r>
      <w:r w:rsidRPr="007C5B54">
        <w:instrText xml:space="preserve"> PAGEREF _Toc361829264 \h </w:instrText>
      </w:r>
      <w:r w:rsidRPr="007C5B54">
        <w:fldChar w:fldCharType="separate"/>
      </w:r>
      <w:r w:rsidR="008E4487">
        <w:t>34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DEZEMBRO DE 2012</w:t>
      </w:r>
      <w:r w:rsidRPr="007C5B54">
        <w:tab/>
      </w:r>
      <w:r w:rsidRPr="007C5B54">
        <w:fldChar w:fldCharType="begin"/>
      </w:r>
      <w:r w:rsidRPr="007C5B54">
        <w:instrText xml:space="preserve"> PAGEREF _Toc361829265 \h </w:instrText>
      </w:r>
      <w:r w:rsidRPr="007C5B54">
        <w:fldChar w:fldCharType="separate"/>
      </w:r>
      <w:r w:rsidR="008E4487">
        <w:t>35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NOVEMBRO DE 2012</w:t>
      </w:r>
      <w:r w:rsidRPr="007C5B54">
        <w:tab/>
      </w:r>
      <w:r w:rsidRPr="007C5B54">
        <w:fldChar w:fldCharType="begin"/>
      </w:r>
      <w:r w:rsidRPr="007C5B54">
        <w:instrText xml:space="preserve"> PAGEREF _Toc361829266 \h </w:instrText>
      </w:r>
      <w:r w:rsidRPr="007C5B54">
        <w:fldChar w:fldCharType="separate"/>
      </w:r>
      <w:r w:rsidR="008E4487">
        <w:t>37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OUTUBRO DE 2012</w:t>
      </w:r>
      <w:r w:rsidRPr="007C5B54">
        <w:tab/>
      </w:r>
      <w:r w:rsidRPr="007C5B54">
        <w:fldChar w:fldCharType="begin"/>
      </w:r>
      <w:r w:rsidRPr="007C5B54">
        <w:instrText xml:space="preserve"> PAGEREF _Toc361829267 \h </w:instrText>
      </w:r>
      <w:r w:rsidRPr="007C5B54">
        <w:fldChar w:fldCharType="separate"/>
      </w:r>
      <w:r w:rsidR="008E4487">
        <w:t>37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ALTERAÇÕES EM SETEMBRO DE 2012</w:t>
      </w:r>
      <w:r w:rsidRPr="007C5B54">
        <w:tab/>
      </w:r>
      <w:r w:rsidRPr="007C5B54">
        <w:fldChar w:fldCharType="begin"/>
      </w:r>
      <w:r w:rsidRPr="007C5B54">
        <w:instrText xml:space="preserve"> PAGEREF _Toc361829268 \h </w:instrText>
      </w:r>
      <w:r w:rsidRPr="007C5B54">
        <w:fldChar w:fldCharType="separate"/>
      </w:r>
      <w:r w:rsidR="008E4487">
        <w:t>38</w:t>
      </w:r>
      <w:r w:rsidRPr="007C5B54">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SEÇÃO 2 – PROMOÇÕES DE PRODUTOS</w:t>
      </w:r>
      <w:r w:rsidRPr="007C5B54">
        <w:tab/>
      </w:r>
      <w:r w:rsidR="0081625E" w:rsidRPr="007C5B54">
        <w:fldChar w:fldCharType="begin"/>
      </w:r>
      <w:r w:rsidR="0081625E" w:rsidRPr="007C5B54">
        <w:instrText xml:space="preserve"> PAGEREF _Toc361829269 \h </w:instrText>
      </w:r>
      <w:r w:rsidR="0081625E" w:rsidRPr="007C5B54">
        <w:fldChar w:fldCharType="separate"/>
      </w:r>
      <w:r w:rsidR="008E4487">
        <w:t>40</w:t>
      </w:r>
      <w:r w:rsidR="0081625E"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Microsoft Dynamics AX 2012 R2 - Promoção de Introdução ao EA</w:t>
      </w:r>
      <w:r w:rsidRPr="007C5B54">
        <w:tab/>
      </w:r>
      <w:r w:rsidRPr="007C5B54">
        <w:fldChar w:fldCharType="begin"/>
      </w:r>
      <w:r w:rsidRPr="007C5B54">
        <w:instrText xml:space="preserve"> PAGEREF _Toc361829270 \h </w:instrText>
      </w:r>
      <w:r w:rsidRPr="007C5B54">
        <w:fldChar w:fldCharType="separate"/>
      </w:r>
      <w:r w:rsidR="008E4487">
        <w:t>40</w:t>
      </w:r>
      <w:r w:rsidRPr="007C5B54">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SEÇÃO 3 – TERMOS DO PROGRAMA DE LICENCIAMENTO POR VOLUME</w:t>
      </w:r>
      <w:r w:rsidRPr="007C5B54">
        <w:tab/>
      </w:r>
      <w:r w:rsidR="0081625E" w:rsidRPr="007C5B54">
        <w:fldChar w:fldCharType="begin"/>
      </w:r>
      <w:r w:rsidR="0081625E" w:rsidRPr="007C5B54">
        <w:instrText xml:space="preserve"> PAGEREF _Toc361829271 \h </w:instrText>
      </w:r>
      <w:r w:rsidR="0081625E" w:rsidRPr="007C5B54">
        <w:fldChar w:fldCharType="separate"/>
      </w:r>
      <w:r w:rsidR="008E4487">
        <w:t>41</w:t>
      </w:r>
      <w:r w:rsidR="0081625E"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Programas de Licenciamento por Volume Aplicáveis</w:t>
      </w:r>
      <w:r w:rsidRPr="007C5B54">
        <w:rPr>
          <w:color w:val="auto"/>
        </w:rPr>
        <w:tab/>
      </w:r>
      <w:r w:rsidRPr="007C5B54">
        <w:rPr>
          <w:color w:val="auto"/>
        </w:rPr>
        <w:fldChar w:fldCharType="begin"/>
      </w:r>
      <w:r w:rsidRPr="007C5B54">
        <w:rPr>
          <w:color w:val="auto"/>
        </w:rPr>
        <w:instrText xml:space="preserve"> PAGEREF _Toc361829272 \h </w:instrText>
      </w:r>
      <w:r w:rsidRPr="007C5B54">
        <w:rPr>
          <w:color w:val="auto"/>
        </w:rPr>
      </w:r>
      <w:r w:rsidRPr="007C5B54">
        <w:rPr>
          <w:color w:val="auto"/>
        </w:rPr>
        <w:fldChar w:fldCharType="separate"/>
      </w:r>
      <w:r w:rsidR="008E4487">
        <w:rPr>
          <w:color w:val="auto"/>
        </w:rPr>
        <w:t>41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Pontos e pedidos mínimos</w:t>
      </w:r>
      <w:r w:rsidRPr="007C5B54">
        <w:rPr>
          <w:color w:val="auto"/>
        </w:rPr>
        <w:tab/>
      </w:r>
      <w:r w:rsidRPr="007C5B54">
        <w:rPr>
          <w:color w:val="auto"/>
        </w:rPr>
        <w:fldChar w:fldCharType="begin"/>
      </w:r>
      <w:r w:rsidRPr="007C5B54">
        <w:rPr>
          <w:color w:val="auto"/>
        </w:rPr>
        <w:instrText xml:space="preserve"> PAGEREF _Toc361829273 \h </w:instrText>
      </w:r>
      <w:r w:rsidRPr="007C5B54">
        <w:rPr>
          <w:color w:val="auto"/>
        </w:rPr>
      </w:r>
      <w:r w:rsidRPr="007C5B54">
        <w:rPr>
          <w:color w:val="auto"/>
        </w:rPr>
        <w:fldChar w:fldCharType="separate"/>
      </w:r>
      <w:r w:rsidR="008E4487">
        <w:rPr>
          <w:color w:val="auto"/>
        </w:rPr>
        <w:t>41</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Requisitos Mínimos de Pedidos</w:t>
      </w:r>
      <w:r w:rsidRPr="007C5B54">
        <w:tab/>
      </w:r>
      <w:r w:rsidRPr="007C5B54">
        <w:fldChar w:fldCharType="begin"/>
      </w:r>
      <w:r w:rsidRPr="007C5B54">
        <w:instrText xml:space="preserve"> PAGEREF _Toc361829274 \h </w:instrText>
      </w:r>
      <w:r w:rsidRPr="007C5B54">
        <w:fldChar w:fldCharType="separate"/>
      </w:r>
      <w:r w:rsidR="008E4487">
        <w:t>42</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Plataformas</w:t>
      </w:r>
      <w:r w:rsidRPr="007C5B54">
        <w:rPr>
          <w:color w:val="auto"/>
        </w:rPr>
        <w:tab/>
      </w:r>
      <w:r w:rsidRPr="007C5B54">
        <w:rPr>
          <w:color w:val="auto"/>
        </w:rPr>
        <w:fldChar w:fldCharType="begin"/>
      </w:r>
      <w:r w:rsidRPr="007C5B54">
        <w:rPr>
          <w:color w:val="auto"/>
        </w:rPr>
        <w:instrText xml:space="preserve"> PAGEREF _Toc361829275 \h </w:instrText>
      </w:r>
      <w:r w:rsidRPr="007C5B54">
        <w:rPr>
          <w:color w:val="auto"/>
        </w:rPr>
      </w:r>
      <w:r w:rsidRPr="007C5B54">
        <w:rPr>
          <w:color w:val="auto"/>
        </w:rPr>
        <w:fldChar w:fldCharType="separate"/>
      </w:r>
      <w:r w:rsidR="008E4487">
        <w:rPr>
          <w:color w:val="auto"/>
        </w:rPr>
        <w:t>44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Definição de Gerenciamento para Dispositivos Qualificados</w:t>
      </w:r>
      <w:r w:rsidRPr="007C5B54">
        <w:rPr>
          <w:color w:val="auto"/>
        </w:rPr>
        <w:tab/>
      </w:r>
      <w:r w:rsidRPr="007C5B54">
        <w:rPr>
          <w:color w:val="auto"/>
        </w:rPr>
        <w:fldChar w:fldCharType="begin"/>
      </w:r>
      <w:r w:rsidRPr="007C5B54">
        <w:rPr>
          <w:color w:val="auto"/>
        </w:rPr>
        <w:instrText xml:space="preserve"> PAGEREF _Toc361829276 \h </w:instrText>
      </w:r>
      <w:r w:rsidRPr="007C5B54">
        <w:rPr>
          <w:color w:val="auto"/>
        </w:rPr>
      </w:r>
      <w:r w:rsidRPr="007C5B54">
        <w:rPr>
          <w:color w:val="auto"/>
        </w:rPr>
        <w:fldChar w:fldCharType="separate"/>
      </w:r>
      <w:r w:rsidR="008E4487">
        <w:rPr>
          <w:color w:val="auto"/>
        </w:rPr>
        <w:t>45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Produtos qualificados para o Desconto de Atualização (UTD)</w:t>
      </w:r>
      <w:r w:rsidRPr="007C5B54">
        <w:rPr>
          <w:color w:val="auto"/>
        </w:rPr>
        <w:tab/>
      </w:r>
      <w:r w:rsidRPr="007C5B54">
        <w:rPr>
          <w:color w:val="auto"/>
        </w:rPr>
        <w:fldChar w:fldCharType="begin"/>
      </w:r>
      <w:r w:rsidRPr="007C5B54">
        <w:rPr>
          <w:color w:val="auto"/>
        </w:rPr>
        <w:instrText xml:space="preserve"> PAGEREF _Toc361829277 \h </w:instrText>
      </w:r>
      <w:r w:rsidRPr="007C5B54">
        <w:rPr>
          <w:color w:val="auto"/>
        </w:rPr>
      </w:r>
      <w:r w:rsidRPr="007C5B54">
        <w:rPr>
          <w:color w:val="auto"/>
        </w:rPr>
        <w:fldChar w:fldCharType="separate"/>
      </w:r>
      <w:r w:rsidR="008E4487">
        <w:rPr>
          <w:color w:val="auto"/>
        </w:rPr>
        <w:t>46</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Termos de Programa Atualizados dos Contratos Enterprise e Subscription</w:t>
      </w:r>
      <w:r w:rsidRPr="007C5B54">
        <w:tab/>
      </w:r>
      <w:r w:rsidRPr="007C5B54">
        <w:fldChar w:fldCharType="begin"/>
      </w:r>
      <w:r w:rsidRPr="007C5B54">
        <w:instrText xml:space="preserve"> PAGEREF _Toc361829278 \h </w:instrText>
      </w:r>
      <w:r w:rsidRPr="007C5B54">
        <w:fldChar w:fldCharType="separate"/>
      </w:r>
      <w:r w:rsidR="008E4487">
        <w:t>47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Continuidade do Serviço por meio de Prazo Estendido</w:t>
      </w:r>
      <w:r w:rsidRPr="007C5B54">
        <w:tab/>
      </w:r>
      <w:r w:rsidRPr="007C5B54">
        <w:fldChar w:fldCharType="begin"/>
      </w:r>
      <w:r w:rsidRPr="007C5B54">
        <w:instrText xml:space="preserve"> PAGEREF _Toc361829279 \h </w:instrText>
      </w:r>
      <w:r w:rsidRPr="007C5B54">
        <w:fldChar w:fldCharType="separate"/>
      </w:r>
      <w:r w:rsidR="008E4487">
        <w:t>50</w:t>
      </w:r>
      <w:r w:rsidRPr="007C5B54">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SEÇÃO 4 – TIPOS DE LICENÇA E VALORES</w:t>
      </w:r>
      <w:r w:rsidRPr="007C5B54">
        <w:tab/>
      </w:r>
      <w:r w:rsidR="0081625E" w:rsidRPr="007C5B54">
        <w:fldChar w:fldCharType="begin"/>
      </w:r>
      <w:r w:rsidR="0081625E" w:rsidRPr="007C5B54">
        <w:instrText xml:space="preserve"> PAGEREF _Toc361829280 \h </w:instrText>
      </w:r>
      <w:r w:rsidR="0081625E" w:rsidRPr="007C5B54">
        <w:fldChar w:fldCharType="separate"/>
      </w:r>
      <w:r w:rsidR="008E4487">
        <w:t>52</w:t>
      </w:r>
      <w:r w:rsidR="0081625E"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Valores</w:t>
      </w:r>
      <w:r w:rsidRPr="007C5B54">
        <w:tab/>
      </w:r>
      <w:r w:rsidRPr="007C5B54">
        <w:fldChar w:fldCharType="begin"/>
      </w:r>
      <w:r w:rsidRPr="007C5B54">
        <w:instrText xml:space="preserve"> PAGEREF _Toc361829281 \h </w:instrText>
      </w:r>
      <w:r w:rsidRPr="007C5B54">
        <w:fldChar w:fldCharType="separate"/>
      </w:r>
      <w:r w:rsidR="008E4487">
        <w:t>52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w:t>
      </w:r>
      <w:r w:rsidRPr="007C5B54">
        <w:tab/>
      </w:r>
      <w:r w:rsidRPr="007C5B54">
        <w:fldChar w:fldCharType="begin"/>
      </w:r>
      <w:r w:rsidRPr="007C5B54">
        <w:instrText xml:space="preserve"> PAGEREF _Toc361829282 \h </w:instrText>
      </w:r>
      <w:r w:rsidRPr="007C5B54">
        <w:fldChar w:fldCharType="separate"/>
      </w:r>
      <w:r w:rsidR="008E4487">
        <w:t>52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 e Software Assurance</w:t>
      </w:r>
      <w:r w:rsidRPr="007C5B54">
        <w:tab/>
      </w:r>
      <w:r w:rsidRPr="007C5B54">
        <w:fldChar w:fldCharType="begin"/>
      </w:r>
      <w:r w:rsidRPr="007C5B54">
        <w:instrText xml:space="preserve"> PAGEREF _Toc361829283 \h </w:instrText>
      </w:r>
      <w:r w:rsidRPr="007C5B54">
        <w:fldChar w:fldCharType="separate"/>
      </w:r>
      <w:r w:rsidR="008E4487">
        <w:t>52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lastRenderedPageBreak/>
        <w:t>Software Assurance</w:t>
      </w:r>
      <w:r w:rsidRPr="007C5B54">
        <w:tab/>
      </w:r>
      <w:r w:rsidRPr="007C5B54">
        <w:fldChar w:fldCharType="begin"/>
      </w:r>
      <w:r w:rsidRPr="007C5B54">
        <w:instrText xml:space="preserve"> PAGEREF _Toc361829284 \h </w:instrText>
      </w:r>
      <w:r w:rsidRPr="007C5B54">
        <w:fldChar w:fldCharType="separate"/>
      </w:r>
      <w:r w:rsidR="008E4487">
        <w:t>53</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Licenças Step-up</w:t>
      </w:r>
      <w:r w:rsidRPr="007C5B54">
        <w:tab/>
      </w:r>
      <w:r w:rsidRPr="007C5B54">
        <w:fldChar w:fldCharType="begin"/>
      </w:r>
      <w:r w:rsidRPr="007C5B54">
        <w:instrText xml:space="preserve"> PAGEREF _Toc361829285 \h </w:instrText>
      </w:r>
      <w:r w:rsidRPr="007C5B54">
        <w:fldChar w:fldCharType="separate"/>
      </w:r>
      <w:r w:rsidR="008E4487">
        <w:t>54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Licenças de Assinatura</w:t>
      </w:r>
      <w:r w:rsidRPr="007C5B54">
        <w:tab/>
      </w:r>
      <w:r w:rsidRPr="007C5B54">
        <w:fldChar w:fldCharType="begin"/>
      </w:r>
      <w:r w:rsidRPr="007C5B54">
        <w:instrText xml:space="preserve"> PAGEREF _Toc361829286 \h </w:instrText>
      </w:r>
      <w:r w:rsidRPr="007C5B54">
        <w:fldChar w:fldCharType="separate"/>
      </w:r>
      <w:r w:rsidR="008E4487">
        <w:t>54</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Atualização</w:t>
      </w:r>
      <w:r w:rsidRPr="007C5B54">
        <w:tab/>
      </w:r>
      <w:r w:rsidRPr="007C5B54">
        <w:fldChar w:fldCharType="begin"/>
      </w:r>
      <w:r w:rsidRPr="007C5B54">
        <w:instrText xml:space="preserve"> PAGEREF _Toc361829287 \h </w:instrText>
      </w:r>
      <w:r w:rsidRPr="007C5B54">
        <w:fldChar w:fldCharType="separate"/>
      </w:r>
      <w:r w:rsidR="008E4487">
        <w:t>55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Atualização e Software Assurance</w:t>
      </w:r>
      <w:r w:rsidRPr="007C5B54">
        <w:tab/>
      </w:r>
      <w:r w:rsidRPr="007C5B54">
        <w:fldChar w:fldCharType="begin"/>
      </w:r>
      <w:r w:rsidRPr="007C5B54">
        <w:instrText xml:space="preserve"> PAGEREF _Toc361829288 \h </w:instrText>
      </w:r>
      <w:r w:rsidRPr="007C5B54">
        <w:fldChar w:fldCharType="separate"/>
      </w:r>
      <w:r w:rsidR="008E4487">
        <w:t>55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Licenças Work-at-Home</w:t>
      </w:r>
      <w:r w:rsidRPr="007C5B54">
        <w:tab/>
      </w:r>
      <w:r w:rsidRPr="007C5B54">
        <w:fldChar w:fldCharType="begin"/>
      </w:r>
      <w:r w:rsidRPr="007C5B54">
        <w:instrText xml:space="preserve"> PAGEREF _Toc361829289 \h </w:instrText>
      </w:r>
      <w:r w:rsidRPr="007C5B54">
        <w:fldChar w:fldCharType="separate"/>
      </w:r>
      <w:r w:rsidR="008E4487">
        <w:t>55</w:t>
      </w:r>
      <w:r w:rsidRPr="007C5B54">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 xml:space="preserve">SEÇÃO 5 – PREÇOS DE SERVIÇOS ONLINE, PAGAMENTO </w:t>
      </w:r>
      <w:r w:rsidRPr="007C5B54">
        <w:br/>
        <w:t>E TERMOS COMPLEMENTARES</w:t>
      </w:r>
      <w:r w:rsidRPr="007C5B54">
        <w:tab/>
      </w:r>
      <w:r w:rsidR="0081625E" w:rsidRPr="007C5B54">
        <w:fldChar w:fldCharType="begin"/>
      </w:r>
      <w:r w:rsidR="0081625E" w:rsidRPr="007C5B54">
        <w:instrText xml:space="preserve"> PAGEREF _Toc361829290 \h </w:instrText>
      </w:r>
      <w:r w:rsidR="0081625E" w:rsidRPr="007C5B54">
        <w:fldChar w:fldCharType="separate"/>
      </w:r>
      <w:r w:rsidR="008E4487">
        <w:t>56</w:t>
      </w:r>
      <w:r w:rsidR="0081625E"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Termos de Pagamento e Preços de Serviços Online</w:t>
      </w:r>
      <w:r w:rsidRPr="007C5B54">
        <w:tab/>
      </w:r>
      <w:r w:rsidRPr="007C5B54">
        <w:fldChar w:fldCharType="begin"/>
      </w:r>
      <w:r w:rsidRPr="007C5B54">
        <w:instrText xml:space="preserve"> PAGEREF _Toc361829291 \h </w:instrText>
      </w:r>
      <w:r w:rsidRPr="007C5B54">
        <w:fldChar w:fldCharType="separate"/>
      </w:r>
      <w:r w:rsidR="008E4487">
        <w:t>56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Prazo da assinatura de Serviços Online</w:t>
      </w:r>
      <w:r w:rsidRPr="007C5B54">
        <w:tab/>
      </w:r>
      <w:r w:rsidRPr="007C5B54">
        <w:fldChar w:fldCharType="begin"/>
      </w:r>
      <w:r w:rsidRPr="007C5B54">
        <w:instrText xml:space="preserve"> PAGEREF _Toc361829292 \h </w:instrText>
      </w:r>
      <w:r w:rsidRPr="007C5B54">
        <w:fldChar w:fldCharType="separate"/>
      </w:r>
      <w:r w:rsidR="008E4487">
        <w:t>56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Compras e renovação automática em Serviços Online</w:t>
      </w:r>
      <w:r w:rsidRPr="007C5B54">
        <w:tab/>
      </w:r>
      <w:r w:rsidRPr="007C5B54">
        <w:fldChar w:fldCharType="begin"/>
      </w:r>
      <w:r w:rsidRPr="007C5B54">
        <w:instrText xml:space="preserve"> PAGEREF _Toc361829293 \h </w:instrText>
      </w:r>
      <w:r w:rsidRPr="007C5B54">
        <w:fldChar w:fldCharType="separate"/>
      </w:r>
      <w:r w:rsidR="008E4487">
        <w:t>57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Gerenciamento do status da renovação e da renovação automática</w:t>
      </w:r>
      <w:r w:rsidRPr="007C5B54">
        <w:tab/>
      </w:r>
      <w:r w:rsidRPr="007C5B54">
        <w:fldChar w:fldCharType="begin"/>
      </w:r>
      <w:r w:rsidRPr="007C5B54">
        <w:instrText xml:space="preserve"> PAGEREF _Toc361829294 \h </w:instrText>
      </w:r>
      <w:r w:rsidRPr="007C5B54">
        <w:fldChar w:fldCharType="separate"/>
      </w:r>
      <w:r w:rsidR="008E4487">
        <w:t>57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Cancelamento de Serviços Online</w:t>
      </w:r>
      <w:r w:rsidRPr="007C5B54">
        <w:tab/>
      </w:r>
      <w:r w:rsidRPr="007C5B54">
        <w:fldChar w:fldCharType="begin"/>
      </w:r>
      <w:r w:rsidRPr="007C5B54">
        <w:instrText xml:space="preserve"> PAGEREF _Toc361829295 \h </w:instrText>
      </w:r>
      <w:r w:rsidRPr="007C5B54">
        <w:fldChar w:fldCharType="separate"/>
      </w:r>
      <w:r w:rsidR="008E4487">
        <w:t>58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Opções de termos de pagamento de Serviços Online</w:t>
      </w:r>
      <w:r w:rsidRPr="007C5B54">
        <w:tab/>
      </w:r>
      <w:r w:rsidRPr="007C5B54">
        <w:fldChar w:fldCharType="begin"/>
      </w:r>
      <w:r w:rsidRPr="007C5B54">
        <w:instrText xml:space="preserve"> PAGEREF _Toc361829296 \h </w:instrText>
      </w:r>
      <w:r w:rsidRPr="007C5B54">
        <w:fldChar w:fldCharType="separate"/>
      </w:r>
      <w:r w:rsidR="008E4487">
        <w:t>58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Requisitos de compra mínima para Serviços Online no Licenciamento por Volume</w:t>
      </w:r>
      <w:r w:rsidRPr="007C5B54">
        <w:tab/>
      </w:r>
      <w:r w:rsidRPr="007C5B54">
        <w:fldChar w:fldCharType="begin"/>
      </w:r>
      <w:r w:rsidRPr="007C5B54">
        <w:instrText xml:space="preserve"> PAGEREF _Toc361829297 \h </w:instrText>
      </w:r>
      <w:r w:rsidRPr="007C5B54">
        <w:fldChar w:fldCharType="separate"/>
      </w:r>
      <w:r w:rsidR="008E4487">
        <w:t>58</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Serviços do Windows Azure</w:t>
      </w:r>
      <w:r w:rsidRPr="007C5B54">
        <w:rPr>
          <w:color w:val="auto"/>
        </w:rPr>
        <w:tab/>
      </w:r>
      <w:r w:rsidRPr="007C5B54">
        <w:rPr>
          <w:color w:val="auto"/>
        </w:rPr>
        <w:fldChar w:fldCharType="begin"/>
      </w:r>
      <w:r w:rsidRPr="007C5B54">
        <w:rPr>
          <w:color w:val="auto"/>
        </w:rPr>
        <w:instrText xml:space="preserve"> PAGEREF _Toc361829298 \h </w:instrText>
      </w:r>
      <w:r w:rsidRPr="007C5B54">
        <w:rPr>
          <w:color w:val="auto"/>
        </w:rPr>
      </w:r>
      <w:r w:rsidRPr="007C5B54">
        <w:rPr>
          <w:color w:val="auto"/>
        </w:rPr>
        <w:fldChar w:fldCharType="separate"/>
      </w:r>
      <w:r w:rsidR="008E4487">
        <w:rPr>
          <w:color w:val="auto"/>
        </w:rPr>
        <w:t>58</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Disponibilidade Regional dos Serviços Online</w:t>
      </w:r>
      <w:r w:rsidRPr="007C5B54">
        <w:tab/>
      </w:r>
      <w:r w:rsidRPr="007C5B54">
        <w:fldChar w:fldCharType="begin"/>
      </w:r>
      <w:r w:rsidRPr="007C5B54">
        <w:instrText xml:space="preserve"> PAGEREF _Toc361829299 \h </w:instrText>
      </w:r>
      <w:r w:rsidRPr="007C5B54">
        <w:fldChar w:fldCharType="separate"/>
      </w:r>
      <w:r w:rsidR="008E4487">
        <w:t>60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Termos adicionais de Serviços Online</w:t>
      </w:r>
      <w:r w:rsidRPr="007C5B54">
        <w:tab/>
      </w:r>
      <w:r w:rsidRPr="007C5B54">
        <w:fldChar w:fldCharType="begin"/>
      </w:r>
      <w:r w:rsidRPr="007C5B54">
        <w:instrText xml:space="preserve"> PAGEREF _Toc361829300 \h </w:instrText>
      </w:r>
      <w:r w:rsidRPr="007C5B54">
        <w:fldChar w:fldCharType="separate"/>
      </w:r>
      <w:r w:rsidR="008E4487">
        <w:t>60</w:t>
      </w:r>
      <w:r w:rsidRPr="007C5B54">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SEÇÃO 6 – REGRAS DE RENOVAÇÃO DO SOFTWARE ASSURANCE</w:t>
      </w:r>
      <w:r w:rsidRPr="007C5B54">
        <w:tab/>
      </w:r>
      <w:r w:rsidR="0081625E" w:rsidRPr="007C5B54">
        <w:fldChar w:fldCharType="begin"/>
      </w:r>
      <w:r w:rsidR="0081625E" w:rsidRPr="007C5B54">
        <w:instrText xml:space="preserve"> PAGEREF _Toc361829301 \h </w:instrText>
      </w:r>
      <w:r w:rsidR="0081625E" w:rsidRPr="007C5B54">
        <w:fldChar w:fldCharType="separate"/>
      </w:r>
      <w:r w:rsidR="008E4487">
        <w:t>61</w:t>
      </w:r>
      <w:r w:rsidR="0081625E" w:rsidRPr="007C5B54">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Licença Open</w:t>
      </w:r>
      <w:r w:rsidRPr="007C5B54">
        <w:rPr>
          <w:noProof/>
        </w:rPr>
        <w:tab/>
      </w:r>
      <w:r w:rsidRPr="007C5B54">
        <w:rPr>
          <w:noProof/>
        </w:rPr>
        <w:fldChar w:fldCharType="begin"/>
      </w:r>
      <w:r w:rsidRPr="007C5B54">
        <w:rPr>
          <w:noProof/>
        </w:rPr>
        <w:instrText xml:space="preserve"> PAGEREF _Toc361829302 \h </w:instrText>
      </w:r>
      <w:r w:rsidRPr="007C5B54">
        <w:rPr>
          <w:noProof/>
        </w:rPr>
      </w:r>
      <w:r w:rsidRPr="007C5B54">
        <w:rPr>
          <w:noProof/>
        </w:rPr>
        <w:fldChar w:fldCharType="separate"/>
      </w:r>
      <w:r w:rsidR="008E4487">
        <w:rPr>
          <w:noProof/>
        </w:rPr>
        <w:t>61</w:t>
      </w:r>
      <w:r w:rsidRPr="007C5B54">
        <w:rPr>
          <w:noProof/>
        </w:rPr>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Open Value 20xx</w:t>
      </w:r>
      <w:r w:rsidRPr="007C5B54">
        <w:rPr>
          <w:noProof/>
        </w:rPr>
        <w:tab/>
      </w:r>
      <w:r w:rsidRPr="007C5B54">
        <w:rPr>
          <w:noProof/>
        </w:rPr>
        <w:fldChar w:fldCharType="begin"/>
      </w:r>
      <w:r w:rsidRPr="007C5B54">
        <w:rPr>
          <w:noProof/>
        </w:rPr>
        <w:instrText xml:space="preserve"> PAGEREF _Toc361829303 \h </w:instrText>
      </w:r>
      <w:r w:rsidRPr="007C5B54">
        <w:rPr>
          <w:noProof/>
        </w:rPr>
      </w:r>
      <w:r w:rsidRPr="007C5B54">
        <w:rPr>
          <w:noProof/>
        </w:rPr>
        <w:fldChar w:fldCharType="separate"/>
      </w:r>
      <w:r w:rsidR="008E4487">
        <w:rPr>
          <w:noProof/>
        </w:rPr>
        <w:t>61</w:t>
      </w:r>
      <w:r w:rsidRPr="007C5B54">
        <w:rPr>
          <w:noProof/>
        </w:rPr>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Select 20xx</w:t>
      </w:r>
      <w:r w:rsidRPr="007C5B54">
        <w:rPr>
          <w:noProof/>
        </w:rPr>
        <w:tab/>
      </w:r>
      <w:r w:rsidRPr="007C5B54">
        <w:rPr>
          <w:noProof/>
        </w:rPr>
        <w:fldChar w:fldCharType="begin"/>
      </w:r>
      <w:r w:rsidRPr="007C5B54">
        <w:rPr>
          <w:noProof/>
        </w:rPr>
        <w:instrText xml:space="preserve"> PAGEREF _Toc361829304 \h </w:instrText>
      </w:r>
      <w:r w:rsidRPr="007C5B54">
        <w:rPr>
          <w:noProof/>
        </w:rPr>
      </w:r>
      <w:r w:rsidRPr="007C5B54">
        <w:rPr>
          <w:noProof/>
        </w:rPr>
        <w:fldChar w:fldCharType="separate"/>
      </w:r>
      <w:r w:rsidR="008E4487">
        <w:rPr>
          <w:noProof/>
        </w:rPr>
        <w:t>61</w:t>
      </w:r>
      <w:r w:rsidRPr="007C5B54">
        <w:rPr>
          <w:noProof/>
        </w:rPr>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Renovação da Cobertura sob o Mesmo Contrato</w:t>
      </w:r>
      <w:r w:rsidRPr="007C5B54">
        <w:rPr>
          <w:noProof/>
        </w:rPr>
        <w:tab/>
      </w:r>
      <w:r w:rsidRPr="007C5B54">
        <w:rPr>
          <w:noProof/>
        </w:rPr>
        <w:fldChar w:fldCharType="begin"/>
      </w:r>
      <w:r w:rsidRPr="007C5B54">
        <w:rPr>
          <w:noProof/>
        </w:rPr>
        <w:instrText xml:space="preserve"> PAGEREF _Toc361829305 \h </w:instrText>
      </w:r>
      <w:r w:rsidRPr="007C5B54">
        <w:rPr>
          <w:noProof/>
        </w:rPr>
      </w:r>
      <w:r w:rsidRPr="007C5B54">
        <w:rPr>
          <w:noProof/>
        </w:rPr>
        <w:fldChar w:fldCharType="separate"/>
      </w:r>
      <w:r w:rsidR="008E4487">
        <w:rPr>
          <w:noProof/>
        </w:rPr>
        <w:t>61</w:t>
      </w:r>
      <w:r w:rsidRPr="007C5B54">
        <w:rPr>
          <w:noProof/>
        </w:rPr>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Renovação da Cobertura a partir de um Contrato Separado</w:t>
      </w:r>
      <w:r w:rsidRPr="007C5B54">
        <w:rPr>
          <w:noProof/>
        </w:rPr>
        <w:tab/>
      </w:r>
      <w:r w:rsidRPr="007C5B54">
        <w:rPr>
          <w:noProof/>
        </w:rPr>
        <w:fldChar w:fldCharType="begin"/>
      </w:r>
      <w:r w:rsidRPr="007C5B54">
        <w:rPr>
          <w:noProof/>
        </w:rPr>
        <w:instrText xml:space="preserve"> PAGEREF _Toc361829306 \h </w:instrText>
      </w:r>
      <w:r w:rsidRPr="007C5B54">
        <w:rPr>
          <w:noProof/>
        </w:rPr>
      </w:r>
      <w:r w:rsidRPr="007C5B54">
        <w:rPr>
          <w:noProof/>
        </w:rPr>
        <w:fldChar w:fldCharType="separate"/>
      </w:r>
      <w:r w:rsidR="008E4487">
        <w:rPr>
          <w:noProof/>
        </w:rPr>
        <w:t>62</w:t>
      </w:r>
      <w:r w:rsidRPr="007C5B54">
        <w:rPr>
          <w:noProof/>
        </w:rPr>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Select Plus 20xx</w:t>
      </w:r>
      <w:r w:rsidRPr="007C5B54">
        <w:rPr>
          <w:noProof/>
        </w:rPr>
        <w:tab/>
      </w:r>
      <w:r w:rsidRPr="007C5B54">
        <w:rPr>
          <w:noProof/>
        </w:rPr>
        <w:fldChar w:fldCharType="begin"/>
      </w:r>
      <w:r w:rsidRPr="007C5B54">
        <w:rPr>
          <w:noProof/>
        </w:rPr>
        <w:instrText xml:space="preserve"> PAGEREF _Toc361829307 \h </w:instrText>
      </w:r>
      <w:r w:rsidRPr="007C5B54">
        <w:rPr>
          <w:noProof/>
        </w:rPr>
      </w:r>
      <w:r w:rsidRPr="007C5B54">
        <w:rPr>
          <w:noProof/>
        </w:rPr>
        <w:fldChar w:fldCharType="separate"/>
      </w:r>
      <w:r w:rsidR="008E4487">
        <w:rPr>
          <w:noProof/>
        </w:rPr>
        <w:t>62</w:t>
      </w:r>
      <w:r w:rsidRPr="007C5B54">
        <w:rPr>
          <w:noProof/>
        </w:rPr>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Contrato Enterprise 2011 ou versões posteriores</w:t>
      </w:r>
      <w:r w:rsidRPr="007C5B54">
        <w:rPr>
          <w:noProof/>
        </w:rPr>
        <w:tab/>
      </w:r>
      <w:r w:rsidRPr="007C5B54">
        <w:rPr>
          <w:noProof/>
        </w:rPr>
        <w:fldChar w:fldCharType="begin"/>
      </w:r>
      <w:r w:rsidRPr="007C5B54">
        <w:rPr>
          <w:noProof/>
        </w:rPr>
        <w:instrText xml:space="preserve"> PAGEREF _Toc361829308 \h </w:instrText>
      </w:r>
      <w:r w:rsidRPr="007C5B54">
        <w:rPr>
          <w:noProof/>
        </w:rPr>
      </w:r>
      <w:r w:rsidRPr="007C5B54">
        <w:rPr>
          <w:noProof/>
        </w:rPr>
        <w:fldChar w:fldCharType="separate"/>
      </w:r>
      <w:r w:rsidR="008E4487">
        <w:rPr>
          <w:noProof/>
        </w:rPr>
        <w:t>62</w:t>
      </w:r>
      <w:r w:rsidRPr="007C5B54">
        <w:rPr>
          <w:noProof/>
        </w:rPr>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Contrato Enterprise Pré-2011</w:t>
      </w:r>
      <w:r w:rsidRPr="007C5B54">
        <w:rPr>
          <w:noProof/>
        </w:rPr>
        <w:tab/>
      </w:r>
      <w:r w:rsidRPr="007C5B54">
        <w:rPr>
          <w:noProof/>
        </w:rPr>
        <w:fldChar w:fldCharType="begin"/>
      </w:r>
      <w:r w:rsidRPr="007C5B54">
        <w:rPr>
          <w:noProof/>
        </w:rPr>
        <w:instrText xml:space="preserve"> PAGEREF _Toc361829309 \h </w:instrText>
      </w:r>
      <w:r w:rsidRPr="007C5B54">
        <w:rPr>
          <w:noProof/>
        </w:rPr>
      </w:r>
      <w:r w:rsidRPr="007C5B54">
        <w:rPr>
          <w:noProof/>
        </w:rPr>
        <w:fldChar w:fldCharType="separate"/>
      </w:r>
      <w:r w:rsidR="008E4487">
        <w:rPr>
          <w:noProof/>
        </w:rPr>
        <w:t>63</w:t>
      </w:r>
      <w:r w:rsidRPr="007C5B54">
        <w:rPr>
          <w:noProof/>
        </w:rPr>
        <w:fldChar w:fldCharType="end"/>
      </w:r>
    </w:p>
    <w:p w:rsidR="0081625E" w:rsidRPr="007C5B54" w:rsidRDefault="0081625E">
      <w:pPr>
        <w:pStyle w:val="TOC4"/>
        <w:rPr>
          <w:rFonts w:asciiTheme="minorHAnsi" w:eastAsiaTheme="minorEastAsia" w:hAnsiTheme="minorHAnsi" w:cstheme="minorBidi"/>
          <w:noProof/>
          <w:sz w:val="22"/>
          <w:szCs w:val="22"/>
        </w:rPr>
      </w:pPr>
      <w:r w:rsidRPr="007C5B54">
        <w:rPr>
          <w:rFonts w:cs="Tahoma"/>
          <w:noProof/>
        </w:rPr>
        <w:t>Renovação entre programas</w:t>
      </w:r>
      <w:r w:rsidRPr="007C5B54">
        <w:rPr>
          <w:noProof/>
        </w:rPr>
        <w:tab/>
      </w:r>
      <w:r w:rsidRPr="007C5B54">
        <w:rPr>
          <w:noProof/>
        </w:rPr>
        <w:fldChar w:fldCharType="begin"/>
      </w:r>
      <w:r w:rsidRPr="007C5B54">
        <w:rPr>
          <w:noProof/>
        </w:rPr>
        <w:instrText xml:space="preserve"> PAGEREF _Toc361829310 \h </w:instrText>
      </w:r>
      <w:r w:rsidRPr="007C5B54">
        <w:rPr>
          <w:noProof/>
        </w:rPr>
      </w:r>
      <w:r w:rsidRPr="007C5B54">
        <w:rPr>
          <w:noProof/>
        </w:rPr>
        <w:fldChar w:fldCharType="separate"/>
      </w:r>
      <w:r w:rsidR="008E4487">
        <w:rPr>
          <w:noProof/>
        </w:rPr>
        <w:t>63</w:t>
      </w:r>
      <w:r w:rsidRPr="007C5B54">
        <w:rPr>
          <w:noProof/>
        </w:rPr>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 xml:space="preserve">SEÇÃO 7 – BENEFÍCIOS DO SOFTWARE ASSURANCE (SA) </w:t>
      </w:r>
      <w:r w:rsidRPr="007C5B54">
        <w:br/>
        <w:t>E BENEFÍCIOS DOS SERVIÇOS ONLINE (OLS)</w:t>
      </w:r>
      <w:r w:rsidRPr="007C5B54">
        <w:tab/>
      </w:r>
      <w:r w:rsidR="0081625E" w:rsidRPr="007C5B54">
        <w:fldChar w:fldCharType="begin"/>
      </w:r>
      <w:r w:rsidR="0081625E" w:rsidRPr="007C5B54">
        <w:instrText xml:space="preserve"> PAGEREF _Toc361829311 \h </w:instrText>
      </w:r>
      <w:r w:rsidR="0081625E" w:rsidRPr="007C5B54">
        <w:fldChar w:fldCharType="separate"/>
      </w:r>
      <w:r w:rsidR="008E4487">
        <w:t>64</w:t>
      </w:r>
      <w:r w:rsidR="0081625E"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Direitos à Nova Versão</w:t>
      </w:r>
      <w:r w:rsidRPr="007C5B54">
        <w:tab/>
      </w:r>
      <w:r w:rsidRPr="007C5B54">
        <w:fldChar w:fldCharType="begin"/>
      </w:r>
      <w:r w:rsidRPr="007C5B54">
        <w:instrText xml:space="preserve"> PAGEREF _Toc361829312 \h </w:instrText>
      </w:r>
      <w:r w:rsidRPr="007C5B54">
        <w:fldChar w:fldCharType="separate"/>
      </w:r>
      <w:r w:rsidR="008E4487">
        <w:t>66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Pacote Multilíngue do Office</w:t>
      </w:r>
      <w:r w:rsidRPr="007C5B54">
        <w:tab/>
      </w:r>
      <w:r w:rsidRPr="007C5B54">
        <w:fldChar w:fldCharType="begin"/>
      </w:r>
      <w:r w:rsidRPr="007C5B54">
        <w:instrText xml:space="preserve"> PAGEREF _Toc361829313 \h </w:instrText>
      </w:r>
      <w:r w:rsidRPr="007C5B54">
        <w:fldChar w:fldCharType="separate"/>
      </w:r>
      <w:r w:rsidR="008E4487">
        <w:t>66</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Windows 8 Enterprise</w:t>
      </w:r>
      <w:r w:rsidRPr="007C5B54">
        <w:rPr>
          <w:color w:val="auto"/>
        </w:rPr>
        <w:tab/>
      </w:r>
      <w:r w:rsidRPr="007C5B54">
        <w:rPr>
          <w:color w:val="auto"/>
        </w:rPr>
        <w:fldChar w:fldCharType="begin"/>
      </w:r>
      <w:r w:rsidRPr="007C5B54">
        <w:rPr>
          <w:color w:val="auto"/>
        </w:rPr>
        <w:instrText xml:space="preserve"> PAGEREF _Toc361829314 \h </w:instrText>
      </w:r>
      <w:r w:rsidRPr="007C5B54">
        <w:rPr>
          <w:color w:val="auto"/>
        </w:rPr>
      </w:r>
      <w:r w:rsidRPr="007C5B54">
        <w:rPr>
          <w:color w:val="auto"/>
        </w:rPr>
        <w:fldChar w:fldCharType="separate"/>
      </w:r>
      <w:r w:rsidR="008E4487">
        <w:rPr>
          <w:color w:val="auto"/>
        </w:rPr>
        <w:t>71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Windows 8 Enterprise Sideloading</w:t>
      </w:r>
      <w:r w:rsidRPr="007C5B54">
        <w:rPr>
          <w:color w:val="auto"/>
        </w:rPr>
        <w:tab/>
      </w:r>
      <w:r w:rsidRPr="007C5B54">
        <w:rPr>
          <w:color w:val="auto"/>
        </w:rPr>
        <w:fldChar w:fldCharType="begin"/>
      </w:r>
      <w:r w:rsidRPr="007C5B54">
        <w:rPr>
          <w:color w:val="auto"/>
        </w:rPr>
        <w:instrText xml:space="preserve"> PAGEREF _Toc361829315 \h </w:instrText>
      </w:r>
      <w:r w:rsidRPr="007C5B54">
        <w:rPr>
          <w:color w:val="auto"/>
        </w:rPr>
      </w:r>
      <w:r w:rsidRPr="007C5B54">
        <w:rPr>
          <w:color w:val="auto"/>
        </w:rPr>
        <w:fldChar w:fldCharType="separate"/>
      </w:r>
      <w:r w:rsidR="008E4487">
        <w:rPr>
          <w:color w:val="auto"/>
        </w:rPr>
        <w:t>71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Licença de Assinatura do Windows Companion</w:t>
      </w:r>
      <w:r w:rsidRPr="007C5B54">
        <w:rPr>
          <w:color w:val="auto"/>
        </w:rPr>
        <w:tab/>
      </w:r>
      <w:r w:rsidRPr="007C5B54">
        <w:rPr>
          <w:color w:val="auto"/>
        </w:rPr>
        <w:fldChar w:fldCharType="begin"/>
      </w:r>
      <w:r w:rsidRPr="007C5B54">
        <w:rPr>
          <w:color w:val="auto"/>
        </w:rPr>
        <w:instrText xml:space="preserve"> PAGEREF _Toc361829316 \h </w:instrText>
      </w:r>
      <w:r w:rsidRPr="007C5B54">
        <w:rPr>
          <w:color w:val="auto"/>
        </w:rPr>
      </w:r>
      <w:r w:rsidRPr="007C5B54">
        <w:rPr>
          <w:color w:val="auto"/>
        </w:rPr>
        <w:fldChar w:fldCharType="separate"/>
      </w:r>
      <w:r w:rsidR="008E4487">
        <w:rPr>
          <w:color w:val="auto"/>
        </w:rPr>
        <w:t>71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Cupons de Treinamento</w:t>
      </w:r>
      <w:r w:rsidRPr="007C5B54">
        <w:rPr>
          <w:color w:val="auto"/>
        </w:rPr>
        <w:tab/>
      </w:r>
      <w:r w:rsidRPr="007C5B54">
        <w:rPr>
          <w:color w:val="auto"/>
        </w:rPr>
        <w:fldChar w:fldCharType="begin"/>
      </w:r>
      <w:r w:rsidRPr="007C5B54">
        <w:rPr>
          <w:color w:val="auto"/>
        </w:rPr>
        <w:instrText xml:space="preserve"> PAGEREF _Toc361829317 \h </w:instrText>
      </w:r>
      <w:r w:rsidRPr="007C5B54">
        <w:rPr>
          <w:color w:val="auto"/>
        </w:rPr>
      </w:r>
      <w:r w:rsidRPr="007C5B54">
        <w:rPr>
          <w:color w:val="auto"/>
        </w:rPr>
        <w:fldChar w:fldCharType="separate"/>
      </w:r>
      <w:r w:rsidR="008E4487">
        <w:rPr>
          <w:color w:val="auto"/>
        </w:rPr>
        <w:t>72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E-Learning</w:t>
      </w:r>
      <w:r w:rsidRPr="007C5B54">
        <w:rPr>
          <w:color w:val="auto"/>
        </w:rPr>
        <w:tab/>
      </w:r>
      <w:r w:rsidRPr="007C5B54">
        <w:rPr>
          <w:color w:val="auto"/>
        </w:rPr>
        <w:fldChar w:fldCharType="begin"/>
      </w:r>
      <w:r w:rsidRPr="007C5B54">
        <w:rPr>
          <w:color w:val="auto"/>
        </w:rPr>
        <w:instrText xml:space="preserve"> PAGEREF _Toc361829318 \h </w:instrText>
      </w:r>
      <w:r w:rsidRPr="007C5B54">
        <w:rPr>
          <w:color w:val="auto"/>
        </w:rPr>
      </w:r>
      <w:r w:rsidRPr="007C5B54">
        <w:rPr>
          <w:color w:val="auto"/>
        </w:rPr>
        <w:fldChar w:fldCharType="separate"/>
      </w:r>
      <w:r w:rsidR="008E4487">
        <w:rPr>
          <w:color w:val="auto"/>
        </w:rPr>
        <w:t>74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Home Use Program</w:t>
      </w:r>
      <w:r w:rsidRPr="007C5B54">
        <w:rPr>
          <w:color w:val="auto"/>
        </w:rPr>
        <w:tab/>
      </w:r>
      <w:r w:rsidRPr="007C5B54">
        <w:rPr>
          <w:color w:val="auto"/>
        </w:rPr>
        <w:fldChar w:fldCharType="begin"/>
      </w:r>
      <w:r w:rsidRPr="007C5B54">
        <w:rPr>
          <w:color w:val="auto"/>
        </w:rPr>
        <w:instrText xml:space="preserve"> PAGEREF _Toc361829319 \h </w:instrText>
      </w:r>
      <w:r w:rsidRPr="007C5B54">
        <w:rPr>
          <w:color w:val="auto"/>
        </w:rPr>
      </w:r>
      <w:r w:rsidRPr="007C5B54">
        <w:rPr>
          <w:color w:val="auto"/>
        </w:rPr>
        <w:fldChar w:fldCharType="separate"/>
      </w:r>
      <w:r w:rsidR="008E4487">
        <w:rPr>
          <w:color w:val="auto"/>
        </w:rPr>
        <w:t>75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Suporte para Resolução de Problemas 24x7</w:t>
      </w:r>
      <w:r w:rsidRPr="007C5B54">
        <w:rPr>
          <w:color w:val="auto"/>
        </w:rPr>
        <w:tab/>
      </w:r>
      <w:r w:rsidRPr="007C5B54">
        <w:rPr>
          <w:color w:val="auto"/>
        </w:rPr>
        <w:fldChar w:fldCharType="begin"/>
      </w:r>
      <w:r w:rsidRPr="007C5B54">
        <w:rPr>
          <w:color w:val="auto"/>
        </w:rPr>
        <w:instrText xml:space="preserve"> PAGEREF _Toc361829320 \h </w:instrText>
      </w:r>
      <w:r w:rsidRPr="007C5B54">
        <w:rPr>
          <w:color w:val="auto"/>
        </w:rPr>
      </w:r>
      <w:r w:rsidRPr="007C5B54">
        <w:rPr>
          <w:color w:val="auto"/>
        </w:rPr>
        <w:fldChar w:fldCharType="separate"/>
      </w:r>
      <w:r w:rsidR="008E4487">
        <w:rPr>
          <w:color w:val="auto"/>
        </w:rPr>
        <w:t>77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Suporte para Resolução de Problemas 24x7 Ilimitado</w:t>
      </w:r>
      <w:r w:rsidRPr="007C5B54">
        <w:rPr>
          <w:color w:val="auto"/>
        </w:rPr>
        <w:tab/>
      </w:r>
      <w:r w:rsidRPr="007C5B54">
        <w:rPr>
          <w:color w:val="auto"/>
        </w:rPr>
        <w:fldChar w:fldCharType="begin"/>
      </w:r>
      <w:r w:rsidRPr="007C5B54">
        <w:rPr>
          <w:color w:val="auto"/>
        </w:rPr>
        <w:instrText xml:space="preserve"> PAGEREF _Toc361829321 \h </w:instrText>
      </w:r>
      <w:r w:rsidRPr="007C5B54">
        <w:rPr>
          <w:color w:val="auto"/>
        </w:rPr>
      </w:r>
      <w:r w:rsidRPr="007C5B54">
        <w:rPr>
          <w:color w:val="auto"/>
        </w:rPr>
        <w:fldChar w:fldCharType="separate"/>
      </w:r>
      <w:r w:rsidR="008E4487">
        <w:rPr>
          <w:color w:val="auto"/>
        </w:rPr>
        <w:t>82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System Center Advisor</w:t>
      </w:r>
      <w:r w:rsidRPr="007C5B54">
        <w:rPr>
          <w:color w:val="auto"/>
        </w:rPr>
        <w:tab/>
      </w:r>
      <w:r w:rsidRPr="007C5B54">
        <w:rPr>
          <w:color w:val="auto"/>
        </w:rPr>
        <w:fldChar w:fldCharType="begin"/>
      </w:r>
      <w:r w:rsidRPr="007C5B54">
        <w:rPr>
          <w:color w:val="auto"/>
        </w:rPr>
        <w:instrText xml:space="preserve"> PAGEREF _Toc361829322 \h </w:instrText>
      </w:r>
      <w:r w:rsidRPr="007C5B54">
        <w:rPr>
          <w:color w:val="auto"/>
        </w:rPr>
      </w:r>
      <w:r w:rsidRPr="007C5B54">
        <w:rPr>
          <w:color w:val="auto"/>
        </w:rPr>
        <w:fldChar w:fldCharType="separate"/>
      </w:r>
      <w:r w:rsidR="008E4487">
        <w:rPr>
          <w:color w:val="auto"/>
        </w:rPr>
        <w:t>84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Backup Passivo para Recuperação de Desastres</w:t>
      </w:r>
      <w:r w:rsidRPr="007C5B54">
        <w:rPr>
          <w:color w:val="auto"/>
        </w:rPr>
        <w:tab/>
      </w:r>
      <w:r w:rsidRPr="007C5B54">
        <w:rPr>
          <w:color w:val="auto"/>
        </w:rPr>
        <w:fldChar w:fldCharType="begin"/>
      </w:r>
      <w:r w:rsidRPr="007C5B54">
        <w:rPr>
          <w:color w:val="auto"/>
        </w:rPr>
        <w:instrText xml:space="preserve"> PAGEREF _Toc361829323 \h </w:instrText>
      </w:r>
      <w:r w:rsidRPr="007C5B54">
        <w:rPr>
          <w:color w:val="auto"/>
        </w:rPr>
      </w:r>
      <w:r w:rsidRPr="007C5B54">
        <w:rPr>
          <w:color w:val="auto"/>
        </w:rPr>
        <w:fldChar w:fldCharType="separate"/>
      </w:r>
      <w:r w:rsidR="008E4487">
        <w:rPr>
          <w:color w:val="auto"/>
        </w:rPr>
        <w:t>86</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Serviços de Assinatura do TechNet SA</w:t>
      </w:r>
      <w:r w:rsidRPr="007C5B54">
        <w:rPr>
          <w:color w:val="auto"/>
        </w:rPr>
        <w:tab/>
      </w:r>
      <w:r w:rsidRPr="007C5B54">
        <w:rPr>
          <w:color w:val="auto"/>
        </w:rPr>
        <w:fldChar w:fldCharType="begin"/>
      </w:r>
      <w:r w:rsidRPr="007C5B54">
        <w:rPr>
          <w:color w:val="auto"/>
        </w:rPr>
        <w:instrText xml:space="preserve"> PAGEREF _Toc361829324 \h </w:instrText>
      </w:r>
      <w:r w:rsidRPr="007C5B54">
        <w:rPr>
          <w:color w:val="auto"/>
        </w:rPr>
      </w:r>
      <w:r w:rsidRPr="007C5B54">
        <w:rPr>
          <w:color w:val="auto"/>
        </w:rPr>
        <w:fldChar w:fldCharType="separate"/>
      </w:r>
      <w:r w:rsidR="008E4487">
        <w:rPr>
          <w:color w:val="auto"/>
        </w:rPr>
        <w:t>86</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TechNet Plus Direct</w:t>
      </w:r>
      <w:r w:rsidRPr="007C5B54">
        <w:rPr>
          <w:color w:val="auto"/>
        </w:rPr>
        <w:tab/>
      </w:r>
      <w:r w:rsidRPr="007C5B54">
        <w:rPr>
          <w:color w:val="auto"/>
        </w:rPr>
        <w:fldChar w:fldCharType="begin"/>
      </w:r>
      <w:r w:rsidRPr="007C5B54">
        <w:rPr>
          <w:color w:val="auto"/>
        </w:rPr>
        <w:instrText xml:space="preserve"> PAGEREF _Toc361829325 \h </w:instrText>
      </w:r>
      <w:r w:rsidRPr="007C5B54">
        <w:rPr>
          <w:color w:val="auto"/>
        </w:rPr>
      </w:r>
      <w:r w:rsidRPr="007C5B54">
        <w:rPr>
          <w:color w:val="auto"/>
        </w:rPr>
        <w:fldChar w:fldCharType="separate"/>
      </w:r>
      <w:r w:rsidR="008E4487">
        <w:rPr>
          <w:color w:val="auto"/>
        </w:rPr>
        <w:t>87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Mobilidade de Licença por meio do Software Assurance.</w:t>
      </w:r>
      <w:r w:rsidRPr="007C5B54">
        <w:rPr>
          <w:color w:val="auto"/>
        </w:rPr>
        <w:tab/>
      </w:r>
      <w:r w:rsidRPr="007C5B54">
        <w:rPr>
          <w:color w:val="auto"/>
        </w:rPr>
        <w:fldChar w:fldCharType="begin"/>
      </w:r>
      <w:r w:rsidRPr="007C5B54">
        <w:rPr>
          <w:color w:val="auto"/>
        </w:rPr>
        <w:instrText xml:space="preserve"> PAGEREF _Toc361829326 \h </w:instrText>
      </w:r>
      <w:r w:rsidRPr="007C5B54">
        <w:rPr>
          <w:color w:val="auto"/>
        </w:rPr>
      </w:r>
      <w:r w:rsidRPr="007C5B54">
        <w:rPr>
          <w:color w:val="auto"/>
        </w:rPr>
        <w:fldChar w:fldCharType="separate"/>
      </w:r>
      <w:r w:rsidR="008E4487">
        <w:rPr>
          <w:color w:val="auto"/>
        </w:rPr>
        <w:t>88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Windows Thin PC</w:t>
      </w:r>
      <w:r w:rsidRPr="007C5B54">
        <w:rPr>
          <w:color w:val="auto"/>
        </w:rPr>
        <w:tab/>
      </w:r>
      <w:r w:rsidRPr="007C5B54">
        <w:rPr>
          <w:color w:val="auto"/>
        </w:rPr>
        <w:fldChar w:fldCharType="begin"/>
      </w:r>
      <w:r w:rsidRPr="007C5B54">
        <w:rPr>
          <w:color w:val="auto"/>
        </w:rPr>
        <w:instrText xml:space="preserve"> PAGEREF _Toc361829327 \h </w:instrText>
      </w:r>
      <w:r w:rsidRPr="007C5B54">
        <w:rPr>
          <w:color w:val="auto"/>
        </w:rPr>
      </w:r>
      <w:r w:rsidRPr="007C5B54">
        <w:rPr>
          <w:color w:val="auto"/>
        </w:rPr>
        <w:fldChar w:fldCharType="separate"/>
      </w:r>
      <w:r w:rsidR="008E4487">
        <w:rPr>
          <w:color w:val="auto"/>
        </w:rPr>
        <w:t>88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Microsoft Desktop Optimization Pack para Software Assurance</w:t>
      </w:r>
      <w:r w:rsidRPr="007C5B54">
        <w:rPr>
          <w:color w:val="auto"/>
        </w:rPr>
        <w:tab/>
      </w:r>
      <w:r w:rsidRPr="007C5B54">
        <w:rPr>
          <w:color w:val="auto"/>
        </w:rPr>
        <w:fldChar w:fldCharType="begin"/>
      </w:r>
      <w:r w:rsidRPr="007C5B54">
        <w:rPr>
          <w:color w:val="auto"/>
        </w:rPr>
        <w:instrText xml:space="preserve"> PAGEREF _Toc361829328 \h </w:instrText>
      </w:r>
      <w:r w:rsidRPr="007C5B54">
        <w:rPr>
          <w:color w:val="auto"/>
        </w:rPr>
      </w:r>
      <w:r w:rsidRPr="007C5B54">
        <w:rPr>
          <w:color w:val="auto"/>
        </w:rPr>
        <w:fldChar w:fldCharType="separate"/>
      </w:r>
      <w:r w:rsidR="008E4487">
        <w:rPr>
          <w:color w:val="auto"/>
        </w:rPr>
        <w:t>89</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Direitos do Windows Virtual Desktop Access (VDA)</w:t>
      </w:r>
      <w:r w:rsidRPr="007C5B54">
        <w:rPr>
          <w:color w:val="auto"/>
        </w:rPr>
        <w:tab/>
      </w:r>
      <w:r w:rsidRPr="007C5B54">
        <w:rPr>
          <w:color w:val="auto"/>
        </w:rPr>
        <w:fldChar w:fldCharType="begin"/>
      </w:r>
      <w:r w:rsidRPr="007C5B54">
        <w:rPr>
          <w:color w:val="auto"/>
        </w:rPr>
        <w:instrText xml:space="preserve"> PAGEREF _Toc361829329 \h </w:instrText>
      </w:r>
      <w:r w:rsidRPr="007C5B54">
        <w:rPr>
          <w:color w:val="auto"/>
        </w:rPr>
      </w:r>
      <w:r w:rsidRPr="007C5B54">
        <w:rPr>
          <w:color w:val="auto"/>
        </w:rPr>
        <w:fldChar w:fldCharType="separate"/>
      </w:r>
      <w:r w:rsidR="008E4487">
        <w:rPr>
          <w:color w:val="auto"/>
        </w:rPr>
        <w:t>90</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Disponibilidade de Licenças Step-up</w:t>
      </w:r>
      <w:r w:rsidRPr="007C5B54">
        <w:rPr>
          <w:color w:val="auto"/>
        </w:rPr>
        <w:tab/>
      </w:r>
      <w:r w:rsidRPr="007C5B54">
        <w:rPr>
          <w:color w:val="auto"/>
        </w:rPr>
        <w:fldChar w:fldCharType="begin"/>
      </w:r>
      <w:r w:rsidRPr="007C5B54">
        <w:rPr>
          <w:color w:val="auto"/>
        </w:rPr>
        <w:instrText xml:space="preserve"> PAGEREF _Toc361829330 \h </w:instrText>
      </w:r>
      <w:r w:rsidRPr="007C5B54">
        <w:rPr>
          <w:color w:val="auto"/>
        </w:rPr>
      </w:r>
      <w:r w:rsidRPr="007C5B54">
        <w:rPr>
          <w:color w:val="auto"/>
        </w:rPr>
        <w:fldChar w:fldCharType="separate"/>
      </w:r>
      <w:r w:rsidR="008E4487">
        <w:rPr>
          <w:color w:val="auto"/>
        </w:rPr>
        <w:t>90</w:t>
      </w:r>
      <w:r w:rsidRPr="007C5B54">
        <w:rPr>
          <w:color w:val="auto"/>
        </w:rPr>
        <w:fldChar w:fldCharType="end"/>
      </w:r>
    </w:p>
    <w:p w:rsidR="0081625E" w:rsidRPr="007C5B54" w:rsidRDefault="00227966" w:rsidP="00B92A28">
      <w:pPr>
        <w:pStyle w:val="TOC1"/>
        <w:rPr>
          <w:rFonts w:asciiTheme="minorHAnsi" w:eastAsiaTheme="minorEastAsia" w:hAnsiTheme="minorHAnsi" w:cstheme="minorBidi"/>
          <w:caps/>
          <w:szCs w:val="22"/>
        </w:rPr>
      </w:pPr>
      <w:r w:rsidRPr="007C5B54">
        <w:t xml:space="preserve">SEÇÃO 8 </w:t>
      </w:r>
      <w:r w:rsidR="00B92A28" w:rsidRPr="007C5B54">
        <w:t>–</w:t>
      </w:r>
      <w:r w:rsidRPr="007C5B54">
        <w:t xml:space="preserve"> SERVIÇOS</w:t>
      </w:r>
      <w:r w:rsidRPr="007C5B54">
        <w:tab/>
      </w:r>
      <w:r w:rsidR="0081625E" w:rsidRPr="007C5B54">
        <w:fldChar w:fldCharType="begin"/>
      </w:r>
      <w:r w:rsidR="0081625E" w:rsidRPr="007C5B54">
        <w:instrText xml:space="preserve"> PAGEREF _Toc361829331 \h </w:instrText>
      </w:r>
      <w:r w:rsidR="0081625E" w:rsidRPr="007C5B54">
        <w:fldChar w:fldCharType="separate"/>
      </w:r>
      <w:r w:rsidR="008E4487">
        <w:t>91</w:t>
      </w:r>
      <w:r w:rsidR="0081625E"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Direitos de uso, propriedade e licença</w:t>
      </w:r>
      <w:r w:rsidRPr="007C5B54">
        <w:tab/>
      </w:r>
      <w:r w:rsidRPr="007C5B54">
        <w:fldChar w:fldCharType="begin"/>
      </w:r>
      <w:r w:rsidRPr="007C5B54">
        <w:instrText xml:space="preserve"> PAGEREF _Toc361829332 \h </w:instrText>
      </w:r>
      <w:r w:rsidRPr="007C5B54">
        <w:fldChar w:fldCharType="separate"/>
      </w:r>
      <w:r w:rsidR="008E4487">
        <w:t>98</w:t>
      </w:r>
      <w:r w:rsidRPr="007C5B54">
        <w:fldChar w:fldCharType="end"/>
      </w:r>
    </w:p>
    <w:p w:rsidR="00EE70D8" w:rsidRPr="007C5B54" w:rsidRDefault="00EE70D8" w:rsidP="00EE70D8">
      <w:pPr>
        <w:pStyle w:val="TOC1"/>
        <w:keepNext w:val="0"/>
      </w:pPr>
    </w:p>
    <w:p w:rsidR="00EE70D8" w:rsidRPr="007C5B54" w:rsidRDefault="00EE70D8" w:rsidP="00EE70D8">
      <w:pPr>
        <w:pStyle w:val="TOC1"/>
        <w:keepNext w:val="0"/>
      </w:pPr>
    </w:p>
    <w:p w:rsidR="0081625E" w:rsidRPr="007C5B54" w:rsidRDefault="0081625E" w:rsidP="0081625E">
      <w:pPr>
        <w:pStyle w:val="TOC1"/>
        <w:rPr>
          <w:rFonts w:asciiTheme="minorHAnsi" w:eastAsiaTheme="minorEastAsia" w:hAnsiTheme="minorHAnsi" w:cstheme="minorBidi"/>
          <w:caps/>
          <w:szCs w:val="22"/>
        </w:rPr>
      </w:pPr>
      <w:r w:rsidRPr="007C5B54">
        <w:lastRenderedPageBreak/>
        <w:t xml:space="preserve">SEÇÃO 9 – </w:t>
      </w:r>
      <w:r w:rsidR="004E1DD3" w:rsidRPr="007C5B54">
        <w:t>TERMOS ADICIONAIS</w:t>
      </w:r>
      <w:r w:rsidRPr="007C5B54">
        <w:tab/>
      </w:r>
      <w:r w:rsidRPr="007C5B54">
        <w:fldChar w:fldCharType="begin"/>
      </w:r>
      <w:r w:rsidRPr="007C5B54">
        <w:instrText xml:space="preserve"> PAGEREF _Toc361829333 \h </w:instrText>
      </w:r>
      <w:r w:rsidRPr="007C5B54">
        <w:fldChar w:fldCharType="separate"/>
      </w:r>
      <w:r w:rsidR="008E4487">
        <w:t>101</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Licenças de Acesso para Cliente (CALs) e Licenças de Gerenciamento (MLs) de Cliente</w:t>
      </w:r>
      <w:r w:rsidRPr="007C5B54">
        <w:rPr>
          <w:color w:val="auto"/>
        </w:rPr>
        <w:tab/>
      </w:r>
      <w:r w:rsidRPr="007C5B54">
        <w:rPr>
          <w:color w:val="auto"/>
        </w:rPr>
        <w:fldChar w:fldCharType="begin"/>
      </w:r>
      <w:r w:rsidRPr="007C5B54">
        <w:rPr>
          <w:color w:val="auto"/>
        </w:rPr>
        <w:instrText xml:space="preserve"> PAGEREF _Toc361829334 \h </w:instrText>
      </w:r>
      <w:r w:rsidRPr="007C5B54">
        <w:rPr>
          <w:color w:val="auto"/>
        </w:rPr>
      </w:r>
      <w:r w:rsidRPr="007C5B54">
        <w:rPr>
          <w:color w:val="auto"/>
        </w:rPr>
        <w:fldChar w:fldCharType="separate"/>
      </w:r>
      <w:r w:rsidR="008E4487">
        <w:rPr>
          <w:color w:val="auto"/>
        </w:rPr>
        <w:t>101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rPr>
        <w:t>Restrições dos Controles de EI.</w:t>
      </w:r>
      <w:r w:rsidRPr="007C5B54">
        <w:rPr>
          <w:color w:val="auto"/>
        </w:rPr>
        <w:tab/>
      </w:r>
      <w:r w:rsidRPr="007C5B54">
        <w:rPr>
          <w:color w:val="auto"/>
        </w:rPr>
        <w:fldChar w:fldCharType="begin"/>
      </w:r>
      <w:r w:rsidRPr="007C5B54">
        <w:rPr>
          <w:color w:val="auto"/>
        </w:rPr>
        <w:instrText xml:space="preserve"> PAGEREF _Toc361829335 \h </w:instrText>
      </w:r>
      <w:r w:rsidRPr="007C5B54">
        <w:rPr>
          <w:color w:val="auto"/>
        </w:rPr>
      </w:r>
      <w:r w:rsidRPr="007C5B54">
        <w:rPr>
          <w:color w:val="auto"/>
        </w:rPr>
        <w:fldChar w:fldCharType="separate"/>
      </w:r>
      <w:r w:rsidR="008E4487">
        <w:rPr>
          <w:color w:val="auto"/>
        </w:rPr>
        <w:t>101</w:t>
      </w:r>
      <w:r w:rsidRPr="007C5B54">
        <w:rPr>
          <w:color w:val="auto"/>
        </w:rPr>
        <w:fldChar w:fldCharType="end"/>
      </w:r>
    </w:p>
    <w:p w:rsidR="0081625E" w:rsidRPr="007C5B54" w:rsidRDefault="0081625E" w:rsidP="00B92A28">
      <w:pPr>
        <w:pStyle w:val="TOC3"/>
        <w:ind w:left="14" w:firstLine="0"/>
        <w:rPr>
          <w:rFonts w:asciiTheme="minorHAnsi" w:eastAsiaTheme="minorEastAsia" w:hAnsiTheme="minorHAnsi" w:cstheme="minorBidi"/>
          <w:color w:val="auto"/>
          <w:sz w:val="22"/>
          <w:szCs w:val="22"/>
        </w:rPr>
      </w:pPr>
      <w:r w:rsidRPr="007C5B54">
        <w:rPr>
          <w:color w:val="auto"/>
        </w:rPr>
        <w:t xml:space="preserve">Pacotes Multilíngues (MLPs), funcionalidade de MUIs (Multilanguage User Interface) </w:t>
      </w:r>
      <w:r w:rsidR="00EE70D8" w:rsidRPr="007C5B54">
        <w:rPr>
          <w:color w:val="auto"/>
        </w:rPr>
        <w:br/>
      </w:r>
      <w:r w:rsidRPr="007C5B54">
        <w:rPr>
          <w:color w:val="auto"/>
        </w:rPr>
        <w:t>e direitos a novos idiomas</w:t>
      </w:r>
      <w:r w:rsidRPr="007C5B54">
        <w:rPr>
          <w:color w:val="auto"/>
        </w:rPr>
        <w:tab/>
      </w:r>
      <w:r w:rsidRPr="007C5B54">
        <w:rPr>
          <w:color w:val="auto"/>
        </w:rPr>
        <w:fldChar w:fldCharType="begin"/>
      </w:r>
      <w:r w:rsidRPr="007C5B54">
        <w:rPr>
          <w:color w:val="auto"/>
        </w:rPr>
        <w:instrText xml:space="preserve"> PAGEREF _Toc361829336 \h </w:instrText>
      </w:r>
      <w:r w:rsidRPr="007C5B54">
        <w:rPr>
          <w:color w:val="auto"/>
        </w:rPr>
      </w:r>
      <w:r w:rsidRPr="007C5B54">
        <w:rPr>
          <w:color w:val="auto"/>
        </w:rPr>
        <w:fldChar w:fldCharType="separate"/>
      </w:r>
      <w:r w:rsidR="008E4487">
        <w:rPr>
          <w:color w:val="auto"/>
        </w:rPr>
        <w:t>102</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Licenças independentes da plataforma</w:t>
      </w:r>
      <w:r w:rsidRPr="007C5B54">
        <w:tab/>
      </w:r>
      <w:r w:rsidRPr="007C5B54">
        <w:fldChar w:fldCharType="begin"/>
      </w:r>
      <w:r w:rsidRPr="007C5B54">
        <w:instrText xml:space="preserve"> PAGEREF _Toc361829337 \h </w:instrText>
      </w:r>
      <w:r w:rsidRPr="007C5B54">
        <w:fldChar w:fldCharType="separate"/>
      </w:r>
      <w:r w:rsidR="008E4487">
        <w:t>102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Chaves de Produto em Licenças por Volume</w:t>
      </w:r>
      <w:r w:rsidRPr="007C5B54">
        <w:tab/>
      </w:r>
      <w:r w:rsidRPr="007C5B54">
        <w:fldChar w:fldCharType="begin"/>
      </w:r>
      <w:r w:rsidRPr="007C5B54">
        <w:instrText xml:space="preserve"> PAGEREF _Toc361829338 \h </w:instrText>
      </w:r>
      <w:r w:rsidRPr="007C5B54">
        <w:fldChar w:fldCharType="separate"/>
      </w:r>
      <w:r w:rsidR="008E4487">
        <w:t>103</w:t>
      </w:r>
      <w:r w:rsidRPr="007C5B54">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 xml:space="preserve">SEÇÃO 10 – TERMOS COMPLEMENTARES PARA SERVIÇOS ONLINE </w:t>
      </w:r>
      <w:r w:rsidRPr="007C5B54">
        <w:br/>
        <w:t>INCLUÍDOS NO SOFTWARE LOCAL</w:t>
      </w:r>
      <w:r w:rsidRPr="007C5B54">
        <w:tab/>
      </w:r>
      <w:r w:rsidR="0081625E" w:rsidRPr="007C5B54">
        <w:fldChar w:fldCharType="begin"/>
      </w:r>
      <w:r w:rsidR="0081625E" w:rsidRPr="007C5B54">
        <w:instrText xml:space="preserve"> PAGEREF _Toc361829339 \h </w:instrText>
      </w:r>
      <w:r w:rsidR="0081625E" w:rsidRPr="007C5B54">
        <w:fldChar w:fldCharType="separate"/>
      </w:r>
      <w:r w:rsidR="008E4487">
        <w:t>104</w:t>
      </w:r>
      <w:r w:rsidR="0081625E" w:rsidRPr="007C5B54">
        <w:fldChar w:fldCharType="end"/>
      </w:r>
    </w:p>
    <w:p w:rsidR="0081625E" w:rsidRPr="007C5B54" w:rsidRDefault="00227966" w:rsidP="0081625E">
      <w:pPr>
        <w:pStyle w:val="TOC1"/>
        <w:rPr>
          <w:rFonts w:asciiTheme="minorHAnsi" w:eastAsiaTheme="minorEastAsia" w:hAnsiTheme="minorHAnsi" w:cstheme="minorBidi"/>
          <w:caps/>
          <w:szCs w:val="22"/>
        </w:rPr>
      </w:pPr>
      <w:r w:rsidRPr="007C5B54">
        <w:t>NOTAS DO PRODUTO</w:t>
      </w:r>
      <w:r w:rsidRPr="007C5B54">
        <w:tab/>
      </w:r>
      <w:r w:rsidR="0081625E" w:rsidRPr="007C5B54">
        <w:fldChar w:fldCharType="begin"/>
      </w:r>
      <w:r w:rsidR="0081625E" w:rsidRPr="007C5B54">
        <w:instrText xml:space="preserve"> PAGEREF _Toc361829340 \h </w:instrText>
      </w:r>
      <w:r w:rsidR="0081625E" w:rsidRPr="007C5B54">
        <w:fldChar w:fldCharType="separate"/>
      </w:r>
      <w:r w:rsidR="008E4487">
        <w:t>107</w:t>
      </w:r>
      <w:r w:rsidR="0081625E"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Pool de Aplicativos</w:t>
      </w:r>
      <w:r w:rsidRPr="007C5B54">
        <w:tab/>
      </w:r>
      <w:r w:rsidRPr="007C5B54">
        <w:fldChar w:fldCharType="begin"/>
      </w:r>
      <w:r w:rsidRPr="007C5B54">
        <w:instrText xml:space="preserve"> PAGEREF _Toc361829341 \h </w:instrText>
      </w:r>
      <w:r w:rsidRPr="007C5B54">
        <w:fldChar w:fldCharType="separate"/>
      </w:r>
      <w:r w:rsidR="008E4487">
        <w:t>107</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w:t>
      </w:r>
      <w:r w:rsidRPr="007C5B54">
        <w:rPr>
          <w:color w:val="auto"/>
        </w:rPr>
        <w:t xml:space="preserve"> Expression Encoder Pro 4</w:t>
      </w:r>
      <w:r w:rsidRPr="007C5B54">
        <w:rPr>
          <w:color w:val="auto"/>
        </w:rPr>
        <w:tab/>
      </w:r>
      <w:r w:rsidRPr="007C5B54">
        <w:rPr>
          <w:color w:val="auto"/>
        </w:rPr>
        <w:fldChar w:fldCharType="begin"/>
      </w:r>
      <w:r w:rsidRPr="007C5B54">
        <w:rPr>
          <w:color w:val="auto"/>
        </w:rPr>
        <w:instrText xml:space="preserve"> PAGEREF _Toc361829342 \h </w:instrText>
      </w:r>
      <w:r w:rsidRPr="007C5B54">
        <w:rPr>
          <w:color w:val="auto"/>
        </w:rPr>
      </w:r>
      <w:r w:rsidRPr="007C5B54">
        <w:rPr>
          <w:color w:val="auto"/>
        </w:rPr>
        <w:fldChar w:fldCharType="separate"/>
      </w:r>
      <w:r w:rsidR="008E4487">
        <w:rPr>
          <w:color w:val="auto"/>
        </w:rPr>
        <w:t>107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2</w:t>
      </w:r>
      <w:r w:rsidRPr="007C5B54">
        <w:rPr>
          <w:color w:val="auto"/>
        </w:rPr>
        <w:t xml:space="preserve"> Lync para Mac 2011</w:t>
      </w:r>
      <w:r w:rsidRPr="007C5B54">
        <w:rPr>
          <w:color w:val="auto"/>
        </w:rPr>
        <w:tab/>
      </w:r>
      <w:r w:rsidRPr="007C5B54">
        <w:rPr>
          <w:color w:val="auto"/>
        </w:rPr>
        <w:fldChar w:fldCharType="begin"/>
      </w:r>
      <w:r w:rsidRPr="007C5B54">
        <w:rPr>
          <w:color w:val="auto"/>
        </w:rPr>
        <w:instrText xml:space="preserve"> PAGEREF _Toc361829343 \h </w:instrText>
      </w:r>
      <w:r w:rsidRPr="007C5B54">
        <w:rPr>
          <w:color w:val="auto"/>
        </w:rPr>
      </w:r>
      <w:r w:rsidRPr="007C5B54">
        <w:rPr>
          <w:color w:val="auto"/>
        </w:rPr>
        <w:fldChar w:fldCharType="separate"/>
      </w:r>
      <w:r w:rsidR="008E4487">
        <w:rPr>
          <w:color w:val="auto"/>
        </w:rPr>
        <w:t>107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3</w:t>
      </w:r>
      <w:r w:rsidRPr="007C5B54">
        <w:rPr>
          <w:color w:val="auto"/>
        </w:rPr>
        <w:t xml:space="preserve"> Sistemas Operacionais MSDN</w:t>
      </w:r>
      <w:r w:rsidRPr="007C5B54">
        <w:rPr>
          <w:color w:val="auto"/>
        </w:rPr>
        <w:tab/>
      </w:r>
      <w:r w:rsidRPr="007C5B54">
        <w:rPr>
          <w:color w:val="auto"/>
        </w:rPr>
        <w:fldChar w:fldCharType="begin"/>
      </w:r>
      <w:r w:rsidRPr="007C5B54">
        <w:rPr>
          <w:color w:val="auto"/>
        </w:rPr>
        <w:instrText xml:space="preserve"> PAGEREF _Toc361829344 \h </w:instrText>
      </w:r>
      <w:r w:rsidRPr="007C5B54">
        <w:rPr>
          <w:color w:val="auto"/>
        </w:rPr>
      </w:r>
      <w:r w:rsidRPr="007C5B54">
        <w:rPr>
          <w:color w:val="auto"/>
        </w:rPr>
        <w:fldChar w:fldCharType="separate"/>
      </w:r>
      <w:r w:rsidR="008E4487">
        <w:rPr>
          <w:color w:val="auto"/>
        </w:rPr>
        <w:t>107</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4</w:t>
      </w:r>
      <w:r w:rsidRPr="007C5B54">
        <w:rPr>
          <w:rFonts w:cs="Tahoma"/>
        </w:rPr>
        <w:t xml:space="preserve"> Plataformas MSDN</w:t>
      </w:r>
      <w:r w:rsidRPr="007C5B54">
        <w:tab/>
      </w:r>
      <w:r w:rsidRPr="007C5B54">
        <w:fldChar w:fldCharType="begin"/>
      </w:r>
      <w:r w:rsidRPr="007C5B54">
        <w:instrText xml:space="preserve"> PAGEREF _Toc361829345 \h </w:instrText>
      </w:r>
      <w:r w:rsidRPr="007C5B54">
        <w:fldChar w:fldCharType="separate"/>
      </w:r>
      <w:r w:rsidR="008E4487">
        <w:t>108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5</w:t>
      </w:r>
      <w:r w:rsidRPr="007C5B54">
        <w:rPr>
          <w:rFonts w:cs="Tahoma"/>
        </w:rPr>
        <w:t xml:space="preserve"> Office 365 Education A2-A4 (SL de Usuário)</w:t>
      </w:r>
      <w:r w:rsidRPr="007C5B54">
        <w:tab/>
      </w:r>
      <w:r w:rsidRPr="007C5B54">
        <w:fldChar w:fldCharType="begin"/>
      </w:r>
      <w:r w:rsidRPr="007C5B54">
        <w:instrText xml:space="preserve"> PAGEREF _Toc361829346 \h </w:instrText>
      </w:r>
      <w:r w:rsidRPr="007C5B54">
        <w:fldChar w:fldCharType="separate"/>
      </w:r>
      <w:r w:rsidR="008E4487">
        <w:t>108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6</w:t>
      </w:r>
      <w:r w:rsidRPr="007C5B54">
        <w:rPr>
          <w:rFonts w:cs="Tahoma"/>
        </w:rPr>
        <w:t xml:space="preserve"> Office 365 Midsize Business</w:t>
      </w:r>
      <w:r w:rsidRPr="007C5B54">
        <w:tab/>
      </w:r>
      <w:r w:rsidRPr="007C5B54">
        <w:fldChar w:fldCharType="begin"/>
      </w:r>
      <w:r w:rsidRPr="007C5B54">
        <w:instrText xml:space="preserve"> PAGEREF _Toc361829347 \h </w:instrText>
      </w:r>
      <w:r w:rsidRPr="007C5B54">
        <w:fldChar w:fldCharType="separate"/>
      </w:r>
      <w:r w:rsidR="008E4487">
        <w:t>109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7 </w:t>
      </w:r>
      <w:r w:rsidRPr="007C5B54">
        <w:rPr>
          <w:rFonts w:cs="Tahoma"/>
        </w:rPr>
        <w:t>Licenças de Assinatura de Usuário Complementares para Office 365 e Enterprise Workloads</w:t>
      </w:r>
      <w:r w:rsidRPr="007C5B54">
        <w:tab/>
      </w:r>
      <w:r w:rsidRPr="007C5B54">
        <w:fldChar w:fldCharType="begin"/>
      </w:r>
      <w:r w:rsidRPr="007C5B54">
        <w:instrText xml:space="preserve"> PAGEREF _Toc361829348 \h </w:instrText>
      </w:r>
      <w:r w:rsidRPr="007C5B54">
        <w:fldChar w:fldCharType="separate"/>
      </w:r>
      <w:r w:rsidR="008E4487">
        <w:t>109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8 </w:t>
      </w:r>
      <w:r w:rsidRPr="007C5B54">
        <w:rPr>
          <w:rFonts w:cs="Tahoma"/>
        </w:rPr>
        <w:t>Office 365 Enterprise E2-E4</w:t>
      </w:r>
      <w:r w:rsidRPr="007C5B54">
        <w:tab/>
      </w:r>
      <w:r w:rsidRPr="007C5B54">
        <w:fldChar w:fldCharType="begin"/>
      </w:r>
      <w:r w:rsidRPr="007C5B54">
        <w:instrText xml:space="preserve"> PAGEREF _Toc361829349 \h </w:instrText>
      </w:r>
      <w:r w:rsidRPr="007C5B54">
        <w:fldChar w:fldCharType="separate"/>
      </w:r>
      <w:r w:rsidR="008E4487">
        <w:t>111</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9 </w:t>
      </w:r>
      <w:r w:rsidRPr="007C5B54">
        <w:rPr>
          <w:color w:val="auto"/>
        </w:rPr>
        <w:t>Office para Mac Standard 2011</w:t>
      </w:r>
      <w:r w:rsidRPr="007C5B54">
        <w:rPr>
          <w:color w:val="auto"/>
        </w:rPr>
        <w:tab/>
      </w:r>
      <w:r w:rsidRPr="007C5B54">
        <w:rPr>
          <w:color w:val="auto"/>
        </w:rPr>
        <w:fldChar w:fldCharType="begin"/>
      </w:r>
      <w:r w:rsidRPr="007C5B54">
        <w:rPr>
          <w:color w:val="auto"/>
        </w:rPr>
        <w:instrText xml:space="preserve"> PAGEREF _Toc361829350 \h </w:instrText>
      </w:r>
      <w:r w:rsidRPr="007C5B54">
        <w:rPr>
          <w:color w:val="auto"/>
        </w:rPr>
      </w:r>
      <w:r w:rsidRPr="007C5B54">
        <w:rPr>
          <w:color w:val="auto"/>
        </w:rPr>
        <w:fldChar w:fldCharType="separate"/>
      </w:r>
      <w:r w:rsidR="008E4487">
        <w:rPr>
          <w:color w:val="auto"/>
        </w:rPr>
        <w:t>112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10</w:t>
      </w:r>
      <w:r w:rsidRPr="007C5B54">
        <w:rPr>
          <w:color w:val="auto"/>
        </w:rPr>
        <w:t xml:space="preserve"> Pacote Multilíngue do Office 2013</w:t>
      </w:r>
      <w:r w:rsidRPr="007C5B54">
        <w:rPr>
          <w:color w:val="auto"/>
        </w:rPr>
        <w:tab/>
      </w:r>
      <w:r w:rsidRPr="007C5B54">
        <w:rPr>
          <w:color w:val="auto"/>
        </w:rPr>
        <w:fldChar w:fldCharType="begin"/>
      </w:r>
      <w:r w:rsidRPr="007C5B54">
        <w:rPr>
          <w:color w:val="auto"/>
        </w:rPr>
        <w:instrText xml:space="preserve"> PAGEREF _Toc361829351 \h </w:instrText>
      </w:r>
      <w:r w:rsidRPr="007C5B54">
        <w:rPr>
          <w:color w:val="auto"/>
        </w:rPr>
      </w:r>
      <w:r w:rsidRPr="007C5B54">
        <w:rPr>
          <w:color w:val="auto"/>
        </w:rPr>
        <w:fldChar w:fldCharType="separate"/>
      </w:r>
      <w:r w:rsidR="008E4487">
        <w:rPr>
          <w:color w:val="auto"/>
        </w:rPr>
        <w:t>112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11</w:t>
      </w:r>
      <w:r w:rsidRPr="007C5B54">
        <w:rPr>
          <w:color w:val="auto"/>
        </w:rPr>
        <w:t xml:space="preserve"> Office Professional Plus 2013</w:t>
      </w:r>
      <w:r w:rsidRPr="007C5B54">
        <w:rPr>
          <w:color w:val="auto"/>
        </w:rPr>
        <w:tab/>
      </w:r>
      <w:r w:rsidRPr="007C5B54">
        <w:rPr>
          <w:color w:val="auto"/>
        </w:rPr>
        <w:fldChar w:fldCharType="begin"/>
      </w:r>
      <w:r w:rsidRPr="007C5B54">
        <w:rPr>
          <w:color w:val="auto"/>
        </w:rPr>
        <w:instrText xml:space="preserve"> PAGEREF _Toc361829352 \h </w:instrText>
      </w:r>
      <w:r w:rsidRPr="007C5B54">
        <w:rPr>
          <w:color w:val="auto"/>
        </w:rPr>
      </w:r>
      <w:r w:rsidRPr="007C5B54">
        <w:rPr>
          <w:color w:val="auto"/>
        </w:rPr>
        <w:fldChar w:fldCharType="separate"/>
      </w:r>
      <w:r w:rsidR="008E4487">
        <w:rPr>
          <w:color w:val="auto"/>
        </w:rPr>
        <w:t>112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12</w:t>
      </w:r>
      <w:r w:rsidRPr="007C5B54">
        <w:rPr>
          <w:color w:val="auto"/>
        </w:rPr>
        <w:t xml:space="preserve"> Office Standard 2013</w:t>
      </w:r>
      <w:r w:rsidRPr="007C5B54">
        <w:rPr>
          <w:color w:val="auto"/>
        </w:rPr>
        <w:tab/>
      </w:r>
      <w:r w:rsidRPr="007C5B54">
        <w:rPr>
          <w:color w:val="auto"/>
        </w:rPr>
        <w:fldChar w:fldCharType="begin"/>
      </w:r>
      <w:r w:rsidRPr="007C5B54">
        <w:rPr>
          <w:color w:val="auto"/>
        </w:rPr>
        <w:instrText xml:space="preserve"> PAGEREF _Toc361829353 \h </w:instrText>
      </w:r>
      <w:r w:rsidRPr="007C5B54">
        <w:rPr>
          <w:color w:val="auto"/>
        </w:rPr>
      </w:r>
      <w:r w:rsidRPr="007C5B54">
        <w:rPr>
          <w:color w:val="auto"/>
        </w:rPr>
        <w:fldChar w:fldCharType="separate"/>
      </w:r>
      <w:r w:rsidR="008E4487">
        <w:rPr>
          <w:color w:val="auto"/>
        </w:rPr>
        <w:t>113</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13</w:t>
      </w:r>
      <w:r w:rsidRPr="007C5B54">
        <w:rPr>
          <w:color w:val="auto"/>
        </w:rPr>
        <w:t xml:space="preserve"> Office 365 ProPlus (SL de Usuário)</w:t>
      </w:r>
      <w:r w:rsidRPr="007C5B54">
        <w:rPr>
          <w:color w:val="auto"/>
        </w:rPr>
        <w:tab/>
      </w:r>
      <w:r w:rsidRPr="007C5B54">
        <w:rPr>
          <w:color w:val="auto"/>
        </w:rPr>
        <w:fldChar w:fldCharType="begin"/>
      </w:r>
      <w:r w:rsidRPr="007C5B54">
        <w:rPr>
          <w:color w:val="auto"/>
        </w:rPr>
        <w:instrText xml:space="preserve"> PAGEREF _Toc361829354 \h </w:instrText>
      </w:r>
      <w:r w:rsidRPr="007C5B54">
        <w:rPr>
          <w:color w:val="auto"/>
        </w:rPr>
      </w:r>
      <w:r w:rsidRPr="007C5B54">
        <w:rPr>
          <w:color w:val="auto"/>
        </w:rPr>
        <w:fldChar w:fldCharType="separate"/>
      </w:r>
      <w:r w:rsidR="008E4487">
        <w:rPr>
          <w:color w:val="auto"/>
        </w:rPr>
        <w:t>113</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14</w:t>
      </w:r>
      <w:r w:rsidRPr="007C5B54">
        <w:rPr>
          <w:color w:val="auto"/>
        </w:rPr>
        <w:t xml:space="preserve"> Outlook para Mac 2011</w:t>
      </w:r>
      <w:r w:rsidRPr="007C5B54">
        <w:rPr>
          <w:color w:val="auto"/>
        </w:rPr>
        <w:tab/>
      </w:r>
      <w:r w:rsidRPr="007C5B54">
        <w:rPr>
          <w:color w:val="auto"/>
        </w:rPr>
        <w:fldChar w:fldCharType="begin"/>
      </w:r>
      <w:r w:rsidRPr="007C5B54">
        <w:rPr>
          <w:color w:val="auto"/>
        </w:rPr>
        <w:instrText xml:space="preserve"> PAGEREF _Toc361829355 \h </w:instrText>
      </w:r>
      <w:r w:rsidRPr="007C5B54">
        <w:rPr>
          <w:color w:val="auto"/>
        </w:rPr>
      </w:r>
      <w:r w:rsidRPr="007C5B54">
        <w:rPr>
          <w:color w:val="auto"/>
        </w:rPr>
        <w:fldChar w:fldCharType="separate"/>
      </w:r>
      <w:r w:rsidR="008E4487">
        <w:rPr>
          <w:color w:val="auto"/>
        </w:rPr>
        <w:t>114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15</w:t>
      </w:r>
      <w:r w:rsidRPr="007C5B54">
        <w:rPr>
          <w:color w:val="auto"/>
        </w:rPr>
        <w:t xml:space="preserve"> Project Professional 2013</w:t>
      </w:r>
      <w:r w:rsidRPr="007C5B54">
        <w:rPr>
          <w:color w:val="auto"/>
        </w:rPr>
        <w:tab/>
      </w:r>
      <w:r w:rsidRPr="007C5B54">
        <w:rPr>
          <w:color w:val="auto"/>
        </w:rPr>
        <w:fldChar w:fldCharType="begin"/>
      </w:r>
      <w:r w:rsidRPr="007C5B54">
        <w:rPr>
          <w:color w:val="auto"/>
        </w:rPr>
        <w:instrText xml:space="preserve"> PAGEREF _Toc361829356 \h </w:instrText>
      </w:r>
      <w:r w:rsidRPr="007C5B54">
        <w:rPr>
          <w:color w:val="auto"/>
        </w:rPr>
      </w:r>
      <w:r w:rsidRPr="007C5B54">
        <w:rPr>
          <w:color w:val="auto"/>
        </w:rPr>
        <w:fldChar w:fldCharType="separate"/>
      </w:r>
      <w:r w:rsidR="008E4487">
        <w:rPr>
          <w:color w:val="auto"/>
        </w:rPr>
        <w:t>114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16 </w:t>
      </w:r>
      <w:r w:rsidRPr="007C5B54">
        <w:rPr>
          <w:color w:val="auto"/>
        </w:rPr>
        <w:t>Project Pro para Office 365</w:t>
      </w:r>
      <w:r w:rsidRPr="007C5B54">
        <w:rPr>
          <w:color w:val="auto"/>
        </w:rPr>
        <w:tab/>
      </w:r>
      <w:r w:rsidRPr="007C5B54">
        <w:rPr>
          <w:color w:val="auto"/>
        </w:rPr>
        <w:fldChar w:fldCharType="begin"/>
      </w:r>
      <w:r w:rsidRPr="007C5B54">
        <w:rPr>
          <w:color w:val="auto"/>
        </w:rPr>
        <w:instrText xml:space="preserve"> PAGEREF _Toc361829357 \h </w:instrText>
      </w:r>
      <w:r w:rsidRPr="007C5B54">
        <w:rPr>
          <w:color w:val="auto"/>
        </w:rPr>
      </w:r>
      <w:r w:rsidRPr="007C5B54">
        <w:rPr>
          <w:color w:val="auto"/>
        </w:rPr>
        <w:fldChar w:fldCharType="separate"/>
      </w:r>
      <w:r w:rsidR="008E4487">
        <w:rPr>
          <w:color w:val="auto"/>
        </w:rPr>
        <w:t>114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17</w:t>
      </w:r>
      <w:r w:rsidRPr="007C5B54">
        <w:rPr>
          <w:color w:val="auto"/>
        </w:rPr>
        <w:t xml:space="preserve"> Direitos de Locação do Office</w:t>
      </w:r>
      <w:r w:rsidRPr="007C5B54">
        <w:rPr>
          <w:color w:val="auto"/>
        </w:rPr>
        <w:tab/>
      </w:r>
      <w:r w:rsidRPr="007C5B54">
        <w:rPr>
          <w:color w:val="auto"/>
        </w:rPr>
        <w:fldChar w:fldCharType="begin"/>
      </w:r>
      <w:r w:rsidRPr="007C5B54">
        <w:rPr>
          <w:color w:val="auto"/>
        </w:rPr>
        <w:instrText xml:space="preserve"> PAGEREF _Toc361829358 \h </w:instrText>
      </w:r>
      <w:r w:rsidRPr="007C5B54">
        <w:rPr>
          <w:color w:val="auto"/>
        </w:rPr>
      </w:r>
      <w:r w:rsidRPr="007C5B54">
        <w:rPr>
          <w:color w:val="auto"/>
        </w:rPr>
        <w:fldChar w:fldCharType="separate"/>
      </w:r>
      <w:r w:rsidR="008E4487">
        <w:rPr>
          <w:color w:val="auto"/>
        </w:rPr>
        <w:t>115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18</w:t>
      </w:r>
      <w:r w:rsidRPr="007C5B54">
        <w:rPr>
          <w:color w:val="auto"/>
        </w:rPr>
        <w:t xml:space="preserve"> Visio Professional 2013</w:t>
      </w:r>
      <w:r w:rsidRPr="007C5B54">
        <w:rPr>
          <w:color w:val="auto"/>
        </w:rPr>
        <w:tab/>
      </w:r>
      <w:r w:rsidRPr="007C5B54">
        <w:rPr>
          <w:color w:val="auto"/>
        </w:rPr>
        <w:fldChar w:fldCharType="begin"/>
      </w:r>
      <w:r w:rsidRPr="007C5B54">
        <w:rPr>
          <w:color w:val="auto"/>
        </w:rPr>
        <w:instrText xml:space="preserve"> PAGEREF _Toc361829359 \h </w:instrText>
      </w:r>
      <w:r w:rsidRPr="007C5B54">
        <w:rPr>
          <w:color w:val="auto"/>
        </w:rPr>
      </w:r>
      <w:r w:rsidRPr="007C5B54">
        <w:rPr>
          <w:color w:val="auto"/>
        </w:rPr>
        <w:fldChar w:fldCharType="separate"/>
      </w:r>
      <w:r w:rsidR="008E4487">
        <w:rPr>
          <w:color w:val="auto"/>
        </w:rPr>
        <w:t>115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19</w:t>
      </w:r>
      <w:r w:rsidRPr="007C5B54">
        <w:rPr>
          <w:color w:val="auto"/>
        </w:rPr>
        <w:t xml:space="preserve"> Visio Pro para Office 365</w:t>
      </w:r>
      <w:r w:rsidRPr="007C5B54">
        <w:rPr>
          <w:color w:val="auto"/>
        </w:rPr>
        <w:tab/>
      </w:r>
      <w:r w:rsidRPr="007C5B54">
        <w:rPr>
          <w:color w:val="auto"/>
        </w:rPr>
        <w:fldChar w:fldCharType="begin"/>
      </w:r>
      <w:r w:rsidRPr="007C5B54">
        <w:rPr>
          <w:color w:val="auto"/>
        </w:rPr>
        <w:instrText xml:space="preserve"> PAGEREF _Toc361829360 \h </w:instrText>
      </w:r>
      <w:r w:rsidRPr="007C5B54">
        <w:rPr>
          <w:color w:val="auto"/>
        </w:rPr>
      </w:r>
      <w:r w:rsidRPr="007C5B54">
        <w:rPr>
          <w:color w:val="auto"/>
        </w:rPr>
        <w:fldChar w:fldCharType="separate"/>
      </w:r>
      <w:r w:rsidR="008E4487">
        <w:rPr>
          <w:color w:val="auto"/>
        </w:rPr>
        <w:t>116</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20</w:t>
      </w:r>
      <w:r w:rsidRPr="007C5B54">
        <w:rPr>
          <w:color w:val="auto"/>
        </w:rPr>
        <w:t xml:space="preserve"> Visual Studio Professional 2012</w:t>
      </w:r>
      <w:r w:rsidRPr="007C5B54">
        <w:rPr>
          <w:color w:val="auto"/>
        </w:rPr>
        <w:tab/>
      </w:r>
      <w:r w:rsidRPr="007C5B54">
        <w:rPr>
          <w:color w:val="auto"/>
        </w:rPr>
        <w:fldChar w:fldCharType="begin"/>
      </w:r>
      <w:r w:rsidRPr="007C5B54">
        <w:rPr>
          <w:color w:val="auto"/>
        </w:rPr>
        <w:instrText xml:space="preserve"> PAGEREF _Toc361829361 \h </w:instrText>
      </w:r>
      <w:r w:rsidRPr="007C5B54">
        <w:rPr>
          <w:color w:val="auto"/>
        </w:rPr>
      </w:r>
      <w:r w:rsidRPr="007C5B54">
        <w:rPr>
          <w:color w:val="auto"/>
        </w:rPr>
        <w:fldChar w:fldCharType="separate"/>
      </w:r>
      <w:r w:rsidR="008E4487">
        <w:rPr>
          <w:color w:val="auto"/>
        </w:rPr>
        <w:t>116</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21</w:t>
      </w:r>
      <w:r w:rsidRPr="007C5B54">
        <w:rPr>
          <w:color w:val="auto"/>
        </w:rPr>
        <w:t xml:space="preserve"> Visual Studio Professional 2012 com MSDN</w:t>
      </w:r>
      <w:r w:rsidRPr="007C5B54">
        <w:rPr>
          <w:color w:val="auto"/>
        </w:rPr>
        <w:tab/>
      </w:r>
      <w:r w:rsidRPr="007C5B54">
        <w:rPr>
          <w:color w:val="auto"/>
        </w:rPr>
        <w:fldChar w:fldCharType="begin"/>
      </w:r>
      <w:r w:rsidRPr="007C5B54">
        <w:rPr>
          <w:color w:val="auto"/>
        </w:rPr>
        <w:instrText xml:space="preserve"> PAGEREF _Toc361829362 \h </w:instrText>
      </w:r>
      <w:r w:rsidRPr="007C5B54">
        <w:rPr>
          <w:color w:val="auto"/>
        </w:rPr>
      </w:r>
      <w:r w:rsidRPr="007C5B54">
        <w:rPr>
          <w:color w:val="auto"/>
        </w:rPr>
        <w:fldChar w:fldCharType="separate"/>
      </w:r>
      <w:r w:rsidR="008E4487">
        <w:rPr>
          <w:color w:val="auto"/>
        </w:rPr>
        <w:t>116</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22</w:t>
      </w:r>
      <w:r w:rsidRPr="007C5B54">
        <w:rPr>
          <w:color w:val="auto"/>
        </w:rPr>
        <w:t xml:space="preserve"> Visual Studio Premium 2012 com MSDN</w:t>
      </w:r>
      <w:r w:rsidRPr="007C5B54">
        <w:rPr>
          <w:color w:val="auto"/>
        </w:rPr>
        <w:tab/>
      </w:r>
      <w:r w:rsidRPr="007C5B54">
        <w:rPr>
          <w:color w:val="auto"/>
        </w:rPr>
        <w:fldChar w:fldCharType="begin"/>
      </w:r>
      <w:r w:rsidRPr="007C5B54">
        <w:rPr>
          <w:color w:val="auto"/>
        </w:rPr>
        <w:instrText xml:space="preserve"> PAGEREF _Toc361829363 \h </w:instrText>
      </w:r>
      <w:r w:rsidRPr="007C5B54">
        <w:rPr>
          <w:color w:val="auto"/>
        </w:rPr>
      </w:r>
      <w:r w:rsidRPr="007C5B54">
        <w:rPr>
          <w:color w:val="auto"/>
        </w:rPr>
        <w:fldChar w:fldCharType="separate"/>
      </w:r>
      <w:r w:rsidR="008E4487">
        <w:rPr>
          <w:color w:val="auto"/>
        </w:rPr>
        <w:t>117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23</w:t>
      </w:r>
      <w:r w:rsidRPr="007C5B54">
        <w:rPr>
          <w:color w:val="auto"/>
        </w:rPr>
        <w:t xml:space="preserve"> Visual Studio Ultimate 2012 com MSDN</w:t>
      </w:r>
      <w:r w:rsidRPr="007C5B54">
        <w:rPr>
          <w:color w:val="auto"/>
        </w:rPr>
        <w:tab/>
      </w:r>
      <w:r w:rsidRPr="007C5B54">
        <w:rPr>
          <w:color w:val="auto"/>
        </w:rPr>
        <w:fldChar w:fldCharType="begin"/>
      </w:r>
      <w:r w:rsidRPr="007C5B54">
        <w:rPr>
          <w:color w:val="auto"/>
        </w:rPr>
        <w:instrText xml:space="preserve"> PAGEREF _Toc361829364 \h </w:instrText>
      </w:r>
      <w:r w:rsidRPr="007C5B54">
        <w:rPr>
          <w:color w:val="auto"/>
        </w:rPr>
      </w:r>
      <w:r w:rsidRPr="007C5B54">
        <w:rPr>
          <w:color w:val="auto"/>
        </w:rPr>
        <w:fldChar w:fldCharType="separate"/>
      </w:r>
      <w:r w:rsidR="008E4487">
        <w:rPr>
          <w:color w:val="auto"/>
        </w:rPr>
        <w:t>119</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24</w:t>
      </w:r>
      <w:r w:rsidRPr="007C5B54">
        <w:rPr>
          <w:color w:val="auto"/>
        </w:rPr>
        <w:t xml:space="preserve"> Visual Studio Test Professional 2012 com MSDN</w:t>
      </w:r>
      <w:r w:rsidRPr="007C5B54">
        <w:rPr>
          <w:color w:val="auto"/>
        </w:rPr>
        <w:tab/>
      </w:r>
      <w:r w:rsidRPr="007C5B54">
        <w:rPr>
          <w:color w:val="auto"/>
        </w:rPr>
        <w:fldChar w:fldCharType="begin"/>
      </w:r>
      <w:r w:rsidRPr="007C5B54">
        <w:rPr>
          <w:color w:val="auto"/>
        </w:rPr>
        <w:instrText xml:space="preserve"> PAGEREF _Toc361829365 \h </w:instrText>
      </w:r>
      <w:r w:rsidRPr="007C5B54">
        <w:rPr>
          <w:color w:val="auto"/>
        </w:rPr>
      </w:r>
      <w:r w:rsidRPr="007C5B54">
        <w:rPr>
          <w:color w:val="auto"/>
        </w:rPr>
        <w:fldChar w:fldCharType="separate"/>
      </w:r>
      <w:r w:rsidR="008E4487">
        <w:rPr>
          <w:color w:val="auto"/>
        </w:rPr>
        <w:t>120</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Pool de Sistemas</w:t>
      </w:r>
      <w:r w:rsidRPr="007C5B54">
        <w:tab/>
      </w:r>
      <w:r w:rsidRPr="007C5B54">
        <w:fldChar w:fldCharType="begin"/>
      </w:r>
      <w:r w:rsidRPr="007C5B54">
        <w:instrText xml:space="preserve"> PAGEREF _Toc361829366 \h </w:instrText>
      </w:r>
      <w:r w:rsidRPr="007C5B54">
        <w:fldChar w:fldCharType="separate"/>
      </w:r>
      <w:r w:rsidR="008E4487">
        <w:t>121</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25</w:t>
      </w:r>
      <w:r w:rsidRPr="007C5B54">
        <w:rPr>
          <w:color w:val="auto"/>
        </w:rPr>
        <w:t xml:space="preserve"> Microsoft Desktop Optimization Pack para Software Assurance</w:t>
      </w:r>
      <w:r w:rsidRPr="007C5B54">
        <w:rPr>
          <w:color w:val="auto"/>
        </w:rPr>
        <w:tab/>
      </w:r>
      <w:r w:rsidRPr="007C5B54">
        <w:rPr>
          <w:color w:val="auto"/>
        </w:rPr>
        <w:fldChar w:fldCharType="begin"/>
      </w:r>
      <w:r w:rsidRPr="007C5B54">
        <w:rPr>
          <w:color w:val="auto"/>
        </w:rPr>
        <w:instrText xml:space="preserve"> PAGEREF _Toc361829367 \h </w:instrText>
      </w:r>
      <w:r w:rsidRPr="007C5B54">
        <w:rPr>
          <w:color w:val="auto"/>
        </w:rPr>
      </w:r>
      <w:r w:rsidRPr="007C5B54">
        <w:rPr>
          <w:color w:val="auto"/>
        </w:rPr>
        <w:fldChar w:fldCharType="separate"/>
      </w:r>
      <w:r w:rsidR="008E4487">
        <w:rPr>
          <w:color w:val="auto"/>
        </w:rPr>
        <w:t>121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26 </w:t>
      </w:r>
      <w:r w:rsidRPr="007C5B54">
        <w:rPr>
          <w:color w:val="auto"/>
        </w:rPr>
        <w:t>Windows Embedded 8 Standard Enterprise Kit</w:t>
      </w:r>
      <w:r w:rsidRPr="007C5B54">
        <w:rPr>
          <w:color w:val="auto"/>
        </w:rPr>
        <w:tab/>
      </w:r>
      <w:r w:rsidRPr="007C5B54">
        <w:rPr>
          <w:color w:val="auto"/>
        </w:rPr>
        <w:fldChar w:fldCharType="begin"/>
      </w:r>
      <w:r w:rsidRPr="007C5B54">
        <w:rPr>
          <w:color w:val="auto"/>
        </w:rPr>
        <w:instrText xml:space="preserve"> PAGEREF _Toc361829368 \h </w:instrText>
      </w:r>
      <w:r w:rsidRPr="007C5B54">
        <w:rPr>
          <w:color w:val="auto"/>
        </w:rPr>
      </w:r>
      <w:r w:rsidRPr="007C5B54">
        <w:rPr>
          <w:color w:val="auto"/>
        </w:rPr>
        <w:fldChar w:fldCharType="separate"/>
      </w:r>
      <w:r w:rsidR="008E4487">
        <w:rPr>
          <w:color w:val="auto"/>
        </w:rPr>
        <w:t>122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27 </w:t>
      </w:r>
      <w:r w:rsidRPr="007C5B54">
        <w:rPr>
          <w:color w:val="auto"/>
        </w:rPr>
        <w:t>Windows Embedded 8 Industry Pro Sideloading</w:t>
      </w:r>
      <w:r w:rsidRPr="007C5B54">
        <w:rPr>
          <w:color w:val="auto"/>
        </w:rPr>
        <w:tab/>
      </w:r>
      <w:r w:rsidRPr="007C5B54">
        <w:rPr>
          <w:color w:val="auto"/>
        </w:rPr>
        <w:fldChar w:fldCharType="begin"/>
      </w:r>
      <w:r w:rsidRPr="007C5B54">
        <w:rPr>
          <w:color w:val="auto"/>
        </w:rPr>
        <w:instrText xml:space="preserve"> PAGEREF _Toc361829369 \h </w:instrText>
      </w:r>
      <w:r w:rsidRPr="007C5B54">
        <w:rPr>
          <w:color w:val="auto"/>
        </w:rPr>
      </w:r>
      <w:r w:rsidRPr="007C5B54">
        <w:rPr>
          <w:color w:val="auto"/>
        </w:rPr>
        <w:fldChar w:fldCharType="separate"/>
      </w:r>
      <w:r w:rsidR="008E4487">
        <w:rPr>
          <w:color w:val="auto"/>
        </w:rPr>
        <w:t>122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28 </w:t>
      </w:r>
      <w:r w:rsidRPr="007C5B54">
        <w:rPr>
          <w:color w:val="auto"/>
        </w:rPr>
        <w:t>Atualização para Windows</w:t>
      </w:r>
      <w:r w:rsidRPr="007C5B54">
        <w:rPr>
          <w:color w:val="auto"/>
          <w:vertAlign w:val="superscript"/>
        </w:rPr>
        <w:t>®</w:t>
      </w:r>
      <w:r w:rsidRPr="007C5B54">
        <w:rPr>
          <w:color w:val="auto"/>
        </w:rPr>
        <w:t xml:space="preserve"> Embedded 8 Industry Pro</w:t>
      </w:r>
      <w:r w:rsidRPr="007C5B54">
        <w:rPr>
          <w:color w:val="auto"/>
        </w:rPr>
        <w:tab/>
      </w:r>
      <w:r w:rsidRPr="007C5B54">
        <w:rPr>
          <w:color w:val="auto"/>
        </w:rPr>
        <w:fldChar w:fldCharType="begin"/>
      </w:r>
      <w:r w:rsidRPr="007C5B54">
        <w:rPr>
          <w:color w:val="auto"/>
        </w:rPr>
        <w:instrText xml:space="preserve"> PAGEREF _Toc361829370 \h </w:instrText>
      </w:r>
      <w:r w:rsidRPr="007C5B54">
        <w:rPr>
          <w:color w:val="auto"/>
        </w:rPr>
      </w:r>
      <w:r w:rsidRPr="007C5B54">
        <w:rPr>
          <w:color w:val="auto"/>
        </w:rPr>
        <w:fldChar w:fldCharType="separate"/>
      </w:r>
      <w:r w:rsidR="008E4487">
        <w:rPr>
          <w:color w:val="auto"/>
        </w:rPr>
        <w:t>122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29 </w:t>
      </w:r>
      <w:r w:rsidRPr="007C5B54">
        <w:rPr>
          <w:color w:val="auto"/>
        </w:rPr>
        <w:t>Licença de Assinatura do Windows</w:t>
      </w:r>
      <w:r w:rsidRPr="007C5B54">
        <w:rPr>
          <w:color w:val="auto"/>
          <w:vertAlign w:val="superscript"/>
        </w:rPr>
        <w:t>®</w:t>
      </w:r>
      <w:r w:rsidRPr="007C5B54">
        <w:rPr>
          <w:color w:val="auto"/>
        </w:rPr>
        <w:t xml:space="preserve"> Companion</w:t>
      </w:r>
      <w:r w:rsidRPr="007C5B54">
        <w:rPr>
          <w:color w:val="auto"/>
        </w:rPr>
        <w:tab/>
      </w:r>
      <w:r w:rsidRPr="007C5B54">
        <w:rPr>
          <w:color w:val="auto"/>
        </w:rPr>
        <w:fldChar w:fldCharType="begin"/>
      </w:r>
      <w:r w:rsidRPr="007C5B54">
        <w:rPr>
          <w:color w:val="auto"/>
        </w:rPr>
        <w:instrText xml:space="preserve"> PAGEREF _Toc361829371 \h </w:instrText>
      </w:r>
      <w:r w:rsidRPr="007C5B54">
        <w:rPr>
          <w:color w:val="auto"/>
        </w:rPr>
      </w:r>
      <w:r w:rsidRPr="007C5B54">
        <w:rPr>
          <w:color w:val="auto"/>
        </w:rPr>
        <w:fldChar w:fldCharType="separate"/>
      </w:r>
      <w:r w:rsidR="008E4487">
        <w:rPr>
          <w:color w:val="auto"/>
        </w:rPr>
        <w:t>124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30</w:t>
      </w:r>
      <w:r w:rsidRPr="007C5B54">
        <w:rPr>
          <w:rFonts w:eastAsia="Times New Roman"/>
          <w:color w:val="auto"/>
        </w:rPr>
        <w:t xml:space="preserve"> Windows Vista DVD Playback Pack</w:t>
      </w:r>
      <w:r w:rsidRPr="007C5B54">
        <w:rPr>
          <w:color w:val="auto"/>
        </w:rPr>
        <w:tab/>
      </w:r>
      <w:r w:rsidRPr="007C5B54">
        <w:rPr>
          <w:color w:val="auto"/>
        </w:rPr>
        <w:fldChar w:fldCharType="begin"/>
      </w:r>
      <w:r w:rsidRPr="007C5B54">
        <w:rPr>
          <w:color w:val="auto"/>
        </w:rPr>
        <w:instrText xml:space="preserve"> PAGEREF _Toc361829372 \h </w:instrText>
      </w:r>
      <w:r w:rsidRPr="007C5B54">
        <w:rPr>
          <w:color w:val="auto"/>
        </w:rPr>
      </w:r>
      <w:r w:rsidRPr="007C5B54">
        <w:rPr>
          <w:color w:val="auto"/>
        </w:rPr>
        <w:fldChar w:fldCharType="separate"/>
      </w:r>
      <w:r w:rsidR="008E4487">
        <w:rPr>
          <w:color w:val="auto"/>
        </w:rPr>
        <w:t>124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31</w:t>
      </w:r>
      <w:r w:rsidRPr="007C5B54">
        <w:rPr>
          <w:color w:val="auto"/>
        </w:rPr>
        <w:t xml:space="preserve"> Parceiros na Aprendizagem do Windows</w:t>
      </w:r>
      <w:r w:rsidRPr="007C5B54">
        <w:rPr>
          <w:color w:val="auto"/>
          <w:vertAlign w:val="superscript"/>
        </w:rPr>
        <w:t>®</w:t>
      </w:r>
      <w:r w:rsidRPr="007C5B54">
        <w:rPr>
          <w:color w:val="auto"/>
        </w:rPr>
        <w:t xml:space="preserve"> 7</w:t>
      </w:r>
      <w:r w:rsidRPr="007C5B54">
        <w:rPr>
          <w:color w:val="auto"/>
        </w:rPr>
        <w:tab/>
      </w:r>
      <w:r w:rsidRPr="007C5B54">
        <w:rPr>
          <w:color w:val="auto"/>
        </w:rPr>
        <w:fldChar w:fldCharType="begin"/>
      </w:r>
      <w:r w:rsidRPr="007C5B54">
        <w:rPr>
          <w:color w:val="auto"/>
        </w:rPr>
        <w:instrText xml:space="preserve"> PAGEREF _Toc361829373 \h </w:instrText>
      </w:r>
      <w:r w:rsidRPr="007C5B54">
        <w:rPr>
          <w:color w:val="auto"/>
        </w:rPr>
      </w:r>
      <w:r w:rsidRPr="007C5B54">
        <w:rPr>
          <w:color w:val="auto"/>
        </w:rPr>
        <w:fldChar w:fldCharType="separate"/>
      </w:r>
      <w:r w:rsidR="008E4487">
        <w:rPr>
          <w:color w:val="auto"/>
        </w:rPr>
        <w:t>124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32</w:t>
      </w:r>
      <w:r w:rsidRPr="007C5B54">
        <w:rPr>
          <w:color w:val="auto"/>
        </w:rPr>
        <w:t xml:space="preserve"> Windows</w:t>
      </w:r>
      <w:r w:rsidRPr="007C5B54">
        <w:rPr>
          <w:color w:val="auto"/>
          <w:vertAlign w:val="superscript"/>
        </w:rPr>
        <w:t>®</w:t>
      </w:r>
      <w:r w:rsidRPr="007C5B54">
        <w:rPr>
          <w:color w:val="auto"/>
        </w:rPr>
        <w:t xml:space="preserve"> 8 Enterprise Sideloading</w:t>
      </w:r>
      <w:r w:rsidRPr="007C5B54">
        <w:rPr>
          <w:color w:val="auto"/>
        </w:rPr>
        <w:tab/>
      </w:r>
      <w:r w:rsidRPr="007C5B54">
        <w:rPr>
          <w:color w:val="auto"/>
        </w:rPr>
        <w:fldChar w:fldCharType="begin"/>
      </w:r>
      <w:r w:rsidRPr="007C5B54">
        <w:rPr>
          <w:color w:val="auto"/>
        </w:rPr>
        <w:instrText xml:space="preserve"> PAGEREF _Toc361829374 \h </w:instrText>
      </w:r>
      <w:r w:rsidRPr="007C5B54">
        <w:rPr>
          <w:color w:val="auto"/>
        </w:rPr>
      </w:r>
      <w:r w:rsidRPr="007C5B54">
        <w:rPr>
          <w:color w:val="auto"/>
        </w:rPr>
        <w:fldChar w:fldCharType="separate"/>
      </w:r>
      <w:r w:rsidR="008E4487">
        <w:rPr>
          <w:color w:val="auto"/>
        </w:rPr>
        <w:t>124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33</w:t>
      </w:r>
      <w:r w:rsidRPr="007C5B54">
        <w:rPr>
          <w:color w:val="auto"/>
        </w:rPr>
        <w:t xml:space="preserve"> Windows</w:t>
      </w:r>
      <w:r w:rsidRPr="007C5B54">
        <w:rPr>
          <w:color w:val="auto"/>
          <w:vertAlign w:val="superscript"/>
        </w:rPr>
        <w:t>®</w:t>
      </w:r>
      <w:r w:rsidRPr="007C5B54">
        <w:rPr>
          <w:color w:val="auto"/>
        </w:rPr>
        <w:t xml:space="preserve"> 8 Pro Upgrade e Windows Intune (Por Dispositivo)</w:t>
      </w:r>
      <w:r w:rsidRPr="007C5B54">
        <w:rPr>
          <w:color w:val="auto"/>
        </w:rPr>
        <w:tab/>
      </w:r>
      <w:r w:rsidRPr="007C5B54">
        <w:rPr>
          <w:color w:val="auto"/>
        </w:rPr>
        <w:fldChar w:fldCharType="begin"/>
      </w:r>
      <w:r w:rsidRPr="007C5B54">
        <w:rPr>
          <w:color w:val="auto"/>
        </w:rPr>
        <w:instrText xml:space="preserve"> PAGEREF _Toc361829375 \h </w:instrText>
      </w:r>
      <w:r w:rsidRPr="007C5B54">
        <w:rPr>
          <w:color w:val="auto"/>
        </w:rPr>
      </w:r>
      <w:r w:rsidRPr="007C5B54">
        <w:rPr>
          <w:color w:val="auto"/>
        </w:rPr>
        <w:fldChar w:fldCharType="separate"/>
      </w:r>
      <w:r w:rsidR="008E4487">
        <w:rPr>
          <w:color w:val="auto"/>
        </w:rPr>
        <w:t>125</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34 </w:t>
      </w:r>
      <w:r w:rsidRPr="007C5B54">
        <w:rPr>
          <w:rFonts w:cs="Tahoma"/>
        </w:rPr>
        <w:t>Complemento do Windows Intune (Por Dispositivo)</w:t>
      </w:r>
      <w:r w:rsidRPr="007C5B54">
        <w:tab/>
      </w:r>
      <w:r w:rsidRPr="007C5B54">
        <w:fldChar w:fldCharType="begin"/>
      </w:r>
      <w:r w:rsidRPr="007C5B54">
        <w:instrText xml:space="preserve"> PAGEREF _Toc361829376 \h </w:instrText>
      </w:r>
      <w:r w:rsidRPr="007C5B54">
        <w:fldChar w:fldCharType="separate"/>
      </w:r>
      <w:r w:rsidR="008E4487">
        <w:t>132</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rPr>
        <w:t>Pool de Servidores</w:t>
      </w:r>
      <w:r w:rsidRPr="007C5B54">
        <w:tab/>
      </w:r>
      <w:r w:rsidRPr="007C5B54">
        <w:fldChar w:fldCharType="begin"/>
      </w:r>
      <w:r w:rsidRPr="007C5B54">
        <w:instrText xml:space="preserve"> PAGEREF _Toc361829377 \h </w:instrText>
      </w:r>
      <w:r w:rsidRPr="007C5B54">
        <w:fldChar w:fldCharType="separate"/>
      </w:r>
      <w:r w:rsidR="008E4487">
        <w:t>134</w:t>
      </w:r>
      <w:r w:rsidRPr="007C5B54">
        <w:fldChar w:fldCharType="end"/>
      </w:r>
    </w:p>
    <w:p w:rsidR="0081625E" w:rsidRPr="007C5B54" w:rsidRDefault="0081625E" w:rsidP="00EE70D8">
      <w:pPr>
        <w:pStyle w:val="TOC2"/>
        <w:ind w:left="201" w:hanging="187"/>
        <w:rPr>
          <w:rFonts w:asciiTheme="minorHAnsi" w:eastAsiaTheme="minorEastAsia" w:hAnsiTheme="minorHAnsi" w:cstheme="minorBidi"/>
          <w:sz w:val="22"/>
          <w:szCs w:val="22"/>
        </w:rPr>
      </w:pPr>
      <w:r w:rsidRPr="007C5B54">
        <w:rPr>
          <w:rFonts w:cs="Tahoma"/>
          <w:caps/>
          <w:vertAlign w:val="superscript"/>
        </w:rPr>
        <w:t>35</w:t>
      </w:r>
      <w:r w:rsidRPr="007C5B54">
        <w:rPr>
          <w:rFonts w:cs="Tahoma"/>
        </w:rPr>
        <w:t xml:space="preserve"> Complemento de Uso do Site Público dos Bing Maps e SL Complementar de Uso do </w:t>
      </w:r>
      <w:r w:rsidR="00EE70D8" w:rsidRPr="007C5B54">
        <w:rPr>
          <w:rFonts w:cs="Tahoma"/>
        </w:rPr>
        <w:br/>
      </w:r>
      <w:r w:rsidRPr="007C5B54">
        <w:rPr>
          <w:rFonts w:cs="Tahoma"/>
        </w:rPr>
        <w:t>Site Interno do Bing Maps</w:t>
      </w:r>
      <w:r w:rsidRPr="007C5B54">
        <w:tab/>
      </w:r>
      <w:r w:rsidRPr="007C5B54">
        <w:fldChar w:fldCharType="begin"/>
      </w:r>
      <w:r w:rsidRPr="007C5B54">
        <w:instrText xml:space="preserve"> PAGEREF _Toc361829378 \h </w:instrText>
      </w:r>
      <w:r w:rsidRPr="007C5B54">
        <w:fldChar w:fldCharType="separate"/>
      </w:r>
      <w:r w:rsidR="008E4487">
        <w:t>134</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36 </w:t>
      </w:r>
      <w:r w:rsidRPr="007C5B54">
        <w:rPr>
          <w:color w:val="auto"/>
        </w:rPr>
        <w:t>BizTalk Server</w:t>
      </w:r>
      <w:r w:rsidRPr="007C5B54">
        <w:rPr>
          <w:color w:val="auto"/>
          <w:vertAlign w:val="superscript"/>
        </w:rPr>
        <w:t>®</w:t>
      </w:r>
      <w:r w:rsidRPr="007C5B54">
        <w:rPr>
          <w:color w:val="auto"/>
        </w:rPr>
        <w:t xml:space="preserve"> 2013 Branch</w:t>
      </w:r>
      <w:r w:rsidRPr="007C5B54">
        <w:rPr>
          <w:color w:val="auto"/>
        </w:rPr>
        <w:tab/>
      </w:r>
      <w:r w:rsidRPr="007C5B54">
        <w:rPr>
          <w:color w:val="auto"/>
        </w:rPr>
        <w:fldChar w:fldCharType="begin"/>
      </w:r>
      <w:r w:rsidRPr="007C5B54">
        <w:rPr>
          <w:color w:val="auto"/>
        </w:rPr>
        <w:instrText xml:space="preserve"> PAGEREF _Toc361829379 \h </w:instrText>
      </w:r>
      <w:r w:rsidRPr="007C5B54">
        <w:rPr>
          <w:color w:val="auto"/>
        </w:rPr>
      </w:r>
      <w:r w:rsidRPr="007C5B54">
        <w:rPr>
          <w:color w:val="auto"/>
        </w:rPr>
        <w:fldChar w:fldCharType="separate"/>
      </w:r>
      <w:r w:rsidR="008E4487">
        <w:rPr>
          <w:color w:val="auto"/>
        </w:rPr>
        <w:t>136</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37 </w:t>
      </w:r>
      <w:r w:rsidRPr="007C5B54">
        <w:rPr>
          <w:color w:val="auto"/>
        </w:rPr>
        <w:t>BizTalk Server</w:t>
      </w:r>
      <w:r w:rsidRPr="007C5B54">
        <w:rPr>
          <w:color w:val="auto"/>
          <w:vertAlign w:val="superscript"/>
        </w:rPr>
        <w:t>®</w:t>
      </w:r>
      <w:r w:rsidRPr="007C5B54">
        <w:rPr>
          <w:color w:val="auto"/>
        </w:rPr>
        <w:t xml:space="preserve"> 2013 Enterprise</w:t>
      </w:r>
      <w:r w:rsidRPr="007C5B54">
        <w:rPr>
          <w:color w:val="auto"/>
        </w:rPr>
        <w:tab/>
      </w:r>
      <w:r w:rsidRPr="007C5B54">
        <w:rPr>
          <w:color w:val="auto"/>
        </w:rPr>
        <w:fldChar w:fldCharType="begin"/>
      </w:r>
      <w:r w:rsidRPr="007C5B54">
        <w:rPr>
          <w:color w:val="auto"/>
        </w:rPr>
        <w:instrText xml:space="preserve"> PAGEREF _Toc361829380 \h </w:instrText>
      </w:r>
      <w:r w:rsidRPr="007C5B54">
        <w:rPr>
          <w:color w:val="auto"/>
        </w:rPr>
      </w:r>
      <w:r w:rsidRPr="007C5B54">
        <w:rPr>
          <w:color w:val="auto"/>
        </w:rPr>
        <w:fldChar w:fldCharType="separate"/>
      </w:r>
      <w:r w:rsidR="008E4487">
        <w:rPr>
          <w:color w:val="auto"/>
        </w:rPr>
        <w:t>137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38</w:t>
      </w:r>
      <w:r w:rsidRPr="007C5B54">
        <w:rPr>
          <w:color w:val="auto"/>
        </w:rPr>
        <w:t xml:space="preserve"> BizTalk Server</w:t>
      </w:r>
      <w:r w:rsidRPr="007C5B54">
        <w:rPr>
          <w:color w:val="auto"/>
          <w:vertAlign w:val="superscript"/>
        </w:rPr>
        <w:t>®</w:t>
      </w:r>
      <w:r w:rsidRPr="007C5B54">
        <w:rPr>
          <w:color w:val="auto"/>
        </w:rPr>
        <w:t xml:space="preserve"> 2013 Standard</w:t>
      </w:r>
      <w:r w:rsidRPr="007C5B54">
        <w:rPr>
          <w:color w:val="auto"/>
        </w:rPr>
        <w:tab/>
      </w:r>
      <w:r w:rsidRPr="007C5B54">
        <w:rPr>
          <w:color w:val="auto"/>
        </w:rPr>
        <w:fldChar w:fldCharType="begin"/>
      </w:r>
      <w:r w:rsidRPr="007C5B54">
        <w:rPr>
          <w:color w:val="auto"/>
        </w:rPr>
        <w:instrText xml:space="preserve"> PAGEREF _Toc361829381 \h </w:instrText>
      </w:r>
      <w:r w:rsidRPr="007C5B54">
        <w:rPr>
          <w:color w:val="auto"/>
        </w:rPr>
      </w:r>
      <w:r w:rsidRPr="007C5B54">
        <w:rPr>
          <w:color w:val="auto"/>
        </w:rPr>
        <w:fldChar w:fldCharType="separate"/>
      </w:r>
      <w:r w:rsidR="008E4487">
        <w:rPr>
          <w:color w:val="auto"/>
        </w:rPr>
        <w:t>139</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39 </w:t>
      </w:r>
      <w:r w:rsidRPr="007C5B54">
        <w:rPr>
          <w:color w:val="auto"/>
        </w:rPr>
        <w:t>Business Intelligence Appliance 2012</w:t>
      </w:r>
      <w:r w:rsidRPr="007C5B54">
        <w:rPr>
          <w:color w:val="auto"/>
        </w:rPr>
        <w:tab/>
      </w:r>
      <w:r w:rsidRPr="007C5B54">
        <w:rPr>
          <w:color w:val="auto"/>
        </w:rPr>
        <w:fldChar w:fldCharType="begin"/>
      </w:r>
      <w:r w:rsidRPr="007C5B54">
        <w:rPr>
          <w:color w:val="auto"/>
        </w:rPr>
        <w:instrText xml:space="preserve"> PAGEREF _Toc361829382 \h </w:instrText>
      </w:r>
      <w:r w:rsidRPr="007C5B54">
        <w:rPr>
          <w:color w:val="auto"/>
        </w:rPr>
      </w:r>
      <w:r w:rsidRPr="007C5B54">
        <w:rPr>
          <w:color w:val="auto"/>
        </w:rPr>
        <w:fldChar w:fldCharType="separate"/>
      </w:r>
      <w:r w:rsidR="008E4487">
        <w:rPr>
          <w:color w:val="auto"/>
        </w:rPr>
        <w:t>140</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40</w:t>
      </w:r>
      <w:r w:rsidRPr="007C5B54">
        <w:rPr>
          <w:color w:val="auto"/>
        </w:rPr>
        <w:t xml:space="preserve"> Bridge do Pacote de CALs Principais para Office 365, Bridge do Pacote de CALs Principais para Office 365 e</w:t>
      </w:r>
      <w:r w:rsidR="00EE70D8" w:rsidRPr="007C5B54">
        <w:rPr>
          <w:color w:val="auto"/>
        </w:rPr>
        <w:t> </w:t>
      </w:r>
      <w:r w:rsidRPr="007C5B54">
        <w:rPr>
          <w:color w:val="auto"/>
        </w:rPr>
        <w:t>Windows Intune e Bridge do Pacote de CALs Principais para Windows Intune</w:t>
      </w:r>
      <w:r w:rsidRPr="007C5B54">
        <w:rPr>
          <w:color w:val="auto"/>
        </w:rPr>
        <w:tab/>
      </w:r>
      <w:r w:rsidRPr="007C5B54">
        <w:rPr>
          <w:color w:val="auto"/>
        </w:rPr>
        <w:fldChar w:fldCharType="begin"/>
      </w:r>
      <w:r w:rsidRPr="007C5B54">
        <w:rPr>
          <w:color w:val="auto"/>
        </w:rPr>
        <w:instrText xml:space="preserve"> PAGEREF _Toc361829383 \h </w:instrText>
      </w:r>
      <w:r w:rsidRPr="007C5B54">
        <w:rPr>
          <w:color w:val="auto"/>
        </w:rPr>
      </w:r>
      <w:r w:rsidRPr="007C5B54">
        <w:rPr>
          <w:color w:val="auto"/>
        </w:rPr>
        <w:fldChar w:fldCharType="separate"/>
      </w:r>
      <w:r w:rsidR="008E4487">
        <w:rPr>
          <w:color w:val="auto"/>
        </w:rPr>
        <w:t>140</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41</w:t>
      </w:r>
      <w:r w:rsidRPr="007C5B54">
        <w:rPr>
          <w:color w:val="auto"/>
        </w:rPr>
        <w:t xml:space="preserve"> Pacote de CALs Principais</w:t>
      </w:r>
      <w:r w:rsidRPr="007C5B54">
        <w:rPr>
          <w:color w:val="auto"/>
        </w:rPr>
        <w:tab/>
      </w:r>
      <w:r w:rsidRPr="007C5B54">
        <w:rPr>
          <w:color w:val="auto"/>
        </w:rPr>
        <w:fldChar w:fldCharType="begin"/>
      </w:r>
      <w:r w:rsidRPr="007C5B54">
        <w:rPr>
          <w:color w:val="auto"/>
        </w:rPr>
        <w:instrText xml:space="preserve"> PAGEREF _Toc361829384 \h </w:instrText>
      </w:r>
      <w:r w:rsidRPr="007C5B54">
        <w:rPr>
          <w:color w:val="auto"/>
        </w:rPr>
      </w:r>
      <w:r w:rsidRPr="007C5B54">
        <w:rPr>
          <w:color w:val="auto"/>
        </w:rPr>
        <w:fldChar w:fldCharType="separate"/>
      </w:r>
      <w:r w:rsidR="008E4487">
        <w:rPr>
          <w:color w:val="auto"/>
        </w:rPr>
        <w:t>141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42</w:t>
      </w:r>
      <w:r w:rsidRPr="007C5B54">
        <w:rPr>
          <w:color w:val="auto"/>
        </w:rPr>
        <w:t xml:space="preserve"> Core Infrastructure Server Suite Standard</w:t>
      </w:r>
      <w:r w:rsidRPr="007C5B54">
        <w:rPr>
          <w:color w:val="auto"/>
        </w:rPr>
        <w:tab/>
      </w:r>
      <w:r w:rsidRPr="007C5B54">
        <w:rPr>
          <w:color w:val="auto"/>
        </w:rPr>
        <w:fldChar w:fldCharType="begin"/>
      </w:r>
      <w:r w:rsidRPr="007C5B54">
        <w:rPr>
          <w:color w:val="auto"/>
        </w:rPr>
        <w:instrText xml:space="preserve"> PAGEREF _Toc361829385 \h </w:instrText>
      </w:r>
      <w:r w:rsidRPr="007C5B54">
        <w:rPr>
          <w:color w:val="auto"/>
        </w:rPr>
      </w:r>
      <w:r w:rsidRPr="007C5B54">
        <w:rPr>
          <w:color w:val="auto"/>
        </w:rPr>
        <w:fldChar w:fldCharType="separate"/>
      </w:r>
      <w:r w:rsidR="008E4487">
        <w:rPr>
          <w:color w:val="auto"/>
        </w:rPr>
        <w:t>142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lastRenderedPageBreak/>
        <w:t>43</w:t>
      </w:r>
      <w:r w:rsidRPr="007C5B54">
        <w:rPr>
          <w:color w:val="auto"/>
        </w:rPr>
        <w:t xml:space="preserve"> Core Infrastructure Server Suite Enterprise</w:t>
      </w:r>
      <w:r w:rsidRPr="007C5B54">
        <w:rPr>
          <w:color w:val="auto"/>
        </w:rPr>
        <w:tab/>
      </w:r>
      <w:r w:rsidRPr="007C5B54">
        <w:rPr>
          <w:color w:val="auto"/>
        </w:rPr>
        <w:fldChar w:fldCharType="begin"/>
      </w:r>
      <w:r w:rsidRPr="007C5B54">
        <w:rPr>
          <w:color w:val="auto"/>
        </w:rPr>
        <w:instrText xml:space="preserve"> PAGEREF _Toc361829386 \h </w:instrText>
      </w:r>
      <w:r w:rsidRPr="007C5B54">
        <w:rPr>
          <w:color w:val="auto"/>
        </w:rPr>
      </w:r>
      <w:r w:rsidRPr="007C5B54">
        <w:rPr>
          <w:color w:val="auto"/>
        </w:rPr>
        <w:fldChar w:fldCharType="separate"/>
      </w:r>
      <w:r w:rsidR="008E4487">
        <w:rPr>
          <w:color w:val="auto"/>
        </w:rPr>
        <w:t>143</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44</w:t>
      </w:r>
      <w:r w:rsidRPr="007C5B54">
        <w:rPr>
          <w:color w:val="auto"/>
        </w:rPr>
        <w:t xml:space="preserve"> Core Infrastructure Server Suite Datacenter</w:t>
      </w:r>
      <w:r w:rsidRPr="007C5B54">
        <w:rPr>
          <w:color w:val="auto"/>
        </w:rPr>
        <w:tab/>
      </w:r>
      <w:r w:rsidRPr="007C5B54">
        <w:rPr>
          <w:color w:val="auto"/>
        </w:rPr>
        <w:fldChar w:fldCharType="begin"/>
      </w:r>
      <w:r w:rsidRPr="007C5B54">
        <w:rPr>
          <w:color w:val="auto"/>
        </w:rPr>
        <w:instrText xml:space="preserve"> PAGEREF _Toc361829387 \h </w:instrText>
      </w:r>
      <w:r w:rsidRPr="007C5B54">
        <w:rPr>
          <w:color w:val="auto"/>
        </w:rPr>
      </w:r>
      <w:r w:rsidRPr="007C5B54">
        <w:rPr>
          <w:color w:val="auto"/>
        </w:rPr>
        <w:fldChar w:fldCharType="separate"/>
      </w:r>
      <w:r w:rsidR="008E4487">
        <w:rPr>
          <w:color w:val="auto"/>
        </w:rPr>
        <w:t>143</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eastAsia="Times New Roman" w:cs="Tahoma"/>
          <w:caps/>
          <w:vertAlign w:val="superscript"/>
        </w:rPr>
        <w:t xml:space="preserve">45 </w:t>
      </w:r>
      <w:r w:rsidRPr="007C5B54">
        <w:rPr>
          <w:rFonts w:eastAsia="Times New Roman" w:cs="Tahoma"/>
        </w:rPr>
        <w:t>Duet Enterprise 2.0</w:t>
      </w:r>
      <w:r w:rsidRPr="007C5B54">
        <w:tab/>
      </w:r>
      <w:r w:rsidRPr="007C5B54">
        <w:fldChar w:fldCharType="begin"/>
      </w:r>
      <w:r w:rsidRPr="007C5B54">
        <w:instrText xml:space="preserve"> PAGEREF _Toc361829388 \h </w:instrText>
      </w:r>
      <w:r w:rsidRPr="007C5B54">
        <w:fldChar w:fldCharType="separate"/>
      </w:r>
      <w:r w:rsidR="008E4487">
        <w:t>144</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46</w:t>
      </w:r>
      <w:r w:rsidRPr="007C5B54">
        <w:rPr>
          <w:color w:val="auto"/>
        </w:rPr>
        <w:t xml:space="preserve"> Microsoft Dynamics CRM Online</w:t>
      </w:r>
      <w:r w:rsidRPr="007C5B54">
        <w:rPr>
          <w:color w:val="auto"/>
        </w:rPr>
        <w:tab/>
      </w:r>
      <w:r w:rsidRPr="007C5B54">
        <w:rPr>
          <w:color w:val="auto"/>
        </w:rPr>
        <w:fldChar w:fldCharType="begin"/>
      </w:r>
      <w:r w:rsidRPr="007C5B54">
        <w:rPr>
          <w:color w:val="auto"/>
        </w:rPr>
        <w:instrText xml:space="preserve"> PAGEREF _Toc361829389 \h </w:instrText>
      </w:r>
      <w:r w:rsidRPr="007C5B54">
        <w:rPr>
          <w:color w:val="auto"/>
        </w:rPr>
      </w:r>
      <w:r w:rsidRPr="007C5B54">
        <w:rPr>
          <w:color w:val="auto"/>
        </w:rPr>
        <w:fldChar w:fldCharType="separate"/>
      </w:r>
      <w:r w:rsidR="008E4487">
        <w:rPr>
          <w:color w:val="auto"/>
        </w:rPr>
        <w:t>145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47 </w:t>
      </w:r>
      <w:r w:rsidRPr="007C5B54">
        <w:rPr>
          <w:color w:val="auto"/>
        </w:rPr>
        <w:t xml:space="preserve">Bridge do Pacote de CALs Empresariais para Office 365, Bridge do Pacote de CALs Empresariais para </w:t>
      </w:r>
      <w:r w:rsidR="007C5B54" w:rsidRPr="007C5B54">
        <w:rPr>
          <w:color w:val="auto"/>
        </w:rPr>
        <w:br/>
      </w:r>
      <w:r w:rsidRPr="007C5B54">
        <w:rPr>
          <w:color w:val="auto"/>
        </w:rPr>
        <w:t>Office 365 e Windows Intune e Bridge do Pacote de CALs Empresariais para Windows Intune</w:t>
      </w:r>
      <w:r w:rsidRPr="007C5B54">
        <w:rPr>
          <w:color w:val="auto"/>
        </w:rPr>
        <w:tab/>
      </w:r>
      <w:r w:rsidRPr="007C5B54">
        <w:rPr>
          <w:color w:val="auto"/>
        </w:rPr>
        <w:fldChar w:fldCharType="begin"/>
      </w:r>
      <w:r w:rsidRPr="007C5B54">
        <w:rPr>
          <w:color w:val="auto"/>
        </w:rPr>
        <w:instrText xml:space="preserve"> PAGEREF _Toc361829390 \h </w:instrText>
      </w:r>
      <w:r w:rsidRPr="007C5B54">
        <w:rPr>
          <w:color w:val="auto"/>
        </w:rPr>
      </w:r>
      <w:r w:rsidRPr="007C5B54">
        <w:rPr>
          <w:color w:val="auto"/>
        </w:rPr>
        <w:fldChar w:fldCharType="separate"/>
      </w:r>
      <w:r w:rsidR="008E4487">
        <w:rPr>
          <w:color w:val="auto"/>
        </w:rPr>
        <w:t>146</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48</w:t>
      </w:r>
      <w:r w:rsidRPr="007C5B54">
        <w:rPr>
          <w:color w:val="auto"/>
        </w:rPr>
        <w:t xml:space="preserve"> Pacotes CAL Empresarial</w:t>
      </w:r>
      <w:r w:rsidRPr="007C5B54">
        <w:rPr>
          <w:color w:val="auto"/>
        </w:rPr>
        <w:tab/>
      </w:r>
      <w:r w:rsidRPr="007C5B54">
        <w:rPr>
          <w:color w:val="auto"/>
        </w:rPr>
        <w:fldChar w:fldCharType="begin"/>
      </w:r>
      <w:r w:rsidRPr="007C5B54">
        <w:rPr>
          <w:color w:val="auto"/>
        </w:rPr>
        <w:instrText xml:space="preserve"> PAGEREF _Toc361829391 \h </w:instrText>
      </w:r>
      <w:r w:rsidRPr="007C5B54">
        <w:rPr>
          <w:color w:val="auto"/>
        </w:rPr>
      </w:r>
      <w:r w:rsidRPr="007C5B54">
        <w:rPr>
          <w:color w:val="auto"/>
        </w:rPr>
        <w:fldChar w:fldCharType="separate"/>
      </w:r>
      <w:r w:rsidR="008E4487">
        <w:rPr>
          <w:color w:val="auto"/>
        </w:rPr>
        <w:t>147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49</w:t>
      </w:r>
      <w:r w:rsidRPr="007C5B54">
        <w:rPr>
          <w:color w:val="auto"/>
        </w:rPr>
        <w:t xml:space="preserve"> CAL Empresarial do Exchange com Serviços 2013</w:t>
      </w:r>
      <w:r w:rsidRPr="007C5B54">
        <w:rPr>
          <w:color w:val="auto"/>
        </w:rPr>
        <w:tab/>
      </w:r>
      <w:r w:rsidRPr="007C5B54">
        <w:rPr>
          <w:color w:val="auto"/>
        </w:rPr>
        <w:fldChar w:fldCharType="begin"/>
      </w:r>
      <w:r w:rsidRPr="007C5B54">
        <w:rPr>
          <w:color w:val="auto"/>
        </w:rPr>
        <w:instrText xml:space="preserve"> PAGEREF _Toc361829392 \h </w:instrText>
      </w:r>
      <w:r w:rsidRPr="007C5B54">
        <w:rPr>
          <w:color w:val="auto"/>
        </w:rPr>
      </w:r>
      <w:r w:rsidRPr="007C5B54">
        <w:rPr>
          <w:color w:val="auto"/>
        </w:rPr>
        <w:fldChar w:fldCharType="separate"/>
      </w:r>
      <w:r w:rsidR="008E4487">
        <w:rPr>
          <w:color w:val="auto"/>
        </w:rPr>
        <w:t>148</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vertAlign w:val="superscript"/>
        </w:rPr>
        <w:t>50</w:t>
      </w:r>
      <w:r w:rsidRPr="007C5B54">
        <w:rPr>
          <w:rFonts w:cs="Tahoma"/>
        </w:rPr>
        <w:t xml:space="preserve"> Arquivamento do Exchange Online para Exchange Server (SL de Usuário)</w:t>
      </w:r>
      <w:r w:rsidRPr="007C5B54">
        <w:tab/>
      </w:r>
      <w:r w:rsidRPr="007C5B54">
        <w:fldChar w:fldCharType="begin"/>
      </w:r>
      <w:r w:rsidRPr="007C5B54">
        <w:instrText xml:space="preserve"> PAGEREF _Toc361829393 \h </w:instrText>
      </w:r>
      <w:r w:rsidRPr="007C5B54">
        <w:fldChar w:fldCharType="separate"/>
      </w:r>
      <w:r w:rsidR="008E4487">
        <w:t>148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vertAlign w:val="superscript"/>
        </w:rPr>
        <w:t>51</w:t>
      </w:r>
      <w:r w:rsidRPr="007C5B54">
        <w:rPr>
          <w:rFonts w:cs="Tahoma"/>
        </w:rPr>
        <w:t xml:space="preserve"> Arquivamento do Exchange Online para Exchange Server A (SL de Usuário)</w:t>
      </w:r>
      <w:r w:rsidRPr="007C5B54">
        <w:tab/>
      </w:r>
      <w:r w:rsidRPr="007C5B54">
        <w:fldChar w:fldCharType="begin"/>
      </w:r>
      <w:r w:rsidRPr="007C5B54">
        <w:instrText xml:space="preserve"> PAGEREF _Toc361829394 \h </w:instrText>
      </w:r>
      <w:r w:rsidRPr="007C5B54">
        <w:fldChar w:fldCharType="separate"/>
      </w:r>
      <w:r w:rsidR="008E4487">
        <w:t>149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vertAlign w:val="superscript"/>
        </w:rPr>
        <w:t>52</w:t>
      </w:r>
      <w:r w:rsidRPr="007C5B54">
        <w:rPr>
          <w:rFonts w:cs="Tahoma"/>
        </w:rPr>
        <w:t xml:space="preserve"> Exchange Hosted Archive (SL de Usuário), Exchange Hosted Archive Extra Storage (SL Complementar)</w:t>
      </w:r>
      <w:r w:rsidRPr="007C5B54">
        <w:tab/>
      </w:r>
      <w:r w:rsidRPr="007C5B54">
        <w:fldChar w:fldCharType="begin"/>
      </w:r>
      <w:r w:rsidRPr="007C5B54">
        <w:instrText xml:space="preserve"> PAGEREF _Toc361829395 \h </w:instrText>
      </w:r>
      <w:r w:rsidRPr="007C5B54">
        <w:fldChar w:fldCharType="separate"/>
      </w:r>
      <w:r w:rsidR="008E4487">
        <w:t>149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vertAlign w:val="superscript"/>
        </w:rPr>
        <w:t>53</w:t>
      </w:r>
      <w:r w:rsidRPr="007C5B54">
        <w:rPr>
          <w:rFonts w:cs="Tahoma"/>
        </w:rPr>
        <w:t xml:space="preserve"> Exchange Hosted Encryption (SL de Usuário)</w:t>
      </w:r>
      <w:r w:rsidRPr="007C5B54">
        <w:tab/>
      </w:r>
      <w:r w:rsidRPr="007C5B54">
        <w:fldChar w:fldCharType="begin"/>
      </w:r>
      <w:r w:rsidRPr="007C5B54">
        <w:instrText xml:space="preserve"> PAGEREF _Toc361829396 \h </w:instrText>
      </w:r>
      <w:r w:rsidRPr="007C5B54">
        <w:fldChar w:fldCharType="separate"/>
      </w:r>
      <w:r w:rsidR="008E4487">
        <w:t>150</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54</w:t>
      </w:r>
      <w:r w:rsidRPr="007C5B54">
        <w:rPr>
          <w:color w:val="auto"/>
        </w:rPr>
        <w:t xml:space="preserve"> Exchange Online Kiosk (SL de Usuário)</w:t>
      </w:r>
      <w:r w:rsidRPr="007C5B54">
        <w:rPr>
          <w:color w:val="auto"/>
        </w:rPr>
        <w:tab/>
      </w:r>
      <w:r w:rsidRPr="007C5B54">
        <w:rPr>
          <w:color w:val="auto"/>
        </w:rPr>
        <w:fldChar w:fldCharType="begin"/>
      </w:r>
      <w:r w:rsidRPr="007C5B54">
        <w:rPr>
          <w:color w:val="auto"/>
        </w:rPr>
        <w:instrText xml:space="preserve"> PAGEREF _Toc361829397 \h </w:instrText>
      </w:r>
      <w:r w:rsidRPr="007C5B54">
        <w:rPr>
          <w:color w:val="auto"/>
        </w:rPr>
      </w:r>
      <w:r w:rsidRPr="007C5B54">
        <w:rPr>
          <w:color w:val="auto"/>
        </w:rPr>
        <w:fldChar w:fldCharType="separate"/>
      </w:r>
      <w:r w:rsidR="008E4487">
        <w:rPr>
          <w:color w:val="auto"/>
        </w:rPr>
        <w:t>150</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55</w:t>
      </w:r>
      <w:r w:rsidR="00045E3F">
        <w:rPr>
          <w:caps/>
          <w:color w:val="auto"/>
          <w:vertAlign w:val="superscript"/>
        </w:rPr>
        <w:t xml:space="preserve"> </w:t>
      </w:r>
      <w:r w:rsidRPr="007C5B54">
        <w:rPr>
          <w:color w:val="auto"/>
        </w:rPr>
        <w:t>Exchange Online Plano 1</w:t>
      </w:r>
      <w:r w:rsidRPr="007C5B54">
        <w:rPr>
          <w:color w:val="auto"/>
        </w:rPr>
        <w:tab/>
      </w:r>
      <w:r w:rsidRPr="007C5B54">
        <w:rPr>
          <w:color w:val="auto"/>
        </w:rPr>
        <w:fldChar w:fldCharType="begin"/>
      </w:r>
      <w:r w:rsidRPr="007C5B54">
        <w:rPr>
          <w:color w:val="auto"/>
        </w:rPr>
        <w:instrText xml:space="preserve"> PAGEREF _Toc361829398 \h </w:instrText>
      </w:r>
      <w:r w:rsidRPr="007C5B54">
        <w:rPr>
          <w:color w:val="auto"/>
        </w:rPr>
      </w:r>
      <w:r w:rsidRPr="007C5B54">
        <w:rPr>
          <w:color w:val="auto"/>
        </w:rPr>
        <w:fldChar w:fldCharType="separate"/>
      </w:r>
      <w:r w:rsidR="008E4487">
        <w:rPr>
          <w:color w:val="auto"/>
        </w:rPr>
        <w:t>150</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56</w:t>
      </w:r>
      <w:r w:rsidRPr="007C5B54">
        <w:rPr>
          <w:rFonts w:cs="Tahoma"/>
        </w:rPr>
        <w:t xml:space="preserve"> Exchange Online Plano 2</w:t>
      </w:r>
      <w:r w:rsidRPr="007C5B54">
        <w:tab/>
      </w:r>
      <w:r w:rsidRPr="007C5B54">
        <w:fldChar w:fldCharType="begin"/>
      </w:r>
      <w:r w:rsidRPr="007C5B54">
        <w:instrText xml:space="preserve"> PAGEREF _Toc361829399 \h </w:instrText>
      </w:r>
      <w:r w:rsidRPr="007C5B54">
        <w:fldChar w:fldCharType="separate"/>
      </w:r>
      <w:r w:rsidR="008E4487">
        <w:t>151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57 </w:t>
      </w:r>
      <w:r w:rsidRPr="007C5B54">
        <w:rPr>
          <w:rFonts w:cs="Tahoma"/>
        </w:rPr>
        <w:t>Exchange Online Protection (SL de Usuário)</w:t>
      </w:r>
      <w:r w:rsidRPr="007C5B54">
        <w:tab/>
      </w:r>
      <w:r w:rsidRPr="007C5B54">
        <w:fldChar w:fldCharType="begin"/>
      </w:r>
      <w:r w:rsidRPr="007C5B54">
        <w:instrText xml:space="preserve"> PAGEREF _Toc361829400 \h </w:instrText>
      </w:r>
      <w:r w:rsidRPr="007C5B54">
        <w:fldChar w:fldCharType="separate"/>
      </w:r>
      <w:r w:rsidR="008E4487">
        <w:t>151</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58 </w:t>
      </w:r>
      <w:r w:rsidRPr="007C5B54">
        <w:rPr>
          <w:rFonts w:cs="Tahoma"/>
        </w:rPr>
        <w:t>Exchange Server 2013 Enterprise e Standard Editions</w:t>
      </w:r>
      <w:r w:rsidRPr="007C5B54">
        <w:tab/>
      </w:r>
      <w:r w:rsidRPr="007C5B54">
        <w:fldChar w:fldCharType="begin"/>
      </w:r>
      <w:r w:rsidRPr="007C5B54">
        <w:instrText xml:space="preserve"> PAGEREF _Toc361829401 \h </w:instrText>
      </w:r>
      <w:r w:rsidRPr="007C5B54">
        <w:fldChar w:fldCharType="separate"/>
      </w:r>
      <w:r w:rsidR="008E4487">
        <w:t>152</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59</w:t>
      </w:r>
      <w:r w:rsidRPr="007C5B54">
        <w:rPr>
          <w:color w:val="auto"/>
        </w:rPr>
        <w:t xml:space="preserve"> CAL do Exchange Server 2010 Standard</w:t>
      </w:r>
      <w:r w:rsidRPr="007C5B54">
        <w:rPr>
          <w:color w:val="auto"/>
        </w:rPr>
        <w:tab/>
      </w:r>
      <w:r w:rsidRPr="007C5B54">
        <w:rPr>
          <w:color w:val="auto"/>
        </w:rPr>
        <w:fldChar w:fldCharType="begin"/>
      </w:r>
      <w:r w:rsidRPr="007C5B54">
        <w:rPr>
          <w:color w:val="auto"/>
        </w:rPr>
        <w:instrText xml:space="preserve"> PAGEREF _Toc361829402 \h </w:instrText>
      </w:r>
      <w:r w:rsidRPr="007C5B54">
        <w:rPr>
          <w:color w:val="auto"/>
        </w:rPr>
      </w:r>
      <w:r w:rsidRPr="007C5B54">
        <w:rPr>
          <w:color w:val="auto"/>
        </w:rPr>
        <w:fldChar w:fldCharType="separate"/>
      </w:r>
      <w:r w:rsidR="008E4487">
        <w:rPr>
          <w:color w:val="auto"/>
        </w:rPr>
        <w:t>153</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60</w:t>
      </w:r>
      <w:r w:rsidRPr="007C5B54">
        <w:rPr>
          <w:color w:val="auto"/>
        </w:rPr>
        <w:t xml:space="preserve"> Forefront Endpoint Protection</w:t>
      </w:r>
      <w:r w:rsidRPr="007C5B54">
        <w:rPr>
          <w:color w:val="auto"/>
        </w:rPr>
        <w:tab/>
      </w:r>
      <w:r w:rsidRPr="007C5B54">
        <w:rPr>
          <w:color w:val="auto"/>
        </w:rPr>
        <w:fldChar w:fldCharType="begin"/>
      </w:r>
      <w:r w:rsidRPr="007C5B54">
        <w:rPr>
          <w:color w:val="auto"/>
        </w:rPr>
        <w:instrText xml:space="preserve"> PAGEREF _Toc361829403 \h </w:instrText>
      </w:r>
      <w:r w:rsidRPr="007C5B54">
        <w:rPr>
          <w:color w:val="auto"/>
        </w:rPr>
      </w:r>
      <w:r w:rsidRPr="007C5B54">
        <w:rPr>
          <w:color w:val="auto"/>
        </w:rPr>
        <w:fldChar w:fldCharType="separate"/>
      </w:r>
      <w:r w:rsidR="008E4487">
        <w:rPr>
          <w:color w:val="auto"/>
        </w:rPr>
        <w:t>153</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61 </w:t>
      </w:r>
      <w:r w:rsidRPr="007C5B54">
        <w:rPr>
          <w:color w:val="auto"/>
        </w:rPr>
        <w:t>Forefront Identity Manager 2010 R2</w:t>
      </w:r>
      <w:r w:rsidRPr="007C5B54">
        <w:rPr>
          <w:color w:val="auto"/>
        </w:rPr>
        <w:tab/>
      </w:r>
      <w:r w:rsidRPr="007C5B54">
        <w:rPr>
          <w:color w:val="auto"/>
        </w:rPr>
        <w:fldChar w:fldCharType="begin"/>
      </w:r>
      <w:r w:rsidRPr="007C5B54">
        <w:rPr>
          <w:color w:val="auto"/>
        </w:rPr>
        <w:instrText xml:space="preserve"> PAGEREF _Toc361829404 \h </w:instrText>
      </w:r>
      <w:r w:rsidRPr="007C5B54">
        <w:rPr>
          <w:color w:val="auto"/>
        </w:rPr>
      </w:r>
      <w:r w:rsidRPr="007C5B54">
        <w:rPr>
          <w:color w:val="auto"/>
        </w:rPr>
        <w:fldChar w:fldCharType="separate"/>
      </w:r>
      <w:r w:rsidR="008E4487">
        <w:rPr>
          <w:color w:val="auto"/>
        </w:rPr>
        <w:t>153</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62</w:t>
      </w:r>
      <w:r w:rsidRPr="007C5B54">
        <w:rPr>
          <w:rFonts w:cs="Tahoma"/>
        </w:rPr>
        <w:t xml:space="preserve"> Forefront Identity Manager 2010 – Windows Live Edition</w:t>
      </w:r>
      <w:r w:rsidRPr="007C5B54">
        <w:tab/>
      </w:r>
      <w:r w:rsidRPr="007C5B54">
        <w:fldChar w:fldCharType="begin"/>
      </w:r>
      <w:r w:rsidRPr="007C5B54">
        <w:instrText xml:space="preserve"> PAGEREF _Toc361829405 \h </w:instrText>
      </w:r>
      <w:r w:rsidRPr="007C5B54">
        <w:fldChar w:fldCharType="separate"/>
      </w:r>
      <w:r w:rsidR="008E4487">
        <w:t>153</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63</w:t>
      </w:r>
      <w:r w:rsidRPr="007C5B54">
        <w:rPr>
          <w:color w:val="auto"/>
        </w:rPr>
        <w:t xml:space="preserve"> Forefront Online Protection para Exchange (SL de Dispositivo e Usuário)</w:t>
      </w:r>
      <w:r w:rsidRPr="007C5B54">
        <w:rPr>
          <w:color w:val="auto"/>
        </w:rPr>
        <w:tab/>
      </w:r>
      <w:r w:rsidRPr="007C5B54">
        <w:rPr>
          <w:color w:val="auto"/>
        </w:rPr>
        <w:fldChar w:fldCharType="begin"/>
      </w:r>
      <w:r w:rsidRPr="007C5B54">
        <w:rPr>
          <w:color w:val="auto"/>
        </w:rPr>
        <w:instrText xml:space="preserve"> PAGEREF _Toc361829406 \h </w:instrText>
      </w:r>
      <w:r w:rsidRPr="007C5B54">
        <w:rPr>
          <w:color w:val="auto"/>
        </w:rPr>
      </w:r>
      <w:r w:rsidRPr="007C5B54">
        <w:rPr>
          <w:color w:val="auto"/>
        </w:rPr>
        <w:fldChar w:fldCharType="separate"/>
      </w:r>
      <w:r w:rsidR="008E4487">
        <w:rPr>
          <w:color w:val="auto"/>
        </w:rPr>
        <w:t>154</w:t>
      </w:r>
      <w:r w:rsidRPr="007C5B54">
        <w:rPr>
          <w:color w:val="auto"/>
        </w:rPr>
        <w:fldChar w:fldCharType="end"/>
      </w:r>
    </w:p>
    <w:p w:rsidR="0081625E" w:rsidRPr="007C5B54" w:rsidRDefault="0081625E" w:rsidP="00A664AD">
      <w:pPr>
        <w:pStyle w:val="TOC3"/>
        <w:rPr>
          <w:rFonts w:asciiTheme="minorHAnsi" w:eastAsiaTheme="minorEastAsia" w:hAnsiTheme="minorHAnsi" w:cstheme="minorBidi"/>
          <w:color w:val="auto"/>
          <w:sz w:val="22"/>
          <w:szCs w:val="22"/>
        </w:rPr>
      </w:pPr>
      <w:r w:rsidRPr="007C5B54">
        <w:rPr>
          <w:caps/>
          <w:color w:val="auto"/>
          <w:vertAlign w:val="superscript"/>
        </w:rPr>
        <w:t>64</w:t>
      </w:r>
      <w:r w:rsidRPr="007C5B54">
        <w:rPr>
          <w:color w:val="auto"/>
        </w:rPr>
        <w:t xml:space="preserve"> Forefront Protection 2010 para Exchange Server (SL de Usuário e Dispositivo), Forefront Protection 2010 para</w:t>
      </w:r>
      <w:r w:rsidR="00A664AD">
        <w:rPr>
          <w:color w:val="auto"/>
        </w:rPr>
        <w:t> </w:t>
      </w:r>
      <w:r w:rsidRPr="007C5B54">
        <w:rPr>
          <w:color w:val="auto"/>
        </w:rPr>
        <w:t xml:space="preserve">SharePoint (SL de Usuário e Dispositivo) e Forefront Protection 2010 para Sites de Internet </w:t>
      </w:r>
      <w:r w:rsidR="007C5B54" w:rsidRPr="007C5B54">
        <w:rPr>
          <w:color w:val="auto"/>
        </w:rPr>
        <w:br/>
      </w:r>
      <w:r w:rsidRPr="007C5B54">
        <w:rPr>
          <w:color w:val="auto"/>
        </w:rPr>
        <w:t>(SL Complementar)</w:t>
      </w:r>
      <w:r w:rsidRPr="007C5B54">
        <w:rPr>
          <w:color w:val="auto"/>
        </w:rPr>
        <w:tab/>
      </w:r>
      <w:r w:rsidRPr="007C5B54">
        <w:rPr>
          <w:color w:val="auto"/>
        </w:rPr>
        <w:fldChar w:fldCharType="begin"/>
      </w:r>
      <w:r w:rsidRPr="007C5B54">
        <w:rPr>
          <w:color w:val="auto"/>
        </w:rPr>
        <w:instrText xml:space="preserve"> PAGEREF _Toc361829407 \h </w:instrText>
      </w:r>
      <w:r w:rsidRPr="007C5B54">
        <w:rPr>
          <w:color w:val="auto"/>
        </w:rPr>
      </w:r>
      <w:r w:rsidRPr="007C5B54">
        <w:rPr>
          <w:color w:val="auto"/>
        </w:rPr>
        <w:fldChar w:fldCharType="separate"/>
      </w:r>
      <w:r w:rsidR="008E4487">
        <w:rPr>
          <w:color w:val="auto"/>
        </w:rPr>
        <w:t>154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65</w:t>
      </w:r>
      <w:r w:rsidRPr="007C5B54">
        <w:rPr>
          <w:color w:val="auto"/>
        </w:rPr>
        <w:t xml:space="preserve"> Forefront Protection Suite (Dispositivo e Usuário)</w:t>
      </w:r>
      <w:r w:rsidRPr="007C5B54">
        <w:rPr>
          <w:color w:val="auto"/>
        </w:rPr>
        <w:tab/>
      </w:r>
      <w:r w:rsidRPr="007C5B54">
        <w:rPr>
          <w:color w:val="auto"/>
        </w:rPr>
        <w:fldChar w:fldCharType="begin"/>
      </w:r>
      <w:r w:rsidRPr="007C5B54">
        <w:rPr>
          <w:color w:val="auto"/>
        </w:rPr>
        <w:instrText xml:space="preserve"> PAGEREF _Toc361829408 \h </w:instrText>
      </w:r>
      <w:r w:rsidRPr="007C5B54">
        <w:rPr>
          <w:color w:val="auto"/>
        </w:rPr>
      </w:r>
      <w:r w:rsidRPr="007C5B54">
        <w:rPr>
          <w:color w:val="auto"/>
        </w:rPr>
        <w:fldChar w:fldCharType="separate"/>
      </w:r>
      <w:r w:rsidR="008E4487">
        <w:rPr>
          <w:color w:val="auto"/>
        </w:rPr>
        <w:t>155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66 </w:t>
      </w:r>
      <w:r w:rsidRPr="007C5B54">
        <w:rPr>
          <w:color w:val="auto"/>
        </w:rPr>
        <w:t>Forefront Security para Office Communications Server (SL de Usuário e Dispositivo)</w:t>
      </w:r>
      <w:r w:rsidRPr="007C5B54">
        <w:rPr>
          <w:color w:val="auto"/>
        </w:rPr>
        <w:tab/>
      </w:r>
      <w:r w:rsidRPr="007C5B54">
        <w:rPr>
          <w:color w:val="auto"/>
        </w:rPr>
        <w:fldChar w:fldCharType="begin"/>
      </w:r>
      <w:r w:rsidRPr="007C5B54">
        <w:rPr>
          <w:color w:val="auto"/>
        </w:rPr>
        <w:instrText xml:space="preserve"> PAGEREF _Toc361829409 \h </w:instrText>
      </w:r>
      <w:r w:rsidRPr="007C5B54">
        <w:rPr>
          <w:color w:val="auto"/>
        </w:rPr>
      </w:r>
      <w:r w:rsidRPr="007C5B54">
        <w:rPr>
          <w:color w:val="auto"/>
        </w:rPr>
        <w:fldChar w:fldCharType="separate"/>
      </w:r>
      <w:r w:rsidR="008E4487">
        <w:rPr>
          <w:color w:val="auto"/>
        </w:rPr>
        <w:t>155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67 </w:t>
      </w:r>
      <w:r w:rsidRPr="007C5B54">
        <w:rPr>
          <w:color w:val="auto"/>
        </w:rPr>
        <w:t>Forefront Threat Management Gateway Web Protection Service</w:t>
      </w:r>
      <w:r w:rsidRPr="007C5B54">
        <w:rPr>
          <w:color w:val="auto"/>
        </w:rPr>
        <w:tab/>
      </w:r>
      <w:r w:rsidRPr="007C5B54">
        <w:rPr>
          <w:color w:val="auto"/>
        </w:rPr>
        <w:fldChar w:fldCharType="begin"/>
      </w:r>
      <w:r w:rsidRPr="007C5B54">
        <w:rPr>
          <w:color w:val="auto"/>
        </w:rPr>
        <w:instrText xml:space="preserve"> PAGEREF _Toc361829410 \h </w:instrText>
      </w:r>
      <w:r w:rsidRPr="007C5B54">
        <w:rPr>
          <w:color w:val="auto"/>
        </w:rPr>
      </w:r>
      <w:r w:rsidRPr="007C5B54">
        <w:rPr>
          <w:color w:val="auto"/>
        </w:rPr>
        <w:fldChar w:fldCharType="separate"/>
      </w:r>
      <w:r w:rsidR="008E4487">
        <w:rPr>
          <w:color w:val="auto"/>
        </w:rPr>
        <w:t>155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68 </w:t>
      </w:r>
      <w:r w:rsidRPr="007C5B54">
        <w:rPr>
          <w:color w:val="auto"/>
        </w:rPr>
        <w:t>Forefront Unified Access Gateway 2010</w:t>
      </w:r>
      <w:r w:rsidRPr="007C5B54">
        <w:rPr>
          <w:color w:val="auto"/>
        </w:rPr>
        <w:tab/>
      </w:r>
      <w:r w:rsidRPr="007C5B54">
        <w:rPr>
          <w:color w:val="auto"/>
        </w:rPr>
        <w:fldChar w:fldCharType="begin"/>
      </w:r>
      <w:r w:rsidRPr="007C5B54">
        <w:rPr>
          <w:color w:val="auto"/>
        </w:rPr>
        <w:instrText xml:space="preserve"> PAGEREF _Toc361829411 \h </w:instrText>
      </w:r>
      <w:r w:rsidRPr="007C5B54">
        <w:rPr>
          <w:color w:val="auto"/>
        </w:rPr>
      </w:r>
      <w:r w:rsidRPr="007C5B54">
        <w:rPr>
          <w:color w:val="auto"/>
        </w:rPr>
        <w:fldChar w:fldCharType="separate"/>
      </w:r>
      <w:r w:rsidR="008E4487">
        <w:rPr>
          <w:color w:val="auto"/>
        </w:rPr>
        <w:t>155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69 </w:t>
      </w:r>
      <w:r w:rsidRPr="007C5B54">
        <w:rPr>
          <w:color w:val="auto"/>
        </w:rPr>
        <w:t>HPC Pack 2008 R2 Enterprise</w:t>
      </w:r>
      <w:r w:rsidRPr="007C5B54">
        <w:rPr>
          <w:color w:val="auto"/>
        </w:rPr>
        <w:tab/>
      </w:r>
      <w:r w:rsidRPr="007C5B54">
        <w:rPr>
          <w:color w:val="auto"/>
        </w:rPr>
        <w:fldChar w:fldCharType="begin"/>
      </w:r>
      <w:r w:rsidRPr="007C5B54">
        <w:rPr>
          <w:color w:val="auto"/>
        </w:rPr>
        <w:instrText xml:space="preserve"> PAGEREF _Toc361829412 \h </w:instrText>
      </w:r>
      <w:r w:rsidRPr="007C5B54">
        <w:rPr>
          <w:color w:val="auto"/>
        </w:rPr>
      </w:r>
      <w:r w:rsidRPr="007C5B54">
        <w:rPr>
          <w:color w:val="auto"/>
        </w:rPr>
        <w:fldChar w:fldCharType="separate"/>
      </w:r>
      <w:r w:rsidR="008E4487">
        <w:rPr>
          <w:color w:val="auto"/>
        </w:rPr>
        <w:t>156</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70</w:t>
      </w:r>
      <w:r w:rsidRPr="007C5B54">
        <w:rPr>
          <w:color w:val="auto"/>
        </w:rPr>
        <w:t xml:space="preserve"> Learning Solutions MCP Exam Vouchers</w:t>
      </w:r>
      <w:r w:rsidRPr="007C5B54">
        <w:rPr>
          <w:color w:val="auto"/>
        </w:rPr>
        <w:tab/>
      </w:r>
      <w:r w:rsidRPr="007C5B54">
        <w:rPr>
          <w:color w:val="auto"/>
        </w:rPr>
        <w:fldChar w:fldCharType="begin"/>
      </w:r>
      <w:r w:rsidRPr="007C5B54">
        <w:rPr>
          <w:color w:val="auto"/>
        </w:rPr>
        <w:instrText xml:space="preserve"> PAGEREF _Toc361829413 \h </w:instrText>
      </w:r>
      <w:r w:rsidRPr="007C5B54">
        <w:rPr>
          <w:color w:val="auto"/>
        </w:rPr>
      </w:r>
      <w:r w:rsidRPr="007C5B54">
        <w:rPr>
          <w:color w:val="auto"/>
        </w:rPr>
        <w:fldChar w:fldCharType="separate"/>
      </w:r>
      <w:r w:rsidR="008E4487">
        <w:rPr>
          <w:color w:val="auto"/>
        </w:rPr>
        <w:t>156</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71</w:t>
      </w:r>
      <w:r w:rsidRPr="007C5B54">
        <w:rPr>
          <w:rFonts w:cs="Tahoma"/>
        </w:rPr>
        <w:t xml:space="preserve"> Lync Online Planos 1, 2 e 3</w:t>
      </w:r>
      <w:r w:rsidRPr="007C5B54">
        <w:tab/>
      </w:r>
      <w:r w:rsidRPr="007C5B54">
        <w:fldChar w:fldCharType="begin"/>
      </w:r>
      <w:r w:rsidRPr="007C5B54">
        <w:instrText xml:space="preserve"> PAGEREF _Toc361829414 \h </w:instrText>
      </w:r>
      <w:r w:rsidRPr="007C5B54">
        <w:fldChar w:fldCharType="separate"/>
      </w:r>
      <w:r w:rsidR="008E4487">
        <w:t>157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72 </w:t>
      </w:r>
      <w:r w:rsidRPr="007C5B54">
        <w:rPr>
          <w:rFonts w:cs="Tahoma"/>
        </w:rPr>
        <w:t>Lync Server 2013</w:t>
      </w:r>
      <w:r w:rsidRPr="007C5B54">
        <w:tab/>
      </w:r>
      <w:r w:rsidRPr="007C5B54">
        <w:fldChar w:fldCharType="begin"/>
      </w:r>
      <w:r w:rsidRPr="007C5B54">
        <w:instrText xml:space="preserve"> PAGEREF _Toc361829415 \h </w:instrText>
      </w:r>
      <w:r w:rsidRPr="007C5B54">
        <w:fldChar w:fldCharType="separate"/>
      </w:r>
      <w:r w:rsidR="008E4487">
        <w:t>157</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vertAlign w:val="superscript"/>
        </w:rPr>
        <w:t>73</w:t>
      </w:r>
      <w:r w:rsidRPr="007C5B54">
        <w:rPr>
          <w:color w:val="auto"/>
        </w:rPr>
        <w:t xml:space="preserve"> Microsoft Dynamics AX 2012 R2</w:t>
      </w:r>
      <w:r w:rsidRPr="007C5B54">
        <w:rPr>
          <w:color w:val="auto"/>
        </w:rPr>
        <w:tab/>
      </w:r>
      <w:r w:rsidRPr="007C5B54">
        <w:rPr>
          <w:color w:val="auto"/>
        </w:rPr>
        <w:fldChar w:fldCharType="begin"/>
      </w:r>
      <w:r w:rsidRPr="007C5B54">
        <w:rPr>
          <w:color w:val="auto"/>
        </w:rPr>
        <w:instrText xml:space="preserve"> PAGEREF _Toc361829416 \h </w:instrText>
      </w:r>
      <w:r w:rsidRPr="007C5B54">
        <w:rPr>
          <w:color w:val="auto"/>
        </w:rPr>
      </w:r>
      <w:r w:rsidRPr="007C5B54">
        <w:rPr>
          <w:color w:val="auto"/>
        </w:rPr>
        <w:fldChar w:fldCharType="separate"/>
      </w:r>
      <w:r w:rsidR="008E4487">
        <w:rPr>
          <w:color w:val="auto"/>
        </w:rPr>
        <w:t>159</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vertAlign w:val="superscript"/>
        </w:rPr>
        <w:t>74</w:t>
      </w:r>
      <w:r w:rsidRPr="007C5B54">
        <w:rPr>
          <w:color w:val="auto"/>
        </w:rPr>
        <w:t xml:space="preserve"> Microsoft Dynamics CRM 2011</w:t>
      </w:r>
      <w:r w:rsidRPr="007C5B54">
        <w:rPr>
          <w:color w:val="auto"/>
        </w:rPr>
        <w:tab/>
      </w:r>
      <w:r w:rsidRPr="007C5B54">
        <w:rPr>
          <w:color w:val="auto"/>
        </w:rPr>
        <w:fldChar w:fldCharType="begin"/>
      </w:r>
      <w:r w:rsidRPr="007C5B54">
        <w:rPr>
          <w:color w:val="auto"/>
        </w:rPr>
        <w:instrText xml:space="preserve"> PAGEREF _Toc361829417 \h </w:instrText>
      </w:r>
      <w:r w:rsidRPr="007C5B54">
        <w:rPr>
          <w:color w:val="auto"/>
        </w:rPr>
      </w:r>
      <w:r w:rsidRPr="007C5B54">
        <w:rPr>
          <w:color w:val="auto"/>
        </w:rPr>
        <w:fldChar w:fldCharType="separate"/>
      </w:r>
      <w:r w:rsidR="008E4487">
        <w:rPr>
          <w:color w:val="auto"/>
        </w:rPr>
        <w:t>160</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75 </w:t>
      </w:r>
      <w:r w:rsidRPr="007C5B54">
        <w:rPr>
          <w:rFonts w:cs="Tahoma"/>
        </w:rPr>
        <w:t>Microsoft Dynamics CRM 2011 Server</w:t>
      </w:r>
      <w:r w:rsidRPr="007C5B54">
        <w:tab/>
      </w:r>
      <w:r w:rsidRPr="007C5B54">
        <w:fldChar w:fldCharType="begin"/>
      </w:r>
      <w:r w:rsidRPr="007C5B54">
        <w:instrText xml:space="preserve"> PAGEREF _Toc361829418 \h </w:instrText>
      </w:r>
      <w:r w:rsidRPr="007C5B54">
        <w:fldChar w:fldCharType="separate"/>
      </w:r>
      <w:r w:rsidR="008E4487">
        <w:t>168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76</w:t>
      </w:r>
      <w:r w:rsidRPr="007C5B54">
        <w:rPr>
          <w:rFonts w:cs="Tahoma"/>
        </w:rPr>
        <w:t xml:space="preserve"> Office 365 Enterprise E1</w:t>
      </w:r>
      <w:r w:rsidRPr="007C5B54">
        <w:tab/>
      </w:r>
      <w:r w:rsidRPr="007C5B54">
        <w:fldChar w:fldCharType="begin"/>
      </w:r>
      <w:r w:rsidRPr="007C5B54">
        <w:instrText xml:space="preserve"> PAGEREF _Toc361829419 \h </w:instrText>
      </w:r>
      <w:r w:rsidRPr="007C5B54">
        <w:fldChar w:fldCharType="separate"/>
      </w:r>
      <w:r w:rsidR="008E4487">
        <w:t>168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77 </w:t>
      </w:r>
      <w:r w:rsidRPr="007C5B54">
        <w:rPr>
          <w:rFonts w:cs="Tahoma"/>
        </w:rPr>
        <w:t>Office 365 Enterprise K1 e K2 (SL de Usuário)</w:t>
      </w:r>
      <w:r w:rsidRPr="007C5B54">
        <w:tab/>
      </w:r>
      <w:r w:rsidRPr="007C5B54">
        <w:fldChar w:fldCharType="begin"/>
      </w:r>
      <w:r w:rsidRPr="007C5B54">
        <w:instrText xml:space="preserve"> PAGEREF _Toc361829420 \h </w:instrText>
      </w:r>
      <w:r w:rsidRPr="007C5B54">
        <w:fldChar w:fldCharType="separate"/>
      </w:r>
      <w:r w:rsidR="008E4487">
        <w:t>168</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78</w:t>
      </w:r>
      <w:r w:rsidRPr="007C5B54">
        <w:rPr>
          <w:rFonts w:cs="Tahoma"/>
        </w:rPr>
        <w:t xml:space="preserve"> Office 365 Government G1-G4</w:t>
      </w:r>
      <w:r w:rsidRPr="007C5B54">
        <w:tab/>
      </w:r>
      <w:r w:rsidRPr="007C5B54">
        <w:fldChar w:fldCharType="begin"/>
      </w:r>
      <w:r w:rsidRPr="007C5B54">
        <w:instrText xml:space="preserve"> PAGEREF _Toc361829421 \h </w:instrText>
      </w:r>
      <w:r w:rsidRPr="007C5B54">
        <w:fldChar w:fldCharType="separate"/>
      </w:r>
      <w:r w:rsidR="008E4487">
        <w:t>169</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79</w:t>
      </w:r>
      <w:r w:rsidRPr="007C5B54">
        <w:rPr>
          <w:rFonts w:cs="Tahoma"/>
        </w:rPr>
        <w:t xml:space="preserve"> SharePoint Online Planos 1 e 2</w:t>
      </w:r>
      <w:r w:rsidRPr="007C5B54">
        <w:tab/>
      </w:r>
      <w:r w:rsidRPr="007C5B54">
        <w:fldChar w:fldCharType="begin"/>
      </w:r>
      <w:r w:rsidRPr="007C5B54">
        <w:instrText xml:space="preserve"> PAGEREF _Toc361829422 \h </w:instrText>
      </w:r>
      <w:r w:rsidRPr="007C5B54">
        <w:fldChar w:fldCharType="separate"/>
      </w:r>
      <w:r w:rsidR="008E4487">
        <w:t>170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80 </w:t>
      </w:r>
      <w:r w:rsidRPr="007C5B54">
        <w:rPr>
          <w:rFonts w:cs="Tahoma"/>
        </w:rPr>
        <w:t>SharePoint Server 2013</w:t>
      </w:r>
      <w:r w:rsidRPr="007C5B54">
        <w:tab/>
      </w:r>
      <w:r w:rsidRPr="007C5B54">
        <w:fldChar w:fldCharType="begin"/>
      </w:r>
      <w:r w:rsidRPr="007C5B54">
        <w:instrText xml:space="preserve"> PAGEREF _Toc361829423 \h </w:instrText>
      </w:r>
      <w:r w:rsidRPr="007C5B54">
        <w:fldChar w:fldCharType="separate"/>
      </w:r>
      <w:r w:rsidR="008E4487">
        <w:t>170</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81</w:t>
      </w:r>
      <w:r w:rsidRPr="007C5B54">
        <w:rPr>
          <w:color w:val="auto"/>
        </w:rPr>
        <w:t xml:space="preserve"> SQL Server</w:t>
      </w:r>
      <w:r w:rsidRPr="007C5B54">
        <w:rPr>
          <w:color w:val="auto"/>
          <w:vertAlign w:val="superscript"/>
        </w:rPr>
        <w:t>®</w:t>
      </w:r>
      <w:r w:rsidRPr="007C5B54">
        <w:rPr>
          <w:color w:val="auto"/>
        </w:rPr>
        <w:t xml:space="preserve"> 2008 R2 Datacenter</w:t>
      </w:r>
      <w:r w:rsidRPr="007C5B54">
        <w:rPr>
          <w:color w:val="auto"/>
        </w:rPr>
        <w:tab/>
      </w:r>
      <w:r w:rsidRPr="007C5B54">
        <w:rPr>
          <w:color w:val="auto"/>
        </w:rPr>
        <w:fldChar w:fldCharType="begin"/>
      </w:r>
      <w:r w:rsidRPr="007C5B54">
        <w:rPr>
          <w:color w:val="auto"/>
        </w:rPr>
        <w:instrText xml:space="preserve"> PAGEREF _Toc361829424 \h </w:instrText>
      </w:r>
      <w:r w:rsidRPr="007C5B54">
        <w:rPr>
          <w:color w:val="auto"/>
        </w:rPr>
      </w:r>
      <w:r w:rsidRPr="007C5B54">
        <w:rPr>
          <w:color w:val="auto"/>
        </w:rPr>
        <w:fldChar w:fldCharType="separate"/>
      </w:r>
      <w:r w:rsidR="008E4487">
        <w:rPr>
          <w:color w:val="auto"/>
        </w:rPr>
        <w:t>172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82 </w:t>
      </w:r>
      <w:r w:rsidRPr="007C5B54">
        <w:rPr>
          <w:color w:val="auto"/>
        </w:rPr>
        <w:t>SQL Server</w:t>
      </w:r>
      <w:r w:rsidRPr="007C5B54">
        <w:rPr>
          <w:color w:val="auto"/>
          <w:vertAlign w:val="superscript"/>
        </w:rPr>
        <w:t>®</w:t>
      </w:r>
      <w:r w:rsidRPr="007C5B54">
        <w:rPr>
          <w:color w:val="auto"/>
        </w:rPr>
        <w:t xml:space="preserve"> 2008 R2 Small Business</w:t>
      </w:r>
      <w:r w:rsidRPr="007C5B54">
        <w:rPr>
          <w:color w:val="auto"/>
        </w:rPr>
        <w:tab/>
      </w:r>
      <w:r w:rsidRPr="007C5B54">
        <w:rPr>
          <w:color w:val="auto"/>
        </w:rPr>
        <w:fldChar w:fldCharType="begin"/>
      </w:r>
      <w:r w:rsidRPr="007C5B54">
        <w:rPr>
          <w:color w:val="auto"/>
        </w:rPr>
        <w:instrText xml:space="preserve"> PAGEREF _Toc361829425 \h </w:instrText>
      </w:r>
      <w:r w:rsidRPr="007C5B54">
        <w:rPr>
          <w:color w:val="auto"/>
        </w:rPr>
      </w:r>
      <w:r w:rsidRPr="007C5B54">
        <w:rPr>
          <w:color w:val="auto"/>
        </w:rPr>
        <w:fldChar w:fldCharType="separate"/>
      </w:r>
      <w:r w:rsidR="008E4487">
        <w:rPr>
          <w:color w:val="auto"/>
        </w:rPr>
        <w:t>174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83</w:t>
      </w:r>
      <w:r w:rsidRPr="007C5B54">
        <w:rPr>
          <w:color w:val="auto"/>
        </w:rPr>
        <w:t xml:space="preserve"> SQL Server</w:t>
      </w:r>
      <w:r w:rsidRPr="007C5B54">
        <w:rPr>
          <w:color w:val="auto"/>
          <w:vertAlign w:val="superscript"/>
        </w:rPr>
        <w:t>®</w:t>
      </w:r>
      <w:r w:rsidRPr="007C5B54">
        <w:rPr>
          <w:color w:val="auto"/>
        </w:rPr>
        <w:t xml:space="preserve"> 2008 R2 Web Processor</w:t>
      </w:r>
      <w:r w:rsidRPr="007C5B54">
        <w:rPr>
          <w:color w:val="auto"/>
        </w:rPr>
        <w:tab/>
      </w:r>
      <w:r w:rsidRPr="007C5B54">
        <w:rPr>
          <w:color w:val="auto"/>
        </w:rPr>
        <w:fldChar w:fldCharType="begin"/>
      </w:r>
      <w:r w:rsidRPr="007C5B54">
        <w:rPr>
          <w:color w:val="auto"/>
        </w:rPr>
        <w:instrText xml:space="preserve"> PAGEREF _Toc361829426 \h </w:instrText>
      </w:r>
      <w:r w:rsidRPr="007C5B54">
        <w:rPr>
          <w:color w:val="auto"/>
        </w:rPr>
      </w:r>
      <w:r w:rsidRPr="007C5B54">
        <w:rPr>
          <w:color w:val="auto"/>
        </w:rPr>
        <w:fldChar w:fldCharType="separate"/>
      </w:r>
      <w:r w:rsidR="008E4487">
        <w:rPr>
          <w:color w:val="auto"/>
        </w:rPr>
        <w:t>175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vertAlign w:val="superscript"/>
        </w:rPr>
        <w:t>84</w:t>
      </w:r>
      <w:r w:rsidRPr="007C5B54">
        <w:rPr>
          <w:color w:val="auto"/>
        </w:rPr>
        <w:t xml:space="preserve"> SQL Server</w:t>
      </w:r>
      <w:r w:rsidRPr="007C5B54">
        <w:rPr>
          <w:color w:val="auto"/>
          <w:vertAlign w:val="superscript"/>
        </w:rPr>
        <w:t>®</w:t>
      </w:r>
      <w:r w:rsidRPr="007C5B54">
        <w:rPr>
          <w:color w:val="auto"/>
        </w:rPr>
        <w:t xml:space="preserve"> 2008 R2 Workgroup (Complementar para 5 Clientes)</w:t>
      </w:r>
      <w:r w:rsidRPr="007C5B54">
        <w:rPr>
          <w:color w:val="auto"/>
        </w:rPr>
        <w:tab/>
      </w:r>
      <w:r w:rsidRPr="007C5B54">
        <w:rPr>
          <w:color w:val="auto"/>
        </w:rPr>
        <w:fldChar w:fldCharType="begin"/>
      </w:r>
      <w:r w:rsidRPr="007C5B54">
        <w:rPr>
          <w:color w:val="auto"/>
        </w:rPr>
        <w:instrText xml:space="preserve"> PAGEREF _Toc361829427 \h </w:instrText>
      </w:r>
      <w:r w:rsidRPr="007C5B54">
        <w:rPr>
          <w:color w:val="auto"/>
        </w:rPr>
      </w:r>
      <w:r w:rsidRPr="007C5B54">
        <w:rPr>
          <w:color w:val="auto"/>
        </w:rPr>
        <w:fldChar w:fldCharType="separate"/>
      </w:r>
      <w:r w:rsidR="008E4487">
        <w:rPr>
          <w:color w:val="auto"/>
        </w:rPr>
        <w:t>177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vertAlign w:val="superscript"/>
        </w:rPr>
        <w:t>85</w:t>
      </w:r>
      <w:r w:rsidRPr="007C5B54">
        <w:rPr>
          <w:color w:val="auto"/>
        </w:rPr>
        <w:t xml:space="preserve"> SQL Server</w:t>
      </w:r>
      <w:r w:rsidRPr="007C5B54">
        <w:rPr>
          <w:color w:val="auto"/>
          <w:vertAlign w:val="superscript"/>
        </w:rPr>
        <w:t>®</w:t>
      </w:r>
      <w:r w:rsidRPr="007C5B54">
        <w:rPr>
          <w:color w:val="auto"/>
        </w:rPr>
        <w:t xml:space="preserve"> 2008 R2 Workgroup Processor</w:t>
      </w:r>
      <w:r w:rsidRPr="007C5B54">
        <w:rPr>
          <w:color w:val="auto"/>
        </w:rPr>
        <w:tab/>
      </w:r>
      <w:r w:rsidRPr="007C5B54">
        <w:rPr>
          <w:color w:val="auto"/>
        </w:rPr>
        <w:fldChar w:fldCharType="begin"/>
      </w:r>
      <w:r w:rsidRPr="007C5B54">
        <w:rPr>
          <w:color w:val="auto"/>
        </w:rPr>
        <w:instrText xml:space="preserve"> PAGEREF _Toc361829428 \h </w:instrText>
      </w:r>
      <w:r w:rsidRPr="007C5B54">
        <w:rPr>
          <w:color w:val="auto"/>
        </w:rPr>
      </w:r>
      <w:r w:rsidRPr="007C5B54">
        <w:rPr>
          <w:color w:val="auto"/>
        </w:rPr>
        <w:fldChar w:fldCharType="separate"/>
      </w:r>
      <w:r w:rsidR="008E4487">
        <w:rPr>
          <w:color w:val="auto"/>
        </w:rPr>
        <w:t>177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vertAlign w:val="superscript"/>
        </w:rPr>
        <w:t>86</w:t>
      </w:r>
      <w:r w:rsidRPr="007C5B54">
        <w:rPr>
          <w:color w:val="auto"/>
        </w:rPr>
        <w:t xml:space="preserve"> SQL Server</w:t>
      </w:r>
      <w:r w:rsidRPr="007C5B54">
        <w:rPr>
          <w:color w:val="auto"/>
          <w:vertAlign w:val="superscript"/>
        </w:rPr>
        <w:t>®</w:t>
      </w:r>
      <w:r w:rsidRPr="007C5B54">
        <w:rPr>
          <w:color w:val="auto"/>
        </w:rPr>
        <w:t xml:space="preserve"> 2012 Developer</w:t>
      </w:r>
      <w:r w:rsidRPr="007C5B54">
        <w:rPr>
          <w:color w:val="auto"/>
        </w:rPr>
        <w:tab/>
      </w:r>
      <w:r w:rsidRPr="007C5B54">
        <w:rPr>
          <w:color w:val="auto"/>
        </w:rPr>
        <w:fldChar w:fldCharType="begin"/>
      </w:r>
      <w:r w:rsidRPr="007C5B54">
        <w:rPr>
          <w:color w:val="auto"/>
        </w:rPr>
        <w:instrText xml:space="preserve"> PAGEREF _Toc361829429 \h </w:instrText>
      </w:r>
      <w:r w:rsidRPr="007C5B54">
        <w:rPr>
          <w:color w:val="auto"/>
        </w:rPr>
      </w:r>
      <w:r w:rsidRPr="007C5B54">
        <w:rPr>
          <w:color w:val="auto"/>
        </w:rPr>
        <w:fldChar w:fldCharType="separate"/>
      </w:r>
      <w:r w:rsidR="008E4487">
        <w:rPr>
          <w:color w:val="auto"/>
        </w:rPr>
        <w:t>180</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olor w:val="auto"/>
          <w:vertAlign w:val="superscript"/>
        </w:rPr>
        <w:t>87</w:t>
      </w:r>
      <w:r w:rsidRPr="007C5B54">
        <w:rPr>
          <w:color w:val="auto"/>
        </w:rPr>
        <w:t xml:space="preserve"> SQL Server</w:t>
      </w:r>
      <w:r w:rsidRPr="007C5B54">
        <w:rPr>
          <w:color w:val="auto"/>
          <w:vertAlign w:val="superscript"/>
        </w:rPr>
        <w:t>®</w:t>
      </w:r>
      <w:r w:rsidRPr="007C5B54">
        <w:rPr>
          <w:color w:val="auto"/>
        </w:rPr>
        <w:t xml:space="preserve"> 2012 Enterprise</w:t>
      </w:r>
      <w:r w:rsidRPr="007C5B54">
        <w:rPr>
          <w:color w:val="auto"/>
        </w:rPr>
        <w:tab/>
      </w:r>
      <w:r w:rsidRPr="007C5B54">
        <w:rPr>
          <w:color w:val="auto"/>
        </w:rPr>
        <w:fldChar w:fldCharType="begin"/>
      </w:r>
      <w:r w:rsidRPr="007C5B54">
        <w:rPr>
          <w:color w:val="auto"/>
        </w:rPr>
        <w:instrText xml:space="preserve"> PAGEREF _Toc361829430 \h </w:instrText>
      </w:r>
      <w:r w:rsidRPr="007C5B54">
        <w:rPr>
          <w:color w:val="auto"/>
        </w:rPr>
      </w:r>
      <w:r w:rsidRPr="007C5B54">
        <w:rPr>
          <w:color w:val="auto"/>
        </w:rPr>
        <w:fldChar w:fldCharType="separate"/>
      </w:r>
      <w:r w:rsidR="008E4487">
        <w:rPr>
          <w:color w:val="auto"/>
        </w:rPr>
        <w:t>180</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88 </w:t>
      </w:r>
      <w:r w:rsidRPr="007C5B54">
        <w:rPr>
          <w:color w:val="auto"/>
        </w:rPr>
        <w:t>SQL Server</w:t>
      </w:r>
      <w:r w:rsidRPr="007C5B54">
        <w:rPr>
          <w:color w:val="auto"/>
          <w:vertAlign w:val="superscript"/>
        </w:rPr>
        <w:t>®</w:t>
      </w:r>
      <w:r w:rsidRPr="007C5B54">
        <w:rPr>
          <w:color w:val="auto"/>
        </w:rPr>
        <w:t xml:space="preserve"> 2012 Enterprise Core</w:t>
      </w:r>
      <w:r w:rsidRPr="007C5B54">
        <w:rPr>
          <w:color w:val="auto"/>
        </w:rPr>
        <w:tab/>
      </w:r>
      <w:r w:rsidRPr="007C5B54">
        <w:rPr>
          <w:color w:val="auto"/>
        </w:rPr>
        <w:fldChar w:fldCharType="begin"/>
      </w:r>
      <w:r w:rsidRPr="007C5B54">
        <w:rPr>
          <w:color w:val="auto"/>
        </w:rPr>
        <w:instrText xml:space="preserve"> PAGEREF _Toc361829431 \h </w:instrText>
      </w:r>
      <w:r w:rsidRPr="007C5B54">
        <w:rPr>
          <w:color w:val="auto"/>
        </w:rPr>
      </w:r>
      <w:r w:rsidRPr="007C5B54">
        <w:rPr>
          <w:color w:val="auto"/>
        </w:rPr>
        <w:fldChar w:fldCharType="separate"/>
      </w:r>
      <w:r w:rsidR="008E4487">
        <w:rPr>
          <w:color w:val="auto"/>
        </w:rPr>
        <w:t>181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89</w:t>
      </w:r>
      <w:r w:rsidRPr="007C5B54">
        <w:rPr>
          <w:color w:val="auto"/>
        </w:rPr>
        <w:t xml:space="preserve"> SQL Server</w:t>
      </w:r>
      <w:r w:rsidRPr="007C5B54">
        <w:rPr>
          <w:color w:val="auto"/>
          <w:vertAlign w:val="superscript"/>
        </w:rPr>
        <w:t>®</w:t>
      </w:r>
      <w:r w:rsidRPr="007C5B54">
        <w:rPr>
          <w:color w:val="auto"/>
        </w:rPr>
        <w:t xml:space="preserve"> 2012 Parallel Data Warehouse</w:t>
      </w:r>
      <w:r w:rsidRPr="007C5B54">
        <w:rPr>
          <w:color w:val="auto"/>
        </w:rPr>
        <w:tab/>
      </w:r>
      <w:r w:rsidRPr="007C5B54">
        <w:rPr>
          <w:color w:val="auto"/>
        </w:rPr>
        <w:fldChar w:fldCharType="begin"/>
      </w:r>
      <w:r w:rsidRPr="007C5B54">
        <w:rPr>
          <w:color w:val="auto"/>
        </w:rPr>
        <w:instrText xml:space="preserve"> PAGEREF _Toc361829432 \h </w:instrText>
      </w:r>
      <w:r w:rsidRPr="007C5B54">
        <w:rPr>
          <w:color w:val="auto"/>
        </w:rPr>
      </w:r>
      <w:r w:rsidRPr="007C5B54">
        <w:rPr>
          <w:color w:val="auto"/>
        </w:rPr>
        <w:fldChar w:fldCharType="separate"/>
      </w:r>
      <w:r w:rsidR="008E4487">
        <w:rPr>
          <w:color w:val="auto"/>
        </w:rPr>
        <w:t>183</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90</w:t>
      </w:r>
      <w:r w:rsidRPr="007C5B54">
        <w:rPr>
          <w:color w:val="auto"/>
        </w:rPr>
        <w:t xml:space="preserve"> SQL Server</w:t>
      </w:r>
      <w:r w:rsidRPr="007C5B54">
        <w:rPr>
          <w:color w:val="auto"/>
          <w:vertAlign w:val="superscript"/>
        </w:rPr>
        <w:t>®</w:t>
      </w:r>
      <w:r w:rsidRPr="007C5B54">
        <w:rPr>
          <w:color w:val="auto"/>
        </w:rPr>
        <w:t xml:space="preserve"> 2012 Standard</w:t>
      </w:r>
      <w:r w:rsidRPr="007C5B54">
        <w:rPr>
          <w:color w:val="auto"/>
        </w:rPr>
        <w:tab/>
      </w:r>
      <w:r w:rsidRPr="007C5B54">
        <w:rPr>
          <w:color w:val="auto"/>
        </w:rPr>
        <w:fldChar w:fldCharType="begin"/>
      </w:r>
      <w:r w:rsidRPr="007C5B54">
        <w:rPr>
          <w:color w:val="auto"/>
        </w:rPr>
        <w:instrText xml:space="preserve"> PAGEREF _Toc361829433 \h </w:instrText>
      </w:r>
      <w:r w:rsidRPr="007C5B54">
        <w:rPr>
          <w:color w:val="auto"/>
        </w:rPr>
      </w:r>
      <w:r w:rsidRPr="007C5B54">
        <w:rPr>
          <w:color w:val="auto"/>
        </w:rPr>
        <w:fldChar w:fldCharType="separate"/>
      </w:r>
      <w:r w:rsidR="008E4487">
        <w:rPr>
          <w:color w:val="auto"/>
        </w:rPr>
        <w:t>184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91</w:t>
      </w:r>
      <w:r w:rsidRPr="007C5B54">
        <w:rPr>
          <w:color w:val="auto"/>
        </w:rPr>
        <w:t xml:space="preserve"> SQL Server</w:t>
      </w:r>
      <w:r w:rsidRPr="007C5B54">
        <w:rPr>
          <w:color w:val="auto"/>
          <w:vertAlign w:val="superscript"/>
        </w:rPr>
        <w:t>®</w:t>
      </w:r>
      <w:r w:rsidRPr="007C5B54">
        <w:rPr>
          <w:color w:val="auto"/>
        </w:rPr>
        <w:t xml:space="preserve"> 2012 Standard</w:t>
      </w:r>
      <w:r w:rsidRPr="007C5B54">
        <w:rPr>
          <w:rFonts w:eastAsia="Calibri"/>
          <w:color w:val="auto"/>
        </w:rPr>
        <w:t xml:space="preserve"> Core</w:t>
      </w:r>
      <w:r w:rsidRPr="007C5B54">
        <w:rPr>
          <w:color w:val="auto"/>
        </w:rPr>
        <w:tab/>
      </w:r>
      <w:r w:rsidRPr="007C5B54">
        <w:rPr>
          <w:color w:val="auto"/>
        </w:rPr>
        <w:fldChar w:fldCharType="begin"/>
      </w:r>
      <w:r w:rsidRPr="007C5B54">
        <w:rPr>
          <w:color w:val="auto"/>
        </w:rPr>
        <w:instrText xml:space="preserve"> PAGEREF _Toc361829434 \h </w:instrText>
      </w:r>
      <w:r w:rsidRPr="007C5B54">
        <w:rPr>
          <w:color w:val="auto"/>
        </w:rPr>
      </w:r>
      <w:r w:rsidRPr="007C5B54">
        <w:rPr>
          <w:color w:val="auto"/>
        </w:rPr>
        <w:fldChar w:fldCharType="separate"/>
      </w:r>
      <w:r w:rsidR="008E4487">
        <w:rPr>
          <w:color w:val="auto"/>
        </w:rPr>
        <w:t>184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92</w:t>
      </w:r>
      <w:r w:rsidRPr="007C5B54">
        <w:rPr>
          <w:color w:val="auto"/>
        </w:rPr>
        <w:t xml:space="preserve"> System Center Essentials 2010</w:t>
      </w:r>
      <w:r w:rsidRPr="007C5B54">
        <w:rPr>
          <w:color w:val="auto"/>
        </w:rPr>
        <w:tab/>
      </w:r>
      <w:r w:rsidRPr="007C5B54">
        <w:rPr>
          <w:color w:val="auto"/>
        </w:rPr>
        <w:fldChar w:fldCharType="begin"/>
      </w:r>
      <w:r w:rsidRPr="007C5B54">
        <w:rPr>
          <w:color w:val="auto"/>
        </w:rPr>
        <w:instrText xml:space="preserve"> PAGEREF _Toc361829435 \h </w:instrText>
      </w:r>
      <w:r w:rsidRPr="007C5B54">
        <w:rPr>
          <w:color w:val="auto"/>
        </w:rPr>
      </w:r>
      <w:r w:rsidRPr="007C5B54">
        <w:rPr>
          <w:color w:val="auto"/>
        </w:rPr>
        <w:fldChar w:fldCharType="separate"/>
      </w:r>
      <w:r w:rsidR="008E4487">
        <w:rPr>
          <w:color w:val="auto"/>
        </w:rPr>
        <w:t>187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93</w:t>
      </w:r>
      <w:r w:rsidRPr="007C5B54">
        <w:rPr>
          <w:color w:val="auto"/>
        </w:rPr>
        <w:t xml:space="preserve"> System Center Reporting Manager 2006</w:t>
      </w:r>
      <w:r w:rsidRPr="007C5B54">
        <w:rPr>
          <w:color w:val="auto"/>
        </w:rPr>
        <w:tab/>
      </w:r>
      <w:r w:rsidRPr="007C5B54">
        <w:rPr>
          <w:color w:val="auto"/>
        </w:rPr>
        <w:fldChar w:fldCharType="begin"/>
      </w:r>
      <w:r w:rsidRPr="007C5B54">
        <w:rPr>
          <w:color w:val="auto"/>
        </w:rPr>
        <w:instrText xml:space="preserve"> PAGEREF _Toc361829436 \h </w:instrText>
      </w:r>
      <w:r w:rsidRPr="007C5B54">
        <w:rPr>
          <w:color w:val="auto"/>
        </w:rPr>
      </w:r>
      <w:r w:rsidRPr="007C5B54">
        <w:rPr>
          <w:color w:val="auto"/>
        </w:rPr>
        <w:fldChar w:fldCharType="separate"/>
      </w:r>
      <w:r w:rsidR="008E4487">
        <w:rPr>
          <w:color w:val="auto"/>
        </w:rPr>
        <w:t>188</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94 </w:t>
      </w:r>
      <w:r w:rsidRPr="007C5B54">
        <w:rPr>
          <w:color w:val="auto"/>
        </w:rPr>
        <w:t>System Center Server Management Suite Enterprise</w:t>
      </w:r>
      <w:r w:rsidRPr="007C5B54">
        <w:rPr>
          <w:color w:val="auto"/>
        </w:rPr>
        <w:tab/>
      </w:r>
      <w:r w:rsidRPr="007C5B54">
        <w:rPr>
          <w:color w:val="auto"/>
        </w:rPr>
        <w:fldChar w:fldCharType="begin"/>
      </w:r>
      <w:r w:rsidRPr="007C5B54">
        <w:rPr>
          <w:color w:val="auto"/>
        </w:rPr>
        <w:instrText xml:space="preserve"> PAGEREF _Toc361829437 \h </w:instrText>
      </w:r>
      <w:r w:rsidRPr="007C5B54">
        <w:rPr>
          <w:color w:val="auto"/>
        </w:rPr>
      </w:r>
      <w:r w:rsidRPr="007C5B54">
        <w:rPr>
          <w:color w:val="auto"/>
        </w:rPr>
        <w:fldChar w:fldCharType="separate"/>
      </w:r>
      <w:r w:rsidR="008E4487">
        <w:rPr>
          <w:color w:val="auto"/>
        </w:rPr>
        <w:t>189</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95 </w:t>
      </w:r>
      <w:r w:rsidRPr="007C5B54">
        <w:rPr>
          <w:color w:val="auto"/>
        </w:rPr>
        <w:t>System Center Server Management Suite Datacenter</w:t>
      </w:r>
      <w:r w:rsidRPr="007C5B54">
        <w:rPr>
          <w:color w:val="auto"/>
        </w:rPr>
        <w:tab/>
      </w:r>
      <w:r w:rsidRPr="007C5B54">
        <w:rPr>
          <w:color w:val="auto"/>
        </w:rPr>
        <w:fldChar w:fldCharType="begin"/>
      </w:r>
      <w:r w:rsidRPr="007C5B54">
        <w:rPr>
          <w:color w:val="auto"/>
        </w:rPr>
        <w:instrText xml:space="preserve"> PAGEREF _Toc361829438 \h </w:instrText>
      </w:r>
      <w:r w:rsidRPr="007C5B54">
        <w:rPr>
          <w:color w:val="auto"/>
        </w:rPr>
      </w:r>
      <w:r w:rsidRPr="007C5B54">
        <w:rPr>
          <w:color w:val="auto"/>
        </w:rPr>
        <w:fldChar w:fldCharType="separate"/>
      </w:r>
      <w:r w:rsidR="008E4487">
        <w:rPr>
          <w:color w:val="auto"/>
        </w:rPr>
        <w:t>190</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96</w:t>
      </w:r>
      <w:r w:rsidRPr="007C5B54">
        <w:rPr>
          <w:color w:val="auto"/>
        </w:rPr>
        <w:t xml:space="preserve"> System Center Virtual Machine Manager 2008 R2 – Licenças de Gerenciamento de Cliente e Servidor</w:t>
      </w:r>
      <w:r w:rsidRPr="007C5B54">
        <w:rPr>
          <w:color w:val="auto"/>
        </w:rPr>
        <w:tab/>
      </w:r>
      <w:r w:rsidRPr="007C5B54">
        <w:rPr>
          <w:color w:val="auto"/>
        </w:rPr>
        <w:fldChar w:fldCharType="begin"/>
      </w:r>
      <w:r w:rsidRPr="007C5B54">
        <w:rPr>
          <w:color w:val="auto"/>
        </w:rPr>
        <w:instrText xml:space="preserve"> PAGEREF _Toc361829439 \h </w:instrText>
      </w:r>
      <w:r w:rsidRPr="007C5B54">
        <w:rPr>
          <w:color w:val="auto"/>
        </w:rPr>
      </w:r>
      <w:r w:rsidRPr="007C5B54">
        <w:rPr>
          <w:color w:val="auto"/>
        </w:rPr>
        <w:fldChar w:fldCharType="separate"/>
      </w:r>
      <w:r w:rsidR="008E4487">
        <w:rPr>
          <w:color w:val="auto"/>
        </w:rPr>
        <w:t>191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97</w:t>
      </w:r>
      <w:r w:rsidRPr="007C5B54">
        <w:rPr>
          <w:color w:val="auto"/>
        </w:rPr>
        <w:t xml:space="preserve"> System Center 2012</w:t>
      </w:r>
      <w:r w:rsidRPr="007C5B54">
        <w:rPr>
          <w:color w:val="auto"/>
        </w:rPr>
        <w:tab/>
      </w:r>
      <w:r w:rsidRPr="007C5B54">
        <w:rPr>
          <w:color w:val="auto"/>
        </w:rPr>
        <w:fldChar w:fldCharType="begin"/>
      </w:r>
      <w:r w:rsidRPr="007C5B54">
        <w:rPr>
          <w:color w:val="auto"/>
        </w:rPr>
        <w:instrText xml:space="preserve"> PAGEREF _Toc361829440 \h </w:instrText>
      </w:r>
      <w:r w:rsidRPr="007C5B54">
        <w:rPr>
          <w:color w:val="auto"/>
        </w:rPr>
      </w:r>
      <w:r w:rsidRPr="007C5B54">
        <w:rPr>
          <w:color w:val="auto"/>
        </w:rPr>
        <w:fldChar w:fldCharType="separate"/>
      </w:r>
      <w:r w:rsidR="008E4487">
        <w:rPr>
          <w:color w:val="auto"/>
        </w:rPr>
        <w:t>191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98</w:t>
      </w:r>
      <w:r w:rsidRPr="007C5B54">
        <w:rPr>
          <w:color w:val="auto"/>
        </w:rPr>
        <w:t xml:space="preserve"> System Center 2012 Endpoint Protection</w:t>
      </w:r>
      <w:r w:rsidRPr="007C5B54">
        <w:rPr>
          <w:color w:val="auto"/>
        </w:rPr>
        <w:tab/>
      </w:r>
      <w:r w:rsidRPr="007C5B54">
        <w:rPr>
          <w:color w:val="auto"/>
        </w:rPr>
        <w:fldChar w:fldCharType="begin"/>
      </w:r>
      <w:r w:rsidRPr="007C5B54">
        <w:rPr>
          <w:color w:val="auto"/>
        </w:rPr>
        <w:instrText xml:space="preserve"> PAGEREF _Toc361829441 \h </w:instrText>
      </w:r>
      <w:r w:rsidRPr="007C5B54">
        <w:rPr>
          <w:color w:val="auto"/>
        </w:rPr>
      </w:r>
      <w:r w:rsidRPr="007C5B54">
        <w:rPr>
          <w:color w:val="auto"/>
        </w:rPr>
        <w:fldChar w:fldCharType="separate"/>
      </w:r>
      <w:r w:rsidR="008E4487">
        <w:rPr>
          <w:color w:val="auto"/>
        </w:rPr>
        <w:t>194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lastRenderedPageBreak/>
        <w:t>99</w:t>
      </w:r>
      <w:r w:rsidRPr="007C5B54">
        <w:rPr>
          <w:color w:val="auto"/>
        </w:rPr>
        <w:t xml:space="preserve"> TechNet Plus Single User</w:t>
      </w:r>
      <w:r w:rsidRPr="007C5B54">
        <w:rPr>
          <w:color w:val="auto"/>
        </w:rPr>
        <w:tab/>
      </w:r>
      <w:r w:rsidRPr="007C5B54">
        <w:rPr>
          <w:color w:val="auto"/>
        </w:rPr>
        <w:fldChar w:fldCharType="begin"/>
      </w:r>
      <w:r w:rsidRPr="007C5B54">
        <w:rPr>
          <w:color w:val="auto"/>
        </w:rPr>
        <w:instrText xml:space="preserve"> PAGEREF _Toc361829442 \h </w:instrText>
      </w:r>
      <w:r w:rsidRPr="007C5B54">
        <w:rPr>
          <w:color w:val="auto"/>
        </w:rPr>
      </w:r>
      <w:r w:rsidRPr="007C5B54">
        <w:rPr>
          <w:color w:val="auto"/>
        </w:rPr>
        <w:fldChar w:fldCharType="separate"/>
      </w:r>
      <w:r w:rsidR="008E4487">
        <w:rPr>
          <w:color w:val="auto"/>
        </w:rPr>
        <w:t>195</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100 </w:t>
      </w:r>
      <w:r w:rsidRPr="007C5B54">
        <w:rPr>
          <w:color w:val="auto"/>
        </w:rPr>
        <w:t>VDI Pacotes Standard e Premium</w:t>
      </w:r>
      <w:r w:rsidRPr="007C5B54">
        <w:rPr>
          <w:color w:val="auto"/>
        </w:rPr>
        <w:tab/>
      </w:r>
      <w:r w:rsidRPr="007C5B54">
        <w:rPr>
          <w:color w:val="auto"/>
        </w:rPr>
        <w:fldChar w:fldCharType="begin"/>
      </w:r>
      <w:r w:rsidRPr="007C5B54">
        <w:rPr>
          <w:color w:val="auto"/>
        </w:rPr>
        <w:instrText xml:space="preserve"> PAGEREF _Toc361829443 \h </w:instrText>
      </w:r>
      <w:r w:rsidRPr="007C5B54">
        <w:rPr>
          <w:color w:val="auto"/>
        </w:rPr>
      </w:r>
      <w:r w:rsidRPr="007C5B54">
        <w:rPr>
          <w:color w:val="auto"/>
        </w:rPr>
        <w:fldChar w:fldCharType="separate"/>
      </w:r>
      <w:r w:rsidR="008E4487">
        <w:rPr>
          <w:color w:val="auto"/>
        </w:rPr>
        <w:t>195</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101 </w:t>
      </w:r>
      <w:r w:rsidRPr="007C5B54">
        <w:rPr>
          <w:rFonts w:cs="Tahoma"/>
        </w:rPr>
        <w:t>Serviços do Windows Azure</w:t>
      </w:r>
      <w:r w:rsidRPr="007C5B54">
        <w:tab/>
      </w:r>
      <w:r w:rsidRPr="007C5B54">
        <w:fldChar w:fldCharType="begin"/>
      </w:r>
      <w:r w:rsidRPr="007C5B54">
        <w:instrText xml:space="preserve"> PAGEREF _Toc361829444 \h </w:instrText>
      </w:r>
      <w:r w:rsidRPr="007C5B54">
        <w:fldChar w:fldCharType="separate"/>
      </w:r>
      <w:r w:rsidR="008E4487">
        <w:t>195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spacing w:val="-4"/>
          <w:vertAlign w:val="superscript"/>
        </w:rPr>
        <w:t>102</w:t>
      </w:r>
      <w:r w:rsidRPr="007C5B54">
        <w:rPr>
          <w:rFonts w:cs="Tahoma"/>
          <w:spacing w:val="-4"/>
        </w:rPr>
        <w:t xml:space="preserve"> Windows Embedded Device Manager 2011 – Licença do Servidor de Gerenciamento</w:t>
      </w:r>
      <w:r w:rsidRPr="007C5B54">
        <w:tab/>
      </w:r>
      <w:r w:rsidRPr="007C5B54">
        <w:fldChar w:fldCharType="begin"/>
      </w:r>
      <w:r w:rsidRPr="007C5B54">
        <w:instrText xml:space="preserve"> PAGEREF _Toc361829445 \h </w:instrText>
      </w:r>
      <w:r w:rsidRPr="007C5B54">
        <w:fldChar w:fldCharType="separate"/>
      </w:r>
      <w:r w:rsidR="008E4487">
        <w:t>196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spacing w:val="-2"/>
          <w:vertAlign w:val="superscript"/>
        </w:rPr>
        <w:t>103</w:t>
      </w:r>
      <w:r w:rsidRPr="007C5B54">
        <w:rPr>
          <w:rFonts w:cs="Tahoma"/>
          <w:spacing w:val="-2"/>
        </w:rPr>
        <w:t xml:space="preserve"> Windows Embedded Device Manager 2011 – Licença de Gerenciamento de Clientes</w:t>
      </w:r>
      <w:r w:rsidRPr="007C5B54">
        <w:tab/>
      </w:r>
      <w:r w:rsidRPr="007C5B54">
        <w:fldChar w:fldCharType="begin"/>
      </w:r>
      <w:r w:rsidRPr="007C5B54">
        <w:instrText xml:space="preserve"> PAGEREF _Toc361829446 \h </w:instrText>
      </w:r>
      <w:r w:rsidRPr="007C5B54">
        <w:fldChar w:fldCharType="separate"/>
      </w:r>
      <w:r w:rsidR="008E4487">
        <w:t>196</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104 </w:t>
      </w:r>
      <w:r w:rsidRPr="007C5B54">
        <w:rPr>
          <w:color w:val="auto"/>
        </w:rPr>
        <w:t>Windows EBS 2008 Standard e EBS 2008 Premium</w:t>
      </w:r>
      <w:r w:rsidRPr="007C5B54">
        <w:rPr>
          <w:color w:val="auto"/>
        </w:rPr>
        <w:tab/>
      </w:r>
      <w:r w:rsidRPr="007C5B54">
        <w:rPr>
          <w:color w:val="auto"/>
        </w:rPr>
        <w:fldChar w:fldCharType="begin"/>
      </w:r>
      <w:r w:rsidRPr="007C5B54">
        <w:rPr>
          <w:color w:val="auto"/>
        </w:rPr>
        <w:instrText xml:space="preserve"> PAGEREF _Toc361829447 \h </w:instrText>
      </w:r>
      <w:r w:rsidRPr="007C5B54">
        <w:rPr>
          <w:color w:val="auto"/>
        </w:rPr>
      </w:r>
      <w:r w:rsidRPr="007C5B54">
        <w:rPr>
          <w:color w:val="auto"/>
        </w:rPr>
        <w:fldChar w:fldCharType="separate"/>
      </w:r>
      <w:r w:rsidR="008E4487">
        <w:rPr>
          <w:color w:val="auto"/>
        </w:rPr>
        <w:t>197</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105 </w:t>
      </w:r>
      <w:r w:rsidRPr="007C5B54">
        <w:rPr>
          <w:color w:val="auto"/>
        </w:rPr>
        <w:t>Windows HPC Server 2008 R2 Suite</w:t>
      </w:r>
      <w:r w:rsidRPr="007C5B54">
        <w:rPr>
          <w:color w:val="auto"/>
        </w:rPr>
        <w:tab/>
      </w:r>
      <w:r w:rsidRPr="007C5B54">
        <w:rPr>
          <w:color w:val="auto"/>
        </w:rPr>
        <w:fldChar w:fldCharType="begin"/>
      </w:r>
      <w:r w:rsidRPr="007C5B54">
        <w:rPr>
          <w:color w:val="auto"/>
        </w:rPr>
        <w:instrText xml:space="preserve"> PAGEREF _Toc361829448 \h </w:instrText>
      </w:r>
      <w:r w:rsidRPr="007C5B54">
        <w:rPr>
          <w:color w:val="auto"/>
        </w:rPr>
      </w:r>
      <w:r w:rsidRPr="007C5B54">
        <w:rPr>
          <w:color w:val="auto"/>
        </w:rPr>
        <w:fldChar w:fldCharType="separate"/>
      </w:r>
      <w:r w:rsidR="008E4487">
        <w:rPr>
          <w:color w:val="auto"/>
        </w:rPr>
        <w:t>199</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106 </w:t>
      </w:r>
      <w:r w:rsidRPr="007C5B54">
        <w:rPr>
          <w:rFonts w:cs="Tahoma"/>
        </w:rPr>
        <w:t>Windows Multipoint Server 2012 Standard</w:t>
      </w:r>
      <w:r w:rsidRPr="007C5B54">
        <w:tab/>
      </w:r>
      <w:r w:rsidRPr="007C5B54">
        <w:fldChar w:fldCharType="begin"/>
      </w:r>
      <w:r w:rsidRPr="007C5B54">
        <w:instrText xml:space="preserve"> PAGEREF _Toc361829449 \h </w:instrText>
      </w:r>
      <w:r w:rsidRPr="007C5B54">
        <w:fldChar w:fldCharType="separate"/>
      </w:r>
      <w:r w:rsidR="008E4487">
        <w:t>200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107 </w:t>
      </w:r>
      <w:r w:rsidRPr="007C5B54">
        <w:rPr>
          <w:rFonts w:cs="Tahoma"/>
        </w:rPr>
        <w:t>Windows Multipoint Server 2012 Premium</w:t>
      </w:r>
      <w:r w:rsidRPr="007C5B54">
        <w:tab/>
      </w:r>
      <w:r w:rsidRPr="007C5B54">
        <w:fldChar w:fldCharType="begin"/>
      </w:r>
      <w:r w:rsidRPr="007C5B54">
        <w:instrText xml:space="preserve"> PAGEREF _Toc361829450 \h </w:instrText>
      </w:r>
      <w:r w:rsidRPr="007C5B54">
        <w:fldChar w:fldCharType="separate"/>
      </w:r>
      <w:r w:rsidR="008E4487">
        <w:t>200</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108</w:t>
      </w:r>
      <w:r w:rsidRPr="007C5B54">
        <w:rPr>
          <w:rFonts w:cs="Tahoma"/>
        </w:rPr>
        <w:t xml:space="preserve"> CAL do Windows Multipoint Server 2012</w:t>
      </w:r>
      <w:r w:rsidRPr="007C5B54">
        <w:tab/>
      </w:r>
      <w:r w:rsidRPr="007C5B54">
        <w:fldChar w:fldCharType="begin"/>
      </w:r>
      <w:r w:rsidRPr="007C5B54">
        <w:instrText xml:space="preserve"> PAGEREF _Toc361829451 \h </w:instrText>
      </w:r>
      <w:r w:rsidRPr="007C5B54">
        <w:fldChar w:fldCharType="separate"/>
      </w:r>
      <w:r w:rsidR="008E4487">
        <w:t>200</w:t>
      </w:r>
      <w:r w:rsidRPr="007C5B54">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109</w:t>
      </w:r>
      <w:r w:rsidRPr="007C5B54">
        <w:rPr>
          <w:color w:val="auto"/>
        </w:rPr>
        <w:t xml:space="preserve"> Windows Server 2008 R2 HPC Edition</w:t>
      </w:r>
      <w:r w:rsidRPr="007C5B54">
        <w:rPr>
          <w:color w:val="auto"/>
        </w:rPr>
        <w:tab/>
      </w:r>
      <w:r w:rsidRPr="007C5B54">
        <w:rPr>
          <w:color w:val="auto"/>
        </w:rPr>
        <w:fldChar w:fldCharType="begin"/>
      </w:r>
      <w:r w:rsidRPr="007C5B54">
        <w:rPr>
          <w:color w:val="auto"/>
        </w:rPr>
        <w:instrText xml:space="preserve"> PAGEREF _Toc361829452 \h </w:instrText>
      </w:r>
      <w:r w:rsidRPr="007C5B54">
        <w:rPr>
          <w:color w:val="auto"/>
        </w:rPr>
      </w:r>
      <w:r w:rsidRPr="007C5B54">
        <w:rPr>
          <w:color w:val="auto"/>
        </w:rPr>
        <w:fldChar w:fldCharType="separate"/>
      </w:r>
      <w:r w:rsidR="008E4487">
        <w:rPr>
          <w:color w:val="auto"/>
        </w:rPr>
        <w:t>200</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110</w:t>
      </w:r>
      <w:r w:rsidRPr="007C5B54">
        <w:rPr>
          <w:color w:val="auto"/>
        </w:rPr>
        <w:t xml:space="preserve"> Windows Server 2008 R2 Enterprise</w:t>
      </w:r>
      <w:r w:rsidRPr="007C5B54">
        <w:rPr>
          <w:color w:val="auto"/>
        </w:rPr>
        <w:tab/>
      </w:r>
      <w:r w:rsidRPr="007C5B54">
        <w:rPr>
          <w:color w:val="auto"/>
        </w:rPr>
        <w:fldChar w:fldCharType="begin"/>
      </w:r>
      <w:r w:rsidRPr="007C5B54">
        <w:rPr>
          <w:color w:val="auto"/>
        </w:rPr>
        <w:instrText xml:space="preserve"> PAGEREF _Toc361829453 \h </w:instrText>
      </w:r>
      <w:r w:rsidRPr="007C5B54">
        <w:rPr>
          <w:color w:val="auto"/>
        </w:rPr>
      </w:r>
      <w:r w:rsidRPr="007C5B54">
        <w:rPr>
          <w:color w:val="auto"/>
        </w:rPr>
        <w:fldChar w:fldCharType="separate"/>
      </w:r>
      <w:r w:rsidR="008E4487">
        <w:rPr>
          <w:color w:val="auto"/>
        </w:rPr>
        <w:t>201</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111 </w:t>
      </w:r>
      <w:r w:rsidRPr="007C5B54">
        <w:rPr>
          <w:color w:val="auto"/>
        </w:rPr>
        <w:t>Windows Server 2008 R2 para Sistemas Baseados em Itanium</w:t>
      </w:r>
      <w:r w:rsidRPr="007C5B54">
        <w:rPr>
          <w:color w:val="auto"/>
        </w:rPr>
        <w:tab/>
      </w:r>
      <w:r w:rsidRPr="007C5B54">
        <w:rPr>
          <w:color w:val="auto"/>
        </w:rPr>
        <w:fldChar w:fldCharType="begin"/>
      </w:r>
      <w:r w:rsidRPr="007C5B54">
        <w:rPr>
          <w:color w:val="auto"/>
        </w:rPr>
        <w:instrText xml:space="preserve"> PAGEREF _Toc361829454 \h </w:instrText>
      </w:r>
      <w:r w:rsidRPr="007C5B54">
        <w:rPr>
          <w:color w:val="auto"/>
        </w:rPr>
      </w:r>
      <w:r w:rsidRPr="007C5B54">
        <w:rPr>
          <w:color w:val="auto"/>
        </w:rPr>
        <w:fldChar w:fldCharType="separate"/>
      </w:r>
      <w:r w:rsidR="008E4487">
        <w:rPr>
          <w:color w:val="auto"/>
        </w:rPr>
        <w:t>202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112 </w:t>
      </w:r>
      <w:r w:rsidRPr="007C5B54">
        <w:rPr>
          <w:color w:val="auto"/>
        </w:rPr>
        <w:t>Windows Server 2012 CAL</w:t>
      </w:r>
      <w:r w:rsidRPr="007C5B54">
        <w:rPr>
          <w:color w:val="auto"/>
        </w:rPr>
        <w:tab/>
      </w:r>
      <w:r w:rsidRPr="007C5B54">
        <w:rPr>
          <w:color w:val="auto"/>
        </w:rPr>
        <w:fldChar w:fldCharType="begin"/>
      </w:r>
      <w:r w:rsidRPr="007C5B54">
        <w:rPr>
          <w:color w:val="auto"/>
        </w:rPr>
        <w:instrText xml:space="preserve"> PAGEREF _Toc361829455 \h </w:instrText>
      </w:r>
      <w:r w:rsidRPr="007C5B54">
        <w:rPr>
          <w:color w:val="auto"/>
        </w:rPr>
      </w:r>
      <w:r w:rsidRPr="007C5B54">
        <w:rPr>
          <w:color w:val="auto"/>
        </w:rPr>
        <w:fldChar w:fldCharType="separate"/>
      </w:r>
      <w:r w:rsidR="008E4487">
        <w:rPr>
          <w:color w:val="auto"/>
        </w:rPr>
        <w:t>202</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113 </w:t>
      </w:r>
      <w:r w:rsidRPr="007C5B54">
        <w:rPr>
          <w:color w:val="auto"/>
        </w:rPr>
        <w:t>Windows Server 2008 R2 Datacenter</w:t>
      </w:r>
      <w:r w:rsidRPr="007C5B54">
        <w:rPr>
          <w:color w:val="auto"/>
        </w:rPr>
        <w:tab/>
      </w:r>
      <w:r w:rsidRPr="007C5B54">
        <w:rPr>
          <w:color w:val="auto"/>
        </w:rPr>
        <w:fldChar w:fldCharType="begin"/>
      </w:r>
      <w:r w:rsidRPr="007C5B54">
        <w:rPr>
          <w:color w:val="auto"/>
        </w:rPr>
        <w:instrText xml:space="preserve"> PAGEREF _Toc361829456 \h </w:instrText>
      </w:r>
      <w:r w:rsidRPr="007C5B54">
        <w:rPr>
          <w:color w:val="auto"/>
        </w:rPr>
      </w:r>
      <w:r w:rsidRPr="007C5B54">
        <w:rPr>
          <w:color w:val="auto"/>
        </w:rPr>
        <w:fldChar w:fldCharType="separate"/>
      </w:r>
      <w:r w:rsidR="008E4487">
        <w:rPr>
          <w:color w:val="auto"/>
        </w:rPr>
        <w:t>203</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 xml:space="preserve">114 </w:t>
      </w:r>
      <w:r w:rsidRPr="007C5B54">
        <w:rPr>
          <w:color w:val="auto"/>
        </w:rPr>
        <w:t>Windows Server 2008 R2 Standard</w:t>
      </w:r>
      <w:r w:rsidRPr="007C5B54">
        <w:rPr>
          <w:color w:val="auto"/>
        </w:rPr>
        <w:tab/>
      </w:r>
      <w:r w:rsidRPr="007C5B54">
        <w:rPr>
          <w:color w:val="auto"/>
        </w:rPr>
        <w:fldChar w:fldCharType="begin"/>
      </w:r>
      <w:r w:rsidRPr="007C5B54">
        <w:rPr>
          <w:color w:val="auto"/>
        </w:rPr>
        <w:instrText xml:space="preserve"> PAGEREF _Toc361829457 \h </w:instrText>
      </w:r>
      <w:r w:rsidRPr="007C5B54">
        <w:rPr>
          <w:color w:val="auto"/>
        </w:rPr>
      </w:r>
      <w:r w:rsidRPr="007C5B54">
        <w:rPr>
          <w:color w:val="auto"/>
        </w:rPr>
        <w:fldChar w:fldCharType="separate"/>
      </w:r>
      <w:r w:rsidR="008E4487">
        <w:rPr>
          <w:color w:val="auto"/>
        </w:rPr>
        <w:t>204</w:t>
      </w:r>
      <w:r w:rsidRPr="007C5B54">
        <w:rPr>
          <w:color w:val="auto"/>
        </w:rPr>
        <w:fldChar w:fldCharType="end"/>
      </w:r>
    </w:p>
    <w:p w:rsidR="0081625E" w:rsidRPr="007C5B54" w:rsidRDefault="0081625E" w:rsidP="00EE70D8">
      <w:pPr>
        <w:pStyle w:val="TOC3"/>
        <w:rPr>
          <w:rFonts w:asciiTheme="minorHAnsi" w:eastAsiaTheme="minorEastAsia" w:hAnsiTheme="minorHAnsi" w:cstheme="minorBidi"/>
          <w:color w:val="auto"/>
          <w:sz w:val="22"/>
          <w:szCs w:val="22"/>
        </w:rPr>
      </w:pPr>
      <w:r w:rsidRPr="007C5B54">
        <w:rPr>
          <w:caps/>
          <w:color w:val="auto"/>
          <w:vertAlign w:val="superscript"/>
        </w:rPr>
        <w:t>115</w:t>
      </w:r>
      <w:r w:rsidRPr="007C5B54">
        <w:rPr>
          <w:color w:val="auto"/>
        </w:rPr>
        <w:t xml:space="preserve"> Windows Web Server</w:t>
      </w:r>
      <w:r w:rsidRPr="007C5B54">
        <w:rPr>
          <w:color w:val="auto"/>
          <w:vertAlign w:val="superscript"/>
        </w:rPr>
        <w:t>®</w:t>
      </w:r>
      <w:r w:rsidRPr="007C5B54">
        <w:rPr>
          <w:color w:val="auto"/>
        </w:rPr>
        <w:t xml:space="preserve"> 2008 R2</w:t>
      </w:r>
      <w:r w:rsidRPr="007C5B54">
        <w:rPr>
          <w:color w:val="auto"/>
        </w:rPr>
        <w:tab/>
      </w:r>
      <w:r w:rsidRPr="007C5B54">
        <w:rPr>
          <w:color w:val="auto"/>
        </w:rPr>
        <w:fldChar w:fldCharType="begin"/>
      </w:r>
      <w:r w:rsidRPr="007C5B54">
        <w:rPr>
          <w:color w:val="auto"/>
        </w:rPr>
        <w:instrText xml:space="preserve"> PAGEREF _Toc361829458 \h </w:instrText>
      </w:r>
      <w:r w:rsidRPr="007C5B54">
        <w:rPr>
          <w:color w:val="auto"/>
        </w:rPr>
      </w:r>
      <w:r w:rsidRPr="007C5B54">
        <w:rPr>
          <w:color w:val="auto"/>
        </w:rPr>
        <w:fldChar w:fldCharType="separate"/>
      </w:r>
      <w:r w:rsidR="008E4487">
        <w:rPr>
          <w:color w:val="auto"/>
        </w:rPr>
        <w:t>205</w:t>
      </w:r>
      <w:r w:rsidRPr="007C5B54">
        <w:rPr>
          <w:color w:val="auto"/>
        </w:rPr>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116</w:t>
      </w:r>
      <w:r w:rsidRPr="007C5B54">
        <w:rPr>
          <w:rFonts w:cs="Tahoma"/>
        </w:rPr>
        <w:t xml:space="preserve"> Windows Small Business Server (SBS) 2008 Premium</w:t>
      </w:r>
      <w:r w:rsidRPr="007C5B54">
        <w:tab/>
      </w:r>
      <w:r w:rsidRPr="007C5B54">
        <w:fldChar w:fldCharType="begin"/>
      </w:r>
      <w:r w:rsidRPr="007C5B54">
        <w:instrText xml:space="preserve"> PAGEREF _Toc361829459 \h </w:instrText>
      </w:r>
      <w:r w:rsidRPr="007C5B54">
        <w:fldChar w:fldCharType="separate"/>
      </w:r>
      <w:r w:rsidR="008E4487">
        <w:t>205</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 xml:space="preserve">117 </w:t>
      </w:r>
      <w:r w:rsidRPr="007C5B54">
        <w:rPr>
          <w:rFonts w:cs="Tahoma"/>
        </w:rPr>
        <w:t>Windows Small Business Server (SBS) 2011 CAL Suite</w:t>
      </w:r>
      <w:r w:rsidRPr="007C5B54">
        <w:tab/>
      </w:r>
      <w:r w:rsidRPr="007C5B54">
        <w:fldChar w:fldCharType="begin"/>
      </w:r>
      <w:r w:rsidRPr="007C5B54">
        <w:instrText xml:space="preserve"> PAGEREF _Toc361829460 \h </w:instrText>
      </w:r>
      <w:r w:rsidRPr="007C5B54">
        <w:fldChar w:fldCharType="separate"/>
      </w:r>
      <w:r w:rsidR="008E4487">
        <w:t>206</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caps/>
          <w:vertAlign w:val="superscript"/>
        </w:rPr>
        <w:t>118</w:t>
      </w:r>
      <w:r w:rsidRPr="007C5B54">
        <w:rPr>
          <w:rFonts w:cs="Tahoma"/>
        </w:rPr>
        <w:t xml:space="preserve"> Pacote de CALs Complementares do Windows Small Business Server (SBS) 2011 Premium</w:t>
      </w:r>
      <w:r w:rsidRPr="007C5B54">
        <w:tab/>
      </w:r>
      <w:r w:rsidRPr="007C5B54">
        <w:fldChar w:fldCharType="begin"/>
      </w:r>
      <w:r w:rsidRPr="007C5B54">
        <w:instrText xml:space="preserve"> PAGEREF _Toc361829461 \h </w:instrText>
      </w:r>
      <w:r w:rsidRPr="007C5B54">
        <w:fldChar w:fldCharType="separate"/>
      </w:r>
      <w:r w:rsidR="008E4487">
        <w:t>207</w:t>
      </w:r>
      <w:r w:rsidRPr="007C5B54">
        <w:fldChar w:fldCharType="end"/>
      </w:r>
    </w:p>
    <w:p w:rsidR="0081625E" w:rsidRPr="007C5B54" w:rsidRDefault="0081625E">
      <w:pPr>
        <w:pStyle w:val="TOC2"/>
        <w:rPr>
          <w:rFonts w:asciiTheme="minorHAnsi" w:eastAsiaTheme="minorEastAsia" w:hAnsiTheme="minorHAnsi" w:cstheme="minorBidi"/>
          <w:sz w:val="22"/>
          <w:szCs w:val="22"/>
        </w:rPr>
      </w:pPr>
      <w:r w:rsidRPr="007C5B54">
        <w:rPr>
          <w:rFonts w:cs="Tahoma"/>
          <w:vertAlign w:val="superscript"/>
        </w:rPr>
        <w:t xml:space="preserve">119 </w:t>
      </w:r>
      <w:r w:rsidRPr="007C5B54">
        <w:rPr>
          <w:rFonts w:cs="Tahoma"/>
        </w:rPr>
        <w:t>Windows Small Business Server 2011 Essentials</w:t>
      </w:r>
      <w:r w:rsidRPr="007C5B54">
        <w:tab/>
      </w:r>
      <w:r w:rsidRPr="007C5B54">
        <w:fldChar w:fldCharType="begin"/>
      </w:r>
      <w:r w:rsidRPr="007C5B54">
        <w:instrText xml:space="preserve"> PAGEREF _Toc361829462 \h </w:instrText>
      </w:r>
      <w:r w:rsidRPr="007C5B54">
        <w:fldChar w:fldCharType="separate"/>
      </w:r>
      <w:r w:rsidR="008E4487">
        <w:t>208</w:t>
      </w:r>
      <w:r w:rsidRPr="007C5B54">
        <w:fldChar w:fldCharType="end"/>
      </w:r>
    </w:p>
    <w:p w:rsidR="007E0CC6" w:rsidRPr="000A1C8E" w:rsidRDefault="003D47E7" w:rsidP="00461CA9">
      <w:pPr>
        <w:pStyle w:val="TOC4"/>
        <w:tabs>
          <w:tab w:val="clear" w:pos="9360"/>
          <w:tab w:val="center" w:pos="4680"/>
        </w:tabs>
        <w:rPr>
          <w:rFonts w:cs="Tahoma"/>
        </w:rPr>
      </w:pPr>
      <w:r w:rsidRPr="007C5B54">
        <w:rPr>
          <w:rFonts w:cs="Tahoma"/>
          <w:szCs w:val="18"/>
        </w:rPr>
        <w:fldChar w:fldCharType="end"/>
      </w:r>
    </w:p>
    <w:p w:rsidR="00023FE7" w:rsidRPr="000A1C8E" w:rsidRDefault="00ED3854" w:rsidP="007E0CC6">
      <w:pPr>
        <w:pStyle w:val="Heading2"/>
        <w:rPr>
          <w:rFonts w:ascii="Tahoma" w:hAnsi="Tahoma" w:cs="Tahoma"/>
          <w:sz w:val="36"/>
          <w:szCs w:val="36"/>
        </w:rPr>
      </w:pPr>
      <w:bookmarkStart w:id="6" w:name="_Toc246850065"/>
      <w:r w:rsidRPr="000A1C8E">
        <w:rPr>
          <w:rFonts w:ascii="Tahoma" w:hAnsi="Tahoma" w:cs="Tahoma"/>
          <w:sz w:val="36"/>
          <w:szCs w:val="36"/>
        </w:rPr>
        <w:br w:type="page"/>
      </w:r>
      <w:bookmarkStart w:id="7" w:name="_Toc336337840"/>
      <w:bookmarkStart w:id="8" w:name="_Toc361828944"/>
      <w:r w:rsidRPr="000A1C8E">
        <w:rPr>
          <w:rFonts w:ascii="Tahoma" w:hAnsi="Tahoma" w:cs="Tahoma"/>
          <w:sz w:val="36"/>
          <w:szCs w:val="36"/>
        </w:rPr>
        <w:lastRenderedPageBreak/>
        <w:t>Legenda da Tabela</w:t>
      </w:r>
      <w:bookmarkEnd w:id="6"/>
      <w:bookmarkEnd w:id="7"/>
      <w:bookmarkEnd w:id="8"/>
    </w:p>
    <w:p w:rsidR="00023FE7" w:rsidRPr="000A1C8E" w:rsidRDefault="00023FE7">
      <w:pPr>
        <w:pStyle w:val="ChartKeyHeadings"/>
        <w:ind w:right="-180"/>
        <w:rPr>
          <w:rFonts w:ascii="Tahoma" w:hAnsi="Tahoma" w:cs="Tahoma"/>
          <w:sz w:val="18"/>
          <w:szCs w:val="18"/>
        </w:rPr>
      </w:pPr>
    </w:p>
    <w:p w:rsidR="00023FE7" w:rsidRPr="000A1C8E" w:rsidRDefault="00023FE7">
      <w:pPr>
        <w:pStyle w:val="ChartKeyHeadings"/>
        <w:ind w:right="-180"/>
        <w:rPr>
          <w:rFonts w:ascii="Tahoma" w:hAnsi="Tahoma" w:cs="Tahoma"/>
        </w:rPr>
      </w:pPr>
      <w:r w:rsidRPr="000A1C8E">
        <w:rPr>
          <w:rFonts w:ascii="Tahoma" w:hAnsi="Tahoma" w:cs="Tahoma"/>
          <w:szCs w:val="24"/>
        </w:rPr>
        <w:t>Títulos das colunas</w:t>
      </w:r>
    </w:p>
    <w:p w:rsidR="00023FE7" w:rsidRPr="000A1C8E" w:rsidRDefault="00023FE7">
      <w:pPr>
        <w:pStyle w:val="ChartKeyHeadings"/>
        <w:ind w:right="-180"/>
        <w:rPr>
          <w:rFonts w:ascii="Tahoma" w:hAnsi="Tahoma" w:cs="Tahoma"/>
          <w:sz w:val="18"/>
          <w:szCs w:val="18"/>
        </w:rPr>
      </w:pPr>
    </w:p>
    <w:p w:rsidR="00664EE9" w:rsidRPr="000A1C8E" w:rsidRDefault="00664EE9" w:rsidP="00664EE9">
      <w:pPr>
        <w:pStyle w:val="Bodywithspace"/>
        <w:spacing w:before="0" w:after="0" w:line="276" w:lineRule="auto"/>
        <w:ind w:right="-180"/>
        <w:rPr>
          <w:rFonts w:ascii="Tahoma" w:hAnsi="Tahoma" w:cs="Tahoma"/>
        </w:rPr>
      </w:pPr>
      <w:r w:rsidRPr="000A1C8E">
        <w:rPr>
          <w:rStyle w:val="BodyChar"/>
          <w:rFonts w:ascii="Tahoma" w:hAnsi="Tahoma" w:cs="Tahoma"/>
          <w:b/>
          <w:color w:val="000000"/>
          <w:sz w:val="18"/>
          <w:szCs w:val="18"/>
        </w:rPr>
        <w:t>Unidades Campus e School =</w:t>
      </w:r>
      <w:r w:rsidRPr="000A1C8E">
        <w:rPr>
          <w:rFonts w:ascii="Tahoma" w:hAnsi="Tahoma" w:cs="Tahoma"/>
          <w:color w:val="000000"/>
          <w:sz w:val="18"/>
          <w:szCs w:val="18"/>
        </w:rPr>
        <w:t xml:space="preserve"> Os números mostrados nesta coluna representam unidades designadas quando o software é oferecido pelo Registro School de acordo com o Contrato Campus e School. Os produtos não são oferecidos nesses programas quando a coluna CA/SA está vazia.</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 xml:space="preserve">Data disponível = </w:t>
      </w:r>
      <w:r w:rsidRPr="000A1C8E">
        <w:rPr>
          <w:rStyle w:val="BodyChar"/>
          <w:rFonts w:ascii="Tahoma" w:hAnsi="Tahoma" w:cs="Tahoma"/>
          <w:sz w:val="18"/>
          <w:szCs w:val="18"/>
        </w:rPr>
        <w:t>Esta é a data em que um produto está disponível pela primeira vez,</w:t>
      </w:r>
      <w:r w:rsidRPr="000A1C8E">
        <w:rPr>
          <w:rStyle w:val="BodyChar"/>
          <w:rFonts w:ascii="Tahoma" w:hAnsi="Tahoma" w:cs="Tahoma"/>
          <w:color w:val="000000"/>
          <w:sz w:val="18"/>
          <w:szCs w:val="18"/>
        </w:rPr>
        <w:t xml:space="preserve"> designada como mês/ano. </w:t>
      </w:r>
      <w:r w:rsidRPr="000A1C8E">
        <w:rPr>
          <w:rStyle w:val="BodyChar"/>
          <w:rFonts w:ascii="Tahoma" w:hAnsi="Tahoma" w:cs="Tahoma"/>
          <w:sz w:val="18"/>
          <w:szCs w:val="18"/>
        </w:rPr>
        <w:t>Trata-se da data em que a Microsoft coloca as licenças desse produto à disposição para solicitação ou coloca o software desse produto à disposição para download no Centro de Atendimento de Licenciamento por Volume (VLSC), o que ocorrer primeiro.</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EA (Contrato Enterprise) =</w:t>
      </w:r>
      <w:r w:rsidRPr="000A1C8E">
        <w:rPr>
          <w:rFonts w:ascii="Tahoma" w:hAnsi="Tahoma" w:cs="Tahoma"/>
          <w:sz w:val="18"/>
          <w:szCs w:val="18"/>
        </w:rPr>
        <w:t xml:space="preserve"> Contrato Enterprise 20xx.</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 xml:space="preserve">EA Sub (Contrato Enterprise Subscription) = </w:t>
      </w:r>
      <w:r w:rsidRPr="000A1C8E">
        <w:rPr>
          <w:rFonts w:ascii="Tahoma" w:hAnsi="Tahoma" w:cs="Tahoma"/>
          <w:sz w:val="18"/>
          <w:szCs w:val="18"/>
        </w:rPr>
        <w:t>Contrato Enterprise Subscription 200x.</w:t>
      </w:r>
      <w:r w:rsidR="00DC6D8B" w:rsidRPr="000A1C8E">
        <w:rPr>
          <w:rFonts w:ascii="Tahoma" w:hAnsi="Tahoma" w:cs="Tahoma"/>
          <w:sz w:val="18"/>
          <w:szCs w:val="18"/>
        </w:rPr>
        <w:t xml:space="preserve"> </w:t>
      </w:r>
    </w:p>
    <w:p w:rsidR="00456002" w:rsidRPr="000A1C8E" w:rsidRDefault="00456002" w:rsidP="00456002">
      <w:pPr>
        <w:pStyle w:val="Bodywithspace"/>
        <w:spacing w:before="0" w:after="0" w:line="276" w:lineRule="auto"/>
        <w:ind w:right="-180"/>
        <w:rPr>
          <w:rFonts w:ascii="Tahoma" w:hAnsi="Tahoma" w:cs="Tahoma"/>
        </w:rPr>
      </w:pPr>
      <w:r w:rsidRPr="000A1C8E">
        <w:rPr>
          <w:rStyle w:val="BodyChar"/>
          <w:rFonts w:ascii="Tahoma" w:hAnsi="Tahoma" w:cs="Tahoma"/>
          <w:b/>
          <w:sz w:val="18"/>
          <w:szCs w:val="18"/>
        </w:rPr>
        <w:t>Mínimo de Licenças Open =</w:t>
      </w:r>
      <w:r w:rsidRPr="000A1C8E">
        <w:rPr>
          <w:rFonts w:ascii="Tahoma" w:hAnsi="Tahoma" w:cs="Tahoma"/>
          <w:sz w:val="18"/>
          <w:szCs w:val="18"/>
        </w:rPr>
        <w:t xml:space="preserve"> Cada Licença conta unicamente como cinco Licenças para fins do pedido inicial mínimo nos programas Licença Open e/ou Open Value. O valor indica para qual programa essa condição está em vigor.</w:t>
      </w:r>
    </w:p>
    <w:p w:rsidR="00456002" w:rsidRPr="000A1C8E" w:rsidRDefault="00456002" w:rsidP="00456002">
      <w:pPr>
        <w:pStyle w:val="Bodywithspace"/>
        <w:spacing w:before="0" w:after="0" w:line="276" w:lineRule="auto"/>
        <w:ind w:right="-180"/>
        <w:rPr>
          <w:rFonts w:ascii="Tahoma" w:hAnsi="Tahoma" w:cs="Tahoma"/>
        </w:rPr>
      </w:pPr>
      <w:r w:rsidRPr="000A1C8E">
        <w:rPr>
          <w:rStyle w:val="BodyChar"/>
          <w:rFonts w:ascii="Tahoma" w:hAnsi="Tahoma" w:cs="Tahoma"/>
          <w:b/>
          <w:sz w:val="18"/>
          <w:szCs w:val="18"/>
        </w:rPr>
        <w:t>Licença Open =</w:t>
      </w:r>
      <w:r w:rsidRPr="000A1C8E">
        <w:rPr>
          <w:rFonts w:ascii="Tahoma" w:hAnsi="Tahoma" w:cs="Tahoma"/>
          <w:sz w:val="18"/>
          <w:szCs w:val="18"/>
        </w:rPr>
        <w:t xml:space="preserve"> O componente exclusivamente Licença Open dos Programas Open. A Licença Open inclui Licença Open, Licença Open para Academic, Licença Open para Government e Licença Open para Charity, onde estiverem disponíveis.</w:t>
      </w:r>
    </w:p>
    <w:p w:rsidR="00456002" w:rsidRPr="000A1C8E" w:rsidRDefault="00456002" w:rsidP="00456002">
      <w:pPr>
        <w:pStyle w:val="Bodywithspace"/>
        <w:spacing w:before="0" w:after="0" w:line="276" w:lineRule="auto"/>
        <w:ind w:right="-180"/>
        <w:rPr>
          <w:rFonts w:ascii="Tahoma" w:hAnsi="Tahoma" w:cs="Tahoma"/>
        </w:rPr>
      </w:pPr>
      <w:r w:rsidRPr="000A1C8E">
        <w:rPr>
          <w:rStyle w:val="BodyChar"/>
          <w:rFonts w:ascii="Tahoma" w:hAnsi="Tahoma" w:cs="Tahoma"/>
          <w:b/>
          <w:sz w:val="18"/>
          <w:szCs w:val="18"/>
        </w:rPr>
        <w:t>Open Value (OV) =</w:t>
      </w:r>
      <w:r w:rsidRPr="000A1C8E">
        <w:rPr>
          <w:rFonts w:ascii="Tahoma" w:hAnsi="Tahoma" w:cs="Tahoma"/>
          <w:sz w:val="18"/>
          <w:szCs w:val="18"/>
        </w:rPr>
        <w:t xml:space="preserve"> Open Value inclui Open Value e Open Value for Government.</w:t>
      </w:r>
    </w:p>
    <w:p w:rsidR="00456002" w:rsidRPr="000A1C8E" w:rsidRDefault="00456002" w:rsidP="00456002">
      <w:pPr>
        <w:pStyle w:val="Bodywithspace"/>
        <w:spacing w:before="0" w:after="0" w:line="276" w:lineRule="auto"/>
        <w:ind w:right="-180"/>
        <w:rPr>
          <w:rFonts w:ascii="Tahoma" w:hAnsi="Tahoma" w:cs="Tahoma"/>
        </w:rPr>
      </w:pPr>
      <w:r w:rsidRPr="000A1C8E">
        <w:rPr>
          <w:rStyle w:val="BodyChar"/>
          <w:rFonts w:ascii="Tahoma" w:hAnsi="Tahoma" w:cs="Tahoma"/>
          <w:b/>
          <w:sz w:val="18"/>
          <w:szCs w:val="18"/>
        </w:rPr>
        <w:t>Open Value Subscription (OVS) =</w:t>
      </w:r>
      <w:r w:rsidRPr="000A1C8E">
        <w:rPr>
          <w:rFonts w:ascii="Tahoma" w:hAnsi="Tahoma" w:cs="Tahoma"/>
          <w:sz w:val="18"/>
          <w:szCs w:val="18"/>
        </w:rPr>
        <w:t xml:space="preserve"> Open Value Subscription inclui Open Value Subscription e Open Value Subecription for Government. </w:t>
      </w:r>
    </w:p>
    <w:p w:rsidR="00456002" w:rsidRPr="000A1C8E" w:rsidRDefault="00456002" w:rsidP="00456002">
      <w:pPr>
        <w:pStyle w:val="Bodywithspace"/>
        <w:spacing w:before="0" w:after="0" w:line="276" w:lineRule="auto"/>
        <w:ind w:right="-180"/>
        <w:rPr>
          <w:rFonts w:ascii="Tahoma" w:hAnsi="Tahoma" w:cs="Tahoma"/>
        </w:rPr>
      </w:pPr>
      <w:r w:rsidRPr="000A1C8E">
        <w:rPr>
          <w:rStyle w:val="BodyChar"/>
          <w:rFonts w:ascii="Tahoma" w:hAnsi="Tahoma" w:cs="Tahoma"/>
          <w:b/>
          <w:sz w:val="18"/>
          <w:szCs w:val="18"/>
        </w:rPr>
        <w:t xml:space="preserve">EES/OVS-ES = </w:t>
      </w:r>
      <w:r w:rsidRPr="000A1C8E">
        <w:rPr>
          <w:rStyle w:val="BodyChar"/>
          <w:rFonts w:ascii="Tahoma" w:hAnsi="Tahoma" w:cs="Tahoma"/>
          <w:sz w:val="18"/>
          <w:szCs w:val="18"/>
        </w:rPr>
        <w:t>Enrollment for Education Solutions/Open Value Subscription – Education Solutions</w:t>
      </w:r>
    </w:p>
    <w:p w:rsidR="00456002" w:rsidRPr="000A1C8E" w:rsidRDefault="00456002" w:rsidP="00456002">
      <w:pPr>
        <w:pStyle w:val="Bodywithspace"/>
        <w:spacing w:before="0" w:after="0" w:line="276" w:lineRule="auto"/>
        <w:ind w:right="-180"/>
        <w:rPr>
          <w:rFonts w:ascii="Tahoma" w:hAnsi="Tahoma" w:cs="Tahoma"/>
        </w:rPr>
      </w:pPr>
      <w:r w:rsidRPr="000A1C8E">
        <w:rPr>
          <w:rStyle w:val="BodyChar"/>
          <w:rFonts w:ascii="Tahoma" w:hAnsi="Tahoma" w:cs="Tahoma"/>
          <w:b/>
          <w:sz w:val="18"/>
          <w:szCs w:val="18"/>
        </w:rPr>
        <w:t>Promoções e Migrações =</w:t>
      </w:r>
      <w:r w:rsidRPr="000A1C8E">
        <w:rPr>
          <w:rFonts w:ascii="Tahoma" w:hAnsi="Tahoma" w:cs="Tahoma"/>
          <w:sz w:val="18"/>
          <w:szCs w:val="18"/>
        </w:rPr>
        <w:t xml:space="preserve"> Há uma promoção ou migração de software disponível.</w:t>
      </w:r>
    </w:p>
    <w:p w:rsidR="00456002" w:rsidRPr="000A1C8E" w:rsidRDefault="00456002" w:rsidP="00456002">
      <w:pPr>
        <w:pStyle w:val="Bodywithspace"/>
        <w:spacing w:before="0" w:after="0" w:line="276" w:lineRule="auto"/>
        <w:ind w:right="-180"/>
        <w:rPr>
          <w:rFonts w:ascii="Tahoma" w:hAnsi="Tahoma" w:cs="Tahoma"/>
        </w:rPr>
      </w:pPr>
      <w:r w:rsidRPr="000A1C8E">
        <w:rPr>
          <w:rStyle w:val="BodyChar"/>
          <w:rFonts w:ascii="Tahoma" w:hAnsi="Tahoma" w:cs="Tahoma"/>
          <w:b/>
          <w:sz w:val="18"/>
          <w:szCs w:val="18"/>
        </w:rPr>
        <w:t>SAB =</w:t>
      </w:r>
      <w:r w:rsidRPr="000A1C8E">
        <w:rPr>
          <w:rFonts w:ascii="Tahoma" w:hAnsi="Tahoma" w:cs="Tahoma"/>
          <w:sz w:val="18"/>
          <w:szCs w:val="18"/>
        </w:rPr>
        <w:t xml:space="preserve"> Existem Benefícios do Software Assurance para clientes qualificados deste software.</w:t>
      </w:r>
    </w:p>
    <w:p w:rsidR="00456002" w:rsidRPr="000A1C8E" w:rsidRDefault="00456002" w:rsidP="00456002">
      <w:pPr>
        <w:pStyle w:val="Bodywithspace"/>
        <w:spacing w:before="0" w:after="0" w:line="276" w:lineRule="auto"/>
        <w:ind w:right="-180"/>
        <w:rPr>
          <w:rFonts w:ascii="Tahoma" w:hAnsi="Tahoma" w:cs="Tahoma"/>
        </w:rPr>
      </w:pPr>
      <w:r w:rsidRPr="000A1C8E">
        <w:rPr>
          <w:rStyle w:val="BodyChar"/>
          <w:rFonts w:ascii="Tahoma" w:hAnsi="Tahoma" w:cs="Tahoma"/>
          <w:b/>
          <w:sz w:val="18"/>
          <w:szCs w:val="18"/>
        </w:rPr>
        <w:t>Select =</w:t>
      </w:r>
      <w:r w:rsidRPr="000A1C8E">
        <w:rPr>
          <w:rFonts w:ascii="Tahoma" w:hAnsi="Tahoma" w:cs="Tahoma"/>
          <w:sz w:val="18"/>
          <w:szCs w:val="18"/>
        </w:rPr>
        <w:t xml:space="preserve"> Select 20xx. Também inclui Select para Academic e Select para Government.</w:t>
      </w:r>
    </w:p>
    <w:p w:rsidR="00456002" w:rsidRPr="000A1C8E" w:rsidRDefault="00456002" w:rsidP="000A1C8E">
      <w:pPr>
        <w:pStyle w:val="Bodywithspace"/>
        <w:spacing w:before="0" w:after="0" w:line="276" w:lineRule="auto"/>
        <w:ind w:right="-180"/>
        <w:rPr>
          <w:rFonts w:ascii="Tahoma" w:hAnsi="Tahoma" w:cs="Tahoma"/>
        </w:rPr>
      </w:pPr>
      <w:r w:rsidRPr="000A1C8E">
        <w:rPr>
          <w:rStyle w:val="BodyChar"/>
          <w:rFonts w:ascii="Tahoma" w:hAnsi="Tahoma" w:cs="Tahoma"/>
          <w:b/>
          <w:sz w:val="18"/>
          <w:szCs w:val="18"/>
        </w:rPr>
        <w:t>Select Plus</w:t>
      </w:r>
      <w:r w:rsidRPr="000A1C8E">
        <w:rPr>
          <w:rStyle w:val="BodyChar"/>
          <w:rFonts w:ascii="Tahoma" w:hAnsi="Tahoma" w:cs="Tahoma"/>
          <w:sz w:val="18"/>
          <w:szCs w:val="18"/>
        </w:rPr>
        <w:t xml:space="preserve"> = Select Plus 20xx.</w:t>
      </w:r>
      <w:r w:rsidR="00DC6D8B" w:rsidRPr="000A1C8E">
        <w:rPr>
          <w:rStyle w:val="BodyChar"/>
          <w:rFonts w:ascii="Tahoma" w:hAnsi="Tahoma" w:cs="Tahoma"/>
          <w:sz w:val="18"/>
          <w:szCs w:val="18"/>
        </w:rPr>
        <w:t xml:space="preserve"> </w:t>
      </w:r>
      <w:r w:rsidRPr="000A1C8E">
        <w:rPr>
          <w:rStyle w:val="BodyChar"/>
          <w:rFonts w:ascii="Tahoma" w:hAnsi="Tahoma" w:cs="Tahoma"/>
          <w:sz w:val="18"/>
          <w:szCs w:val="18"/>
        </w:rPr>
        <w:t>Também inclui Select Plus para Academic e Select Plus para Government.</w:t>
      </w:r>
    </w:p>
    <w:p w:rsidR="00023FE7" w:rsidRPr="000A1C8E" w:rsidRDefault="00023FE7">
      <w:pPr>
        <w:pStyle w:val="Bodywithspace"/>
        <w:spacing w:before="0" w:after="0"/>
        <w:ind w:right="-180"/>
        <w:rPr>
          <w:rFonts w:ascii="Tahoma" w:hAnsi="Tahoma" w:cs="Tahoma"/>
        </w:rPr>
      </w:pPr>
    </w:p>
    <w:p w:rsidR="00023FE7" w:rsidRPr="000A1C8E" w:rsidRDefault="00023FE7">
      <w:pPr>
        <w:pStyle w:val="ChartKeyHeadings"/>
        <w:ind w:right="-180"/>
        <w:rPr>
          <w:rFonts w:ascii="Tahoma" w:hAnsi="Tahoma" w:cs="Tahoma"/>
        </w:rPr>
      </w:pPr>
      <w:r w:rsidRPr="000A1C8E">
        <w:rPr>
          <w:rFonts w:ascii="Tahoma" w:hAnsi="Tahoma" w:cs="Tahoma"/>
          <w:szCs w:val="28"/>
        </w:rPr>
        <w:t>Valores das colunas</w:t>
      </w:r>
    </w:p>
    <w:p w:rsidR="00023FE7" w:rsidRPr="000A1C8E" w:rsidRDefault="00023FE7">
      <w:pPr>
        <w:pStyle w:val="ChartKeyHeadings"/>
        <w:ind w:right="-180"/>
        <w:rPr>
          <w:rFonts w:ascii="Tahoma" w:hAnsi="Tahoma" w:cs="Tahoma"/>
          <w:sz w:val="18"/>
          <w:szCs w:val="18"/>
        </w:rPr>
      </w:pP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 xml:space="preserve">1An = </w:t>
      </w:r>
      <w:r w:rsidRPr="000A1C8E">
        <w:rPr>
          <w:rFonts w:ascii="Tahoma" w:hAnsi="Tahoma" w:cs="Tahoma"/>
          <w:sz w:val="18"/>
          <w:szCs w:val="18"/>
        </w:rPr>
        <w:t>(resta 1 ano do prazo do contrato).</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2An =</w:t>
      </w:r>
      <w:r w:rsidRPr="000A1C8E">
        <w:rPr>
          <w:rFonts w:ascii="Tahoma" w:hAnsi="Tahoma" w:cs="Tahoma"/>
          <w:sz w:val="18"/>
          <w:szCs w:val="18"/>
        </w:rPr>
        <w:t xml:space="preserve"> (restam 2 anos do prazo do contrato).</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3An =</w:t>
      </w:r>
      <w:r w:rsidRPr="000A1C8E">
        <w:rPr>
          <w:rFonts w:ascii="Tahoma" w:hAnsi="Tahoma" w:cs="Tahoma"/>
          <w:sz w:val="18"/>
          <w:szCs w:val="18"/>
        </w:rPr>
        <w:t xml:space="preserve"> (restam 3 anos do prazo do contrato).</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A =</w:t>
      </w:r>
      <w:r w:rsidRPr="000A1C8E">
        <w:rPr>
          <w:rFonts w:ascii="Tahoma" w:hAnsi="Tahoma" w:cs="Tahoma"/>
          <w:sz w:val="18"/>
          <w:szCs w:val="18"/>
        </w:rPr>
        <w:t xml:space="preserve"> Indica que o software é oferecido como um produto adicional.</w:t>
      </w:r>
    </w:p>
    <w:p w:rsidR="009E22D0" w:rsidRPr="000A1C8E" w:rsidRDefault="009E22D0" w:rsidP="009E22D0">
      <w:pPr>
        <w:pStyle w:val="Bodywithspace"/>
        <w:spacing w:before="0" w:after="0" w:line="276" w:lineRule="auto"/>
        <w:ind w:right="-180"/>
        <w:rPr>
          <w:rFonts w:ascii="Tahoma" w:hAnsi="Tahoma" w:cs="Tahoma"/>
        </w:rPr>
      </w:pPr>
      <w:r w:rsidRPr="000A1C8E">
        <w:rPr>
          <w:rStyle w:val="BodyChar"/>
          <w:rFonts w:ascii="Tahoma" w:hAnsi="Tahoma" w:cs="Tahoma"/>
          <w:b/>
          <w:sz w:val="18"/>
          <w:szCs w:val="18"/>
        </w:rPr>
        <w:t>AO</w:t>
      </w:r>
      <w:r w:rsidR="00DC6D8B" w:rsidRPr="000A1C8E">
        <w:rPr>
          <w:rStyle w:val="BodyChar"/>
          <w:rFonts w:ascii="Tahoma" w:hAnsi="Tahoma" w:cs="Tahoma"/>
          <w:sz w:val="18"/>
          <w:szCs w:val="18"/>
        </w:rPr>
        <w:t xml:space="preserve"> </w:t>
      </w:r>
      <w:r w:rsidRPr="000A1C8E">
        <w:rPr>
          <w:rStyle w:val="BodyChar"/>
          <w:rFonts w:ascii="Tahoma" w:hAnsi="Tahoma" w:cs="Tahoma"/>
          <w:b/>
          <w:sz w:val="18"/>
          <w:szCs w:val="18"/>
        </w:rPr>
        <w:t xml:space="preserve">= </w:t>
      </w:r>
      <w:r w:rsidRPr="000A1C8E">
        <w:rPr>
          <w:rFonts w:ascii="Tahoma" w:hAnsi="Tahoma" w:cs="Tahoma"/>
          <w:sz w:val="18"/>
          <w:szCs w:val="18"/>
        </w:rPr>
        <w:t>Indica o software oferecido como um produto adicional solicitado em toda a organização.</w:t>
      </w:r>
    </w:p>
    <w:p w:rsidR="009F5F37" w:rsidRPr="000A1C8E" w:rsidRDefault="009F5F3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 xml:space="preserve">C = </w:t>
      </w:r>
      <w:r w:rsidRPr="000A1C8E">
        <w:rPr>
          <w:rFonts w:ascii="Tahoma" w:hAnsi="Tahoma" w:cs="Tahoma"/>
          <w:sz w:val="18"/>
          <w:szCs w:val="18"/>
        </w:rPr>
        <w:t>Indica que o software é oferecido como um produto Core Infrastructure.</w:t>
      </w:r>
    </w:p>
    <w:p w:rsidR="009F5F37" w:rsidRPr="000A1C8E" w:rsidRDefault="009F5F37" w:rsidP="009F5F37">
      <w:pPr>
        <w:pStyle w:val="ListParagraph"/>
        <w:rPr>
          <w:rFonts w:ascii="Tahoma" w:hAnsi="Tahoma" w:cs="Tahoma"/>
        </w:rPr>
      </w:pPr>
      <w:r w:rsidRPr="000A1C8E">
        <w:rPr>
          <w:rStyle w:val="BodyChar"/>
          <w:rFonts w:ascii="Tahoma" w:hAnsi="Tahoma" w:cs="Tahoma"/>
          <w:b/>
          <w:sz w:val="18"/>
          <w:szCs w:val="18"/>
        </w:rPr>
        <w:t xml:space="preserve">D = </w:t>
      </w:r>
      <w:r w:rsidRPr="000A1C8E">
        <w:rPr>
          <w:rFonts w:ascii="Tahoma" w:hAnsi="Tahoma" w:cs="Tahoma"/>
          <w:sz w:val="18"/>
          <w:szCs w:val="18"/>
        </w:rPr>
        <w:t>Indica que o software é oferecido como um produto de programa Industry Device.</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DT =</w:t>
      </w:r>
      <w:r w:rsidRPr="000A1C8E">
        <w:rPr>
          <w:rFonts w:ascii="Tahoma" w:hAnsi="Tahoma" w:cs="Tahoma"/>
          <w:sz w:val="18"/>
          <w:szCs w:val="18"/>
        </w:rPr>
        <w:t xml:space="preserve"> Benefícios do Software Assurance para Ofertas para Desktop. </w:t>
      </w:r>
    </w:p>
    <w:p w:rsidR="00F90F21" w:rsidRPr="000A1C8E" w:rsidRDefault="009055B7">
      <w:pPr>
        <w:pStyle w:val="Bodywithspace"/>
        <w:spacing w:before="0" w:after="0" w:line="276" w:lineRule="auto"/>
        <w:ind w:right="-180"/>
        <w:rPr>
          <w:rFonts w:ascii="Tahoma" w:hAnsi="Tahoma" w:cs="Tahoma"/>
        </w:rPr>
      </w:pPr>
      <w:r w:rsidRPr="000A1C8E">
        <w:rPr>
          <w:rFonts w:ascii="Tahoma" w:hAnsi="Tahoma" w:cs="Tahoma"/>
          <w:b/>
          <w:color w:val="000000"/>
          <w:sz w:val="18"/>
          <w:szCs w:val="22"/>
        </w:rPr>
        <w:t>E</w:t>
      </w:r>
      <w:r w:rsidRPr="000A1C8E">
        <w:rPr>
          <w:rFonts w:ascii="Tahoma" w:hAnsi="Tahoma" w:cs="Tahoma"/>
          <w:color w:val="000000"/>
          <w:sz w:val="18"/>
          <w:szCs w:val="22"/>
        </w:rPr>
        <w:t xml:space="preserve"> = Indica que o produto é oferecido como um produto Enterprise ou da plataforma desktop.</w:t>
      </w:r>
    </w:p>
    <w:p w:rsidR="00B23BE6" w:rsidRPr="000A1C8E" w:rsidRDefault="00B23BE6" w:rsidP="00B23BE6">
      <w:pPr>
        <w:spacing w:line="276" w:lineRule="auto"/>
        <w:ind w:left="720" w:right="-180"/>
        <w:rPr>
          <w:rFonts w:cs="Tahoma"/>
        </w:rPr>
      </w:pPr>
      <w:r w:rsidRPr="000A1C8E">
        <w:rPr>
          <w:rFonts w:cs="Tahoma"/>
          <w:b/>
          <w:color w:val="000000"/>
        </w:rPr>
        <w:t>EOLS =</w:t>
      </w:r>
      <w:r w:rsidRPr="000A1C8E">
        <w:rPr>
          <w:rFonts w:cs="Tahoma"/>
          <w:color w:val="000000"/>
        </w:rPr>
        <w:t xml:space="preserve"> Indica que o produto é oferecido como um serviço online Enterprise ou serviço online da plataforma.</w:t>
      </w:r>
    </w:p>
    <w:p w:rsidR="00E97819" w:rsidRPr="000A1C8E" w:rsidRDefault="00E97819">
      <w:pPr>
        <w:pStyle w:val="Bodywithspace"/>
        <w:spacing w:before="0" w:after="0" w:line="276" w:lineRule="auto"/>
        <w:ind w:right="-180"/>
        <w:rPr>
          <w:rFonts w:ascii="Tahoma" w:hAnsi="Tahoma" w:cs="Tahoma"/>
        </w:rPr>
      </w:pPr>
      <w:r w:rsidRPr="000A1C8E">
        <w:rPr>
          <w:rFonts w:ascii="Tahoma" w:hAnsi="Tahoma" w:cs="Tahoma"/>
          <w:b/>
          <w:color w:val="000000"/>
          <w:sz w:val="18"/>
          <w:szCs w:val="22"/>
        </w:rPr>
        <w:t xml:space="preserve">ST = </w:t>
      </w:r>
      <w:r w:rsidRPr="000A1C8E">
        <w:rPr>
          <w:rFonts w:ascii="Tahoma" w:hAnsi="Tahoma" w:cs="Tahoma"/>
          <w:color w:val="000000"/>
          <w:sz w:val="18"/>
          <w:szCs w:val="22"/>
        </w:rPr>
        <w:t>Indica se o software será oferecido como Oferta ao Aluno e deverá ser solicitado para a Contagem de Alunos integral.</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L (Licença) =</w:t>
      </w:r>
      <w:r w:rsidRPr="000A1C8E">
        <w:rPr>
          <w:rFonts w:ascii="Tahoma" w:hAnsi="Tahoma" w:cs="Tahoma"/>
          <w:sz w:val="18"/>
          <w:szCs w:val="18"/>
        </w:rPr>
        <w:t xml:space="preserve"> Valor em pontos designado quando uma Licença Padrão é oferecida para o software indicado.</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L&amp;SA (Licença e Software Assurance) =</w:t>
      </w:r>
      <w:r w:rsidRPr="000A1C8E">
        <w:rPr>
          <w:rFonts w:ascii="Tahoma" w:hAnsi="Tahoma" w:cs="Tahoma"/>
          <w:sz w:val="18"/>
          <w:szCs w:val="18"/>
        </w:rPr>
        <w:t xml:space="preserve"> Valor em pontos designado quando uma instância de Licença e Software Assurance é oferecida para o software indicado.</w:t>
      </w:r>
    </w:p>
    <w:p w:rsidR="00023FE7" w:rsidRPr="000A1C8E" w:rsidRDefault="00023FE7">
      <w:pPr>
        <w:pStyle w:val="Bodywithspace"/>
        <w:spacing w:before="0" w:after="0" w:line="276" w:lineRule="auto"/>
        <w:rPr>
          <w:rFonts w:ascii="Tahoma" w:hAnsi="Tahoma" w:cs="Tahoma"/>
        </w:rPr>
      </w:pPr>
      <w:r w:rsidRPr="000A1C8E">
        <w:rPr>
          <w:rStyle w:val="BodyChar"/>
          <w:rFonts w:ascii="Tahoma" w:hAnsi="Tahoma" w:cs="Tahoma"/>
          <w:b/>
          <w:bCs/>
          <w:color w:val="000000"/>
          <w:sz w:val="18"/>
          <w:szCs w:val="18"/>
        </w:rPr>
        <w:t>LO =</w:t>
      </w:r>
      <w:r w:rsidRPr="000A1C8E">
        <w:rPr>
          <w:rFonts w:ascii="Tahoma" w:hAnsi="Tahoma" w:cs="Tahoma"/>
          <w:color w:val="000000"/>
          <w:sz w:val="18"/>
          <w:szCs w:val="18"/>
        </w:rPr>
        <w:t xml:space="preserve"> Disponível na Licença Open.</w:t>
      </w:r>
    </w:p>
    <w:p w:rsidR="001D3F04" w:rsidRPr="000A1C8E" w:rsidRDefault="001D3F04" w:rsidP="00FE19D1">
      <w:pPr>
        <w:pStyle w:val="Bodywithspace"/>
        <w:spacing w:before="0" w:after="0" w:line="276" w:lineRule="auto"/>
        <w:rPr>
          <w:rFonts w:ascii="Tahoma" w:hAnsi="Tahoma" w:cs="Tahoma"/>
        </w:rPr>
      </w:pPr>
      <w:r w:rsidRPr="000A1C8E">
        <w:rPr>
          <w:rStyle w:val="BodyChar"/>
          <w:rFonts w:ascii="Tahoma" w:hAnsi="Tahoma" w:cs="Tahoma"/>
          <w:b/>
          <w:sz w:val="18"/>
          <w:szCs w:val="18"/>
        </w:rPr>
        <w:t xml:space="preserve">OSB </w:t>
      </w:r>
      <w:r w:rsidRPr="000A1C8E">
        <w:rPr>
          <w:rStyle w:val="BodyChar"/>
          <w:rFonts w:ascii="Tahoma" w:hAnsi="Tahoma" w:cs="Tahoma"/>
          <w:sz w:val="18"/>
          <w:szCs w:val="18"/>
        </w:rPr>
        <w:t>= Benefícios de Serviços Online para clientes qualificados.</w:t>
      </w:r>
      <w:r w:rsidR="00DC6D8B" w:rsidRPr="000A1C8E">
        <w:rPr>
          <w:rStyle w:val="BodyChar"/>
          <w:rFonts w:ascii="Tahoma" w:hAnsi="Tahoma" w:cs="Tahoma"/>
          <w:sz w:val="18"/>
          <w:szCs w:val="18"/>
        </w:rPr>
        <w:t xml:space="preserve"> </w:t>
      </w:r>
      <w:r w:rsidRPr="000A1C8E">
        <w:rPr>
          <w:rStyle w:val="BodyChar"/>
          <w:rFonts w:ascii="Tahoma" w:hAnsi="Tahoma" w:cs="Tahoma"/>
          <w:sz w:val="18"/>
          <w:szCs w:val="18"/>
        </w:rPr>
        <w:t xml:space="preserve">Observe que </w:t>
      </w:r>
      <w:r w:rsidRPr="000A1C8E">
        <w:rPr>
          <w:rFonts w:ascii="Tahoma" w:hAnsi="Tahoma" w:cs="Tahoma"/>
          <w:sz w:val="18"/>
          <w:szCs w:val="18"/>
        </w:rPr>
        <w:t>os produtos qualificados para os benefícios de Serviços Online poderão aparecer em mais de uma tabela de pools de produtos.</w:t>
      </w:r>
      <w:r w:rsidR="00DC6D8B" w:rsidRPr="000A1C8E">
        <w:rPr>
          <w:rFonts w:ascii="Tahoma" w:hAnsi="Tahoma" w:cs="Tahoma"/>
          <w:sz w:val="18"/>
          <w:szCs w:val="18"/>
        </w:rPr>
        <w:t xml:space="preserve"> </w:t>
      </w:r>
      <w:r w:rsidRPr="000A1C8E">
        <w:rPr>
          <w:rFonts w:ascii="Tahoma" w:hAnsi="Tahoma" w:cs="Tahoma"/>
          <w:sz w:val="18"/>
          <w:szCs w:val="18"/>
        </w:rPr>
        <w:t>A razão disso é</w:t>
      </w:r>
      <w:r w:rsidR="00761323" w:rsidRPr="000A1C8E">
        <w:rPr>
          <w:rFonts w:ascii="Tahoma" w:hAnsi="Tahoma" w:cs="Tahoma"/>
          <w:sz w:val="18"/>
          <w:szCs w:val="18"/>
        </w:rPr>
        <w:t> </w:t>
      </w:r>
      <w:r w:rsidRPr="000A1C8E">
        <w:rPr>
          <w:rFonts w:ascii="Tahoma" w:hAnsi="Tahoma" w:cs="Tahoma"/>
          <w:sz w:val="18"/>
          <w:szCs w:val="18"/>
        </w:rPr>
        <w:t>simplesmente demonstrar que essas ofertas podem ser qualificadas para benefícios de software assurance associados a mais do que um pool de produtos e não é necessário escolher entre os benefícios de</w:t>
      </w:r>
      <w:r w:rsidR="00FE19D1">
        <w:rPr>
          <w:rFonts w:ascii="Tahoma" w:hAnsi="Tahoma" w:cs="Tahoma"/>
          <w:sz w:val="18"/>
          <w:szCs w:val="18"/>
        </w:rPr>
        <w:t> </w:t>
      </w:r>
      <w:r w:rsidRPr="000A1C8E">
        <w:rPr>
          <w:rFonts w:ascii="Tahoma" w:hAnsi="Tahoma" w:cs="Tahoma"/>
          <w:sz w:val="18"/>
          <w:szCs w:val="18"/>
        </w:rPr>
        <w:t>um pool ou</w:t>
      </w:r>
      <w:r w:rsidR="00B337AE" w:rsidRPr="000A1C8E">
        <w:rPr>
          <w:rFonts w:ascii="Tahoma" w:hAnsi="Tahoma" w:cs="Tahoma"/>
          <w:sz w:val="18"/>
          <w:szCs w:val="18"/>
        </w:rPr>
        <w:t> </w:t>
      </w:r>
      <w:r w:rsidRPr="000A1C8E">
        <w:rPr>
          <w:rFonts w:ascii="Tahoma" w:hAnsi="Tahoma" w:cs="Tahoma"/>
          <w:sz w:val="18"/>
          <w:szCs w:val="18"/>
        </w:rPr>
        <w:t>de outro.</w:t>
      </w:r>
    </w:p>
    <w:p w:rsidR="00023FE7" w:rsidRPr="000A1C8E" w:rsidRDefault="00023FE7">
      <w:pPr>
        <w:pStyle w:val="Bodywithspace"/>
        <w:spacing w:before="0" w:after="0" w:line="276" w:lineRule="auto"/>
        <w:rPr>
          <w:rFonts w:ascii="Tahoma" w:hAnsi="Tahoma" w:cs="Tahoma"/>
        </w:rPr>
      </w:pPr>
      <w:r w:rsidRPr="000A1C8E">
        <w:rPr>
          <w:rStyle w:val="BodyChar"/>
          <w:rFonts w:ascii="Tahoma" w:hAnsi="Tahoma" w:cs="Tahoma"/>
          <w:b/>
          <w:bCs/>
          <w:color w:val="000000"/>
          <w:sz w:val="18"/>
          <w:szCs w:val="18"/>
        </w:rPr>
        <w:lastRenderedPageBreak/>
        <w:t xml:space="preserve">OL/SA = </w:t>
      </w:r>
      <w:r w:rsidRPr="000A1C8E">
        <w:rPr>
          <w:rStyle w:val="BodyChar"/>
          <w:rFonts w:ascii="Tahoma" w:hAnsi="Tahoma" w:cs="Tahoma"/>
          <w:color w:val="000000"/>
          <w:sz w:val="18"/>
          <w:szCs w:val="18"/>
        </w:rPr>
        <w:t>Disponível na Licença Open apenas para L&amp;SA e SA.</w:t>
      </w:r>
    </w:p>
    <w:p w:rsidR="00023FE7" w:rsidRPr="000A1C8E" w:rsidRDefault="00023FE7">
      <w:pPr>
        <w:pStyle w:val="Bodywithspace"/>
        <w:spacing w:before="0" w:after="0" w:line="276" w:lineRule="auto"/>
        <w:rPr>
          <w:rFonts w:ascii="Tahoma" w:hAnsi="Tahoma" w:cs="Tahoma"/>
        </w:rPr>
      </w:pPr>
      <w:r w:rsidRPr="000A1C8E">
        <w:rPr>
          <w:rStyle w:val="BodyChar"/>
          <w:rFonts w:ascii="Tahoma" w:hAnsi="Tahoma" w:cs="Tahoma"/>
          <w:b/>
          <w:bCs/>
          <w:color w:val="000000"/>
          <w:sz w:val="18"/>
          <w:szCs w:val="18"/>
        </w:rPr>
        <w:t xml:space="preserve">POS = </w:t>
      </w:r>
      <w:r w:rsidRPr="000A1C8E">
        <w:rPr>
          <w:rStyle w:val="BodyChar"/>
          <w:rFonts w:ascii="Tahoma" w:hAnsi="Tahoma" w:cs="Tahoma"/>
          <w:bCs/>
          <w:color w:val="000000"/>
          <w:sz w:val="18"/>
          <w:szCs w:val="18"/>
        </w:rPr>
        <w:t>Disponível no programa Licença Online Subscription.</w:t>
      </w:r>
    </w:p>
    <w:p w:rsidR="00023FE7" w:rsidRPr="000A1C8E" w:rsidRDefault="00023FE7">
      <w:pPr>
        <w:pStyle w:val="Bodywithspace"/>
        <w:spacing w:before="0" w:after="0" w:line="276" w:lineRule="auto"/>
        <w:rPr>
          <w:rFonts w:ascii="Tahoma" w:hAnsi="Tahoma" w:cs="Tahoma"/>
        </w:rPr>
      </w:pPr>
      <w:r w:rsidRPr="000A1C8E">
        <w:rPr>
          <w:rStyle w:val="BodyChar"/>
          <w:rFonts w:ascii="Tahoma" w:hAnsi="Tahoma" w:cs="Tahoma"/>
          <w:b/>
          <w:bCs/>
          <w:color w:val="000000"/>
          <w:sz w:val="18"/>
          <w:szCs w:val="18"/>
        </w:rPr>
        <w:t>OV/OVS =</w:t>
      </w:r>
      <w:r w:rsidRPr="000A1C8E">
        <w:rPr>
          <w:rFonts w:ascii="Tahoma" w:hAnsi="Tahoma" w:cs="Tahoma"/>
          <w:color w:val="000000"/>
          <w:sz w:val="18"/>
          <w:szCs w:val="18"/>
        </w:rPr>
        <w:t xml:space="preserve"> Disponível no programa Open Value e Open Value Subscription.</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P =</w:t>
      </w:r>
      <w:r w:rsidRPr="000A1C8E">
        <w:rPr>
          <w:rFonts w:ascii="Tahoma" w:hAnsi="Tahoma" w:cs="Tahoma"/>
          <w:sz w:val="18"/>
          <w:szCs w:val="18"/>
        </w:rPr>
        <w:t xml:space="preserve"> Indica software oferecido como opção de licença não extensiva a toda a empresa no Open Value. </w:t>
      </w:r>
    </w:p>
    <w:p w:rsidR="009F5F37" w:rsidRPr="000A1C8E" w:rsidRDefault="009F5F37">
      <w:pPr>
        <w:pStyle w:val="Bodywithspace"/>
        <w:spacing w:before="0" w:after="0" w:line="276" w:lineRule="auto"/>
        <w:rPr>
          <w:rFonts w:ascii="Tahoma" w:hAnsi="Tahoma" w:cs="Tahoma"/>
        </w:rPr>
      </w:pPr>
      <w:r w:rsidRPr="000A1C8E">
        <w:rPr>
          <w:rStyle w:val="BodyChar"/>
          <w:rFonts w:ascii="Tahoma" w:hAnsi="Tahoma" w:cs="Tahoma"/>
          <w:b/>
          <w:sz w:val="18"/>
          <w:szCs w:val="18"/>
        </w:rPr>
        <w:t xml:space="preserve">S = </w:t>
      </w:r>
      <w:r w:rsidRPr="000A1C8E">
        <w:rPr>
          <w:rFonts w:ascii="Tahoma" w:hAnsi="Tahoma" w:cs="Tahoma"/>
          <w:sz w:val="18"/>
          <w:szCs w:val="18"/>
        </w:rPr>
        <w:t>Indica que o software é oferecido como um produto da plataforma desktop de aplicativos.</w:t>
      </w:r>
    </w:p>
    <w:p w:rsidR="00023FE7" w:rsidRPr="000A1C8E" w:rsidRDefault="00023FE7">
      <w:pPr>
        <w:pStyle w:val="Bodywithspace"/>
        <w:spacing w:before="0" w:after="0" w:line="276" w:lineRule="auto"/>
        <w:rPr>
          <w:rFonts w:ascii="Tahoma" w:hAnsi="Tahoma" w:cs="Tahoma"/>
        </w:rPr>
      </w:pPr>
      <w:r w:rsidRPr="000A1C8E">
        <w:rPr>
          <w:rStyle w:val="BodyChar"/>
          <w:rFonts w:ascii="Tahoma" w:hAnsi="Tahoma" w:cs="Tahoma"/>
          <w:b/>
          <w:sz w:val="18"/>
          <w:szCs w:val="18"/>
        </w:rPr>
        <w:t>SA (Software Assurance) =</w:t>
      </w:r>
      <w:r w:rsidRPr="000A1C8E">
        <w:rPr>
          <w:rFonts w:ascii="Tahoma" w:hAnsi="Tahoma" w:cs="Tahoma"/>
          <w:sz w:val="18"/>
          <w:szCs w:val="18"/>
        </w:rPr>
        <w:t xml:space="preserve"> Valor em pontos designado quando o Software Assurance é oferecido para o</w:t>
      </w:r>
      <w:r w:rsidR="00761323" w:rsidRPr="000A1C8E">
        <w:rPr>
          <w:rFonts w:ascii="Tahoma" w:hAnsi="Tahoma" w:cs="Tahoma"/>
          <w:sz w:val="18"/>
          <w:szCs w:val="18"/>
        </w:rPr>
        <w:t> </w:t>
      </w:r>
      <w:r w:rsidRPr="000A1C8E">
        <w:rPr>
          <w:rFonts w:ascii="Tahoma" w:hAnsi="Tahoma" w:cs="Tahoma"/>
          <w:sz w:val="18"/>
          <w:szCs w:val="18"/>
        </w:rPr>
        <w:t xml:space="preserve">software indicado. </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SRV =</w:t>
      </w:r>
      <w:r w:rsidRPr="000A1C8E">
        <w:rPr>
          <w:rFonts w:ascii="Tahoma" w:hAnsi="Tahoma" w:cs="Tahoma"/>
          <w:sz w:val="18"/>
          <w:szCs w:val="18"/>
        </w:rPr>
        <w:t xml:space="preserve"> Benefícios do Software Assurance para Ofertas para Pool de Servidores. </w:t>
      </w:r>
    </w:p>
    <w:p w:rsidR="00023FE7" w:rsidRPr="000A1C8E" w:rsidRDefault="00023FE7">
      <w:pPr>
        <w:pStyle w:val="Bodywithspace"/>
        <w:tabs>
          <w:tab w:val="left" w:pos="9360"/>
        </w:tabs>
        <w:spacing w:before="0" w:after="0" w:line="276" w:lineRule="auto"/>
        <w:ind w:right="-180"/>
        <w:rPr>
          <w:rFonts w:ascii="Tahoma" w:hAnsi="Tahoma" w:cs="Tahoma"/>
        </w:rPr>
      </w:pPr>
      <w:r w:rsidRPr="000A1C8E">
        <w:rPr>
          <w:rStyle w:val="BodyChar"/>
          <w:rFonts w:ascii="Tahoma" w:hAnsi="Tahoma" w:cs="Tahoma"/>
          <w:b/>
          <w:sz w:val="18"/>
          <w:szCs w:val="18"/>
        </w:rPr>
        <w:t>U (Licença de Atualização) =</w:t>
      </w:r>
      <w:r w:rsidRPr="000A1C8E">
        <w:rPr>
          <w:rFonts w:ascii="Tahoma" w:hAnsi="Tahoma" w:cs="Tahoma"/>
          <w:sz w:val="18"/>
          <w:szCs w:val="18"/>
        </w:rPr>
        <w:t xml:space="preserve"> Valor em pontos designado quando uma atualização é oferecida para o</w:t>
      </w:r>
      <w:r w:rsidR="00761323" w:rsidRPr="000A1C8E">
        <w:rPr>
          <w:rFonts w:ascii="Tahoma" w:hAnsi="Tahoma" w:cs="Tahoma"/>
          <w:sz w:val="18"/>
          <w:szCs w:val="18"/>
        </w:rPr>
        <w:t> </w:t>
      </w:r>
      <w:r w:rsidRPr="000A1C8E">
        <w:rPr>
          <w:rFonts w:ascii="Tahoma" w:hAnsi="Tahoma" w:cs="Tahoma"/>
          <w:sz w:val="18"/>
          <w:szCs w:val="18"/>
        </w:rPr>
        <w:t>software indicado.</w:t>
      </w:r>
    </w:p>
    <w:p w:rsidR="00023FE7" w:rsidRPr="000A1C8E" w:rsidRDefault="00023FE7">
      <w:pPr>
        <w:pStyle w:val="Bodywithspace"/>
        <w:spacing w:before="0" w:after="0" w:line="276" w:lineRule="auto"/>
        <w:ind w:right="-180"/>
        <w:rPr>
          <w:rFonts w:ascii="Tahoma" w:hAnsi="Tahoma" w:cs="Tahoma"/>
        </w:rPr>
      </w:pPr>
      <w:r w:rsidRPr="000A1C8E">
        <w:rPr>
          <w:rStyle w:val="BodyChar"/>
          <w:rFonts w:ascii="Tahoma" w:hAnsi="Tahoma" w:cs="Tahoma"/>
          <w:b/>
          <w:sz w:val="18"/>
          <w:szCs w:val="18"/>
        </w:rPr>
        <w:t>U &amp; SA (Atualização e Software Assurance)</w:t>
      </w:r>
      <w:r w:rsidRPr="000A1C8E">
        <w:rPr>
          <w:rFonts w:ascii="Tahoma" w:hAnsi="Tahoma" w:cs="Tahoma"/>
          <w:sz w:val="18"/>
          <w:szCs w:val="18"/>
        </w:rPr>
        <w:t xml:space="preserve"> = Valor em pontos designado quando uma instância de atualização e Software Assurance é oferecida para o software indicado.</w:t>
      </w:r>
    </w:p>
    <w:p w:rsidR="00023FE7" w:rsidRPr="000A1C8E" w:rsidRDefault="00023FE7" w:rsidP="0033459E">
      <w:pPr>
        <w:pStyle w:val="Heading1"/>
        <w:rPr>
          <w:rFonts w:cs="Tahoma"/>
        </w:rPr>
      </w:pPr>
      <w:r w:rsidRPr="000A1C8E">
        <w:rPr>
          <w:rFonts w:cs="Tahoma"/>
        </w:rPr>
        <w:br w:type="page"/>
      </w:r>
      <w:bookmarkStart w:id="9" w:name="_Toc336337841"/>
      <w:bookmarkStart w:id="10" w:name="_Toc361828945"/>
      <w:r w:rsidRPr="000A1C8E">
        <w:rPr>
          <w:rFonts w:cs="Tahoma"/>
        </w:rPr>
        <w:lastRenderedPageBreak/>
        <w:t>LISTA DE PRODUTOS</w:t>
      </w:r>
      <w:bookmarkEnd w:id="9"/>
      <w:bookmarkEnd w:id="10"/>
    </w:p>
    <w:p w:rsidR="000E5145" w:rsidRPr="000A1C8E" w:rsidRDefault="000E5145" w:rsidP="004E292A">
      <w:pPr>
        <w:pStyle w:val="Heading3"/>
        <w:rPr>
          <w:rFonts w:ascii="Tahoma" w:hAnsi="Tahoma" w:cs="Tahoma"/>
        </w:rPr>
      </w:pPr>
      <w:bookmarkStart w:id="11" w:name="_Toc300391149"/>
      <w:bookmarkStart w:id="12" w:name="_Toc312398873"/>
      <w:bookmarkStart w:id="13" w:name="_Toc336337842"/>
    </w:p>
    <w:p w:rsidR="00023FE7" w:rsidRPr="000A1C8E" w:rsidRDefault="00023FE7" w:rsidP="004E292A">
      <w:pPr>
        <w:pStyle w:val="Heading3"/>
        <w:rPr>
          <w:rFonts w:ascii="Tahoma" w:hAnsi="Tahoma" w:cs="Tahoma"/>
        </w:rPr>
      </w:pPr>
      <w:bookmarkStart w:id="14" w:name="_Toc361828946"/>
      <w:r w:rsidRPr="000A1C8E">
        <w:rPr>
          <w:rFonts w:ascii="Tahoma" w:hAnsi="Tahoma" w:cs="Tahoma"/>
          <w:sz w:val="22"/>
          <w:szCs w:val="22"/>
        </w:rPr>
        <w:t>POOL DE APLICATIVOS</w:t>
      </w:r>
      <w:bookmarkEnd w:id="11"/>
      <w:bookmarkEnd w:id="12"/>
      <w:bookmarkEnd w:id="13"/>
      <w:bookmarkEnd w:id="14"/>
    </w:p>
    <w:p w:rsidR="006949F0" w:rsidRPr="000A1C8E" w:rsidRDefault="006949F0" w:rsidP="006949F0">
      <w:pPr>
        <w:rPr>
          <w:rFonts w:cs="Tahoma"/>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366"/>
        <w:gridCol w:w="405"/>
        <w:gridCol w:w="405"/>
        <w:gridCol w:w="450"/>
        <w:gridCol w:w="432"/>
        <w:gridCol w:w="414"/>
        <w:gridCol w:w="423"/>
        <w:gridCol w:w="360"/>
        <w:gridCol w:w="450"/>
        <w:gridCol w:w="396"/>
        <w:gridCol w:w="459"/>
        <w:gridCol w:w="396"/>
        <w:gridCol w:w="378"/>
        <w:gridCol w:w="720"/>
        <w:gridCol w:w="551"/>
      </w:tblGrid>
      <w:tr w:rsidR="00B27742" w:rsidRPr="000A1C8E" w:rsidTr="000C0C27">
        <w:trPr>
          <w:cantSplit/>
          <w:trHeight w:val="1682"/>
          <w:tblHeader/>
        </w:trPr>
        <w:tc>
          <w:tcPr>
            <w:tcW w:w="2638" w:type="dxa"/>
            <w:tcBorders>
              <w:top w:val="single" w:sz="4" w:space="0" w:color="FFFFFF"/>
              <w:left w:val="nil"/>
              <w:bottom w:val="nil"/>
            </w:tcBorders>
          </w:tcPr>
          <w:p w:rsidR="00B27742" w:rsidRPr="000A1C8E" w:rsidRDefault="00B27742">
            <w:pPr>
              <w:widowControl w:val="0"/>
              <w:ind w:left="-360"/>
              <w:rPr>
                <w:rFonts w:cs="Tahoma"/>
              </w:rPr>
            </w:pPr>
          </w:p>
        </w:tc>
        <w:tc>
          <w:tcPr>
            <w:tcW w:w="429" w:type="dxa"/>
            <w:textDirection w:val="btLr"/>
            <w:vAlign w:val="center"/>
          </w:tcPr>
          <w:p w:rsidR="00B27742" w:rsidRPr="000A1C8E" w:rsidRDefault="00B27742" w:rsidP="00B15D67">
            <w:pPr>
              <w:pStyle w:val="TableVerticalText"/>
              <w:widowControl w:val="0"/>
              <w:rPr>
                <w:rFonts w:ascii="Tahoma" w:hAnsi="Tahoma" w:cs="Tahoma"/>
              </w:rPr>
            </w:pPr>
            <w:r w:rsidRPr="000A1C8E">
              <w:rPr>
                <w:rFonts w:ascii="Tahoma" w:hAnsi="Tahoma" w:cs="Tahoma"/>
              </w:rPr>
              <w:t>Notas do Produto</w:t>
            </w:r>
          </w:p>
        </w:tc>
        <w:tc>
          <w:tcPr>
            <w:tcW w:w="429" w:type="dxa"/>
            <w:textDirection w:val="btLr"/>
            <w:vAlign w:val="center"/>
          </w:tcPr>
          <w:p w:rsidR="00B27742" w:rsidRPr="000A1C8E" w:rsidRDefault="00B27742" w:rsidP="000C0C27">
            <w:pPr>
              <w:pStyle w:val="TableVerticalText"/>
              <w:widowControl w:val="0"/>
              <w:rPr>
                <w:rFonts w:ascii="Tahoma" w:hAnsi="Tahoma" w:cs="Tahoma"/>
              </w:rPr>
            </w:pPr>
            <w:r w:rsidRPr="000A1C8E">
              <w:rPr>
                <w:rFonts w:ascii="Tahoma" w:hAnsi="Tahoma" w:cs="Tahoma"/>
              </w:rPr>
              <w:t>Data disponível</w:t>
            </w:r>
          </w:p>
        </w:tc>
        <w:tc>
          <w:tcPr>
            <w:tcW w:w="429" w:type="dxa"/>
            <w:tcBorders>
              <w:right w:val="single" w:sz="18" w:space="0" w:color="auto"/>
            </w:tcBorders>
            <w:textDirection w:val="btLr"/>
            <w:vAlign w:val="center"/>
          </w:tcPr>
          <w:p w:rsidR="00B27742" w:rsidRPr="000A1C8E" w:rsidRDefault="00B27742">
            <w:pPr>
              <w:pStyle w:val="TableVerticalText"/>
              <w:widowControl w:val="0"/>
              <w:rPr>
                <w:rFonts w:ascii="Tahoma" w:hAnsi="Tahoma" w:cs="Tahoma"/>
              </w:rPr>
            </w:pPr>
            <w:r w:rsidRPr="000A1C8E">
              <w:rPr>
                <w:rFonts w:ascii="Tahoma" w:hAnsi="Tahoma" w:cs="Tahoma"/>
              </w:rPr>
              <w:t>SAB</w:t>
            </w:r>
          </w:p>
        </w:tc>
        <w:tc>
          <w:tcPr>
            <w:tcW w:w="2895" w:type="dxa"/>
            <w:gridSpan w:val="7"/>
            <w:tcBorders>
              <w:left w:val="single" w:sz="18" w:space="0" w:color="auto"/>
              <w:right w:val="single" w:sz="18" w:space="0" w:color="auto"/>
            </w:tcBorders>
            <w:vAlign w:val="center"/>
          </w:tcPr>
          <w:p w:rsidR="00B27742" w:rsidRPr="000A1C8E" w:rsidRDefault="00B27742">
            <w:pPr>
              <w:pStyle w:val="TableHeadingsBlack"/>
              <w:widowControl w:val="0"/>
              <w:rPr>
                <w:rFonts w:ascii="Tahoma" w:hAnsi="Tahoma" w:cs="Tahoma"/>
              </w:rPr>
            </w:pPr>
            <w:r w:rsidRPr="000A1C8E">
              <w:rPr>
                <w:rFonts w:ascii="Tahoma" w:hAnsi="Tahoma" w:cs="Tahoma"/>
              </w:rPr>
              <w:t>Select / Select Plus*</w:t>
            </w:r>
          </w:p>
        </w:tc>
        <w:tc>
          <w:tcPr>
            <w:tcW w:w="1206" w:type="dxa"/>
            <w:gridSpan w:val="3"/>
            <w:tcBorders>
              <w:left w:val="single" w:sz="18" w:space="0" w:color="auto"/>
              <w:right w:val="single" w:sz="18" w:space="0" w:color="auto"/>
            </w:tcBorders>
            <w:vAlign w:val="center"/>
          </w:tcPr>
          <w:p w:rsidR="00B27742" w:rsidRPr="000A1C8E" w:rsidRDefault="00B27742">
            <w:pPr>
              <w:pStyle w:val="TableHeadingsBlack"/>
              <w:widowControl w:val="0"/>
              <w:rPr>
                <w:rFonts w:ascii="Tahoma" w:hAnsi="Tahoma" w:cs="Tahoma"/>
              </w:rPr>
            </w:pPr>
            <w:r w:rsidRPr="000A1C8E">
              <w:rPr>
                <w:rFonts w:ascii="Tahoma" w:hAnsi="Tahoma" w:cs="Tahoma"/>
              </w:rPr>
              <w:t>Licença Open</w:t>
            </w:r>
          </w:p>
        </w:tc>
        <w:tc>
          <w:tcPr>
            <w:tcW w:w="459" w:type="dxa"/>
            <w:tcBorders>
              <w:left w:val="single" w:sz="18" w:space="0" w:color="auto"/>
            </w:tcBorders>
            <w:textDirection w:val="btLr"/>
            <w:vAlign w:val="center"/>
          </w:tcPr>
          <w:p w:rsidR="00B27742" w:rsidRPr="000A1C8E" w:rsidRDefault="00B27742">
            <w:pPr>
              <w:pStyle w:val="TableVerticalText"/>
              <w:widowControl w:val="0"/>
              <w:rPr>
                <w:rFonts w:ascii="Tahoma" w:hAnsi="Tahoma" w:cs="Tahoma"/>
              </w:rPr>
            </w:pPr>
            <w:r w:rsidRPr="000A1C8E">
              <w:rPr>
                <w:rFonts w:ascii="Tahoma" w:hAnsi="Tahoma" w:cs="Tahoma"/>
              </w:rPr>
              <w:t>Unidades Campus e School</w:t>
            </w:r>
          </w:p>
        </w:tc>
        <w:tc>
          <w:tcPr>
            <w:tcW w:w="396" w:type="dxa"/>
            <w:tcBorders>
              <w:right w:val="single" w:sz="18" w:space="0" w:color="auto"/>
            </w:tcBorders>
            <w:textDirection w:val="btLr"/>
            <w:vAlign w:val="center"/>
          </w:tcPr>
          <w:p w:rsidR="00B27742" w:rsidRPr="000A1C8E" w:rsidRDefault="00B27742">
            <w:pPr>
              <w:pStyle w:val="TableVerticalText"/>
              <w:widowControl w:val="0"/>
              <w:rPr>
                <w:rFonts w:ascii="Tahoma" w:hAnsi="Tahoma" w:cs="Tahoma"/>
              </w:rPr>
            </w:pPr>
            <w:r w:rsidRPr="000A1C8E">
              <w:rPr>
                <w:rFonts w:ascii="Tahoma" w:hAnsi="Tahoma" w:cs="Tahoma"/>
              </w:rPr>
              <w:t>EA e EA Sub</w:t>
            </w:r>
          </w:p>
        </w:tc>
        <w:tc>
          <w:tcPr>
            <w:tcW w:w="378" w:type="dxa"/>
            <w:tcBorders>
              <w:left w:val="single" w:sz="18" w:space="0" w:color="auto"/>
              <w:right w:val="single" w:sz="18" w:space="0" w:color="auto"/>
            </w:tcBorders>
            <w:textDirection w:val="btLr"/>
            <w:vAlign w:val="center"/>
          </w:tcPr>
          <w:p w:rsidR="00B27742" w:rsidRPr="000A1C8E" w:rsidRDefault="00B27742">
            <w:pPr>
              <w:pStyle w:val="TableVerticalText"/>
              <w:widowControl w:val="0"/>
              <w:rPr>
                <w:rFonts w:ascii="Tahoma" w:hAnsi="Tahoma" w:cs="Tahoma"/>
              </w:rPr>
            </w:pPr>
            <w:r w:rsidRPr="000A1C8E">
              <w:rPr>
                <w:rFonts w:ascii="Tahoma" w:hAnsi="Tahoma" w:cs="Tahoma"/>
              </w:rPr>
              <w:t>OV / OVS</w:t>
            </w:r>
          </w:p>
        </w:tc>
        <w:tc>
          <w:tcPr>
            <w:tcW w:w="720" w:type="dxa"/>
            <w:textDirection w:val="btLr"/>
          </w:tcPr>
          <w:p w:rsidR="00B27742" w:rsidRPr="000A1C8E" w:rsidRDefault="00B0036E" w:rsidP="00E67091">
            <w:pPr>
              <w:pStyle w:val="TableVerticalText"/>
              <w:widowControl w:val="0"/>
              <w:spacing w:before="120"/>
              <w:rPr>
                <w:rFonts w:ascii="Tahoma" w:hAnsi="Tahoma" w:cs="Tahoma"/>
              </w:rPr>
            </w:pPr>
            <w:r w:rsidRPr="000A1C8E">
              <w:rPr>
                <w:rFonts w:ascii="Tahoma" w:hAnsi="Tahoma" w:cs="Tahoma"/>
              </w:rPr>
              <w:t>EES / OVS -ES</w:t>
            </w:r>
          </w:p>
        </w:tc>
        <w:tc>
          <w:tcPr>
            <w:tcW w:w="551" w:type="dxa"/>
            <w:textDirection w:val="btLr"/>
            <w:vAlign w:val="center"/>
          </w:tcPr>
          <w:p w:rsidR="00B27742" w:rsidRPr="000A1C8E" w:rsidRDefault="00B27742" w:rsidP="00761323">
            <w:pPr>
              <w:pStyle w:val="TableVerticalText"/>
              <w:widowControl w:val="0"/>
              <w:spacing w:line="120" w:lineRule="exact"/>
              <w:rPr>
                <w:rFonts w:ascii="Tahoma" w:hAnsi="Tahoma" w:cs="Tahoma"/>
              </w:rPr>
            </w:pPr>
            <w:r w:rsidRPr="000A1C8E">
              <w:rPr>
                <w:rFonts w:ascii="Tahoma" w:hAnsi="Tahoma" w:cs="Tahoma"/>
              </w:rPr>
              <w:t>Mínimo de Licenças Open</w:t>
            </w:r>
          </w:p>
        </w:tc>
      </w:tr>
      <w:tr w:rsidR="00B27742" w:rsidRPr="000A1C8E" w:rsidTr="00E74A9E">
        <w:trPr>
          <w:cantSplit/>
          <w:trHeight w:val="271"/>
          <w:tblHeader/>
        </w:trPr>
        <w:tc>
          <w:tcPr>
            <w:tcW w:w="2638" w:type="dxa"/>
            <w:vMerge w:val="restart"/>
            <w:tcBorders>
              <w:top w:val="nil"/>
              <w:left w:val="nil"/>
            </w:tcBorders>
          </w:tcPr>
          <w:p w:rsidR="00B27742" w:rsidRPr="000A1C8E" w:rsidRDefault="00B27742">
            <w:pPr>
              <w:widowControl w:val="0"/>
              <w:rPr>
                <w:rFonts w:cs="Tahoma"/>
                <w:b/>
              </w:rPr>
            </w:pPr>
          </w:p>
        </w:tc>
        <w:tc>
          <w:tcPr>
            <w:tcW w:w="429" w:type="dxa"/>
            <w:vMerge w:val="restart"/>
          </w:tcPr>
          <w:p w:rsidR="00B27742" w:rsidRPr="000A1C8E" w:rsidRDefault="00B27742">
            <w:pPr>
              <w:keepNext/>
              <w:widowControl w:val="0"/>
              <w:spacing w:before="200" w:after="120"/>
              <w:jc w:val="center"/>
              <w:outlineLvl w:val="0"/>
              <w:rPr>
                <w:rFonts w:cs="Tahoma"/>
                <w:b/>
                <w:color w:val="0000FF"/>
                <w:sz w:val="10"/>
              </w:rPr>
            </w:pPr>
            <w:r w:rsidRPr="000A1C8E">
              <w:rPr>
                <w:rFonts w:cs="Tahoma"/>
                <w:b/>
                <w:color w:val="0000FF"/>
                <w:sz w:val="10"/>
              </w:rPr>
              <w:t>(Ctrl + clique)</w:t>
            </w:r>
          </w:p>
        </w:tc>
        <w:tc>
          <w:tcPr>
            <w:tcW w:w="429" w:type="dxa"/>
            <w:vMerge w:val="restart"/>
          </w:tcPr>
          <w:p w:rsidR="00B27742" w:rsidRPr="000A1C8E" w:rsidRDefault="00B27742">
            <w:pPr>
              <w:widowControl w:val="0"/>
              <w:rPr>
                <w:rFonts w:cs="Tahoma"/>
              </w:rPr>
            </w:pPr>
          </w:p>
        </w:tc>
        <w:tc>
          <w:tcPr>
            <w:tcW w:w="429" w:type="dxa"/>
            <w:vMerge w:val="restart"/>
            <w:tcBorders>
              <w:right w:val="single" w:sz="18" w:space="0" w:color="auto"/>
            </w:tcBorders>
          </w:tcPr>
          <w:p w:rsidR="00B27742" w:rsidRPr="000A1C8E" w:rsidRDefault="00B27742">
            <w:pPr>
              <w:widowControl w:val="0"/>
              <w:rPr>
                <w:rFonts w:cs="Tahoma"/>
              </w:rPr>
            </w:pPr>
          </w:p>
        </w:tc>
        <w:tc>
          <w:tcPr>
            <w:tcW w:w="366" w:type="dxa"/>
            <w:vMerge w:val="restart"/>
            <w:tcBorders>
              <w:left w:val="single" w:sz="18" w:space="0" w:color="auto"/>
            </w:tcBorders>
            <w:vAlign w:val="center"/>
          </w:tcPr>
          <w:p w:rsidR="00B27742" w:rsidRPr="000A1C8E" w:rsidRDefault="00B27742">
            <w:pPr>
              <w:pStyle w:val="TableHeadingsRed"/>
              <w:widowControl w:val="0"/>
              <w:rPr>
                <w:rFonts w:ascii="Tahoma" w:hAnsi="Tahoma" w:cs="Tahoma"/>
              </w:rPr>
            </w:pPr>
            <w:r w:rsidRPr="000A1C8E">
              <w:rPr>
                <w:rFonts w:ascii="Tahoma" w:hAnsi="Tahoma" w:cs="Tahoma"/>
              </w:rPr>
              <w:t>L</w:t>
            </w:r>
          </w:p>
        </w:tc>
        <w:tc>
          <w:tcPr>
            <w:tcW w:w="1260" w:type="dxa"/>
            <w:gridSpan w:val="3"/>
            <w:vAlign w:val="center"/>
          </w:tcPr>
          <w:p w:rsidR="00B27742" w:rsidRPr="000A1C8E" w:rsidRDefault="00B27742">
            <w:pPr>
              <w:pStyle w:val="TableHeadingsGreen"/>
              <w:widowControl w:val="0"/>
              <w:rPr>
                <w:rFonts w:ascii="Tahoma" w:hAnsi="Tahoma" w:cs="Tahoma"/>
              </w:rPr>
            </w:pPr>
            <w:r w:rsidRPr="000A1C8E">
              <w:rPr>
                <w:rFonts w:ascii="Tahoma" w:hAnsi="Tahoma" w:cs="Tahoma"/>
              </w:rPr>
              <w:t>L&amp;SA</w:t>
            </w:r>
          </w:p>
        </w:tc>
        <w:tc>
          <w:tcPr>
            <w:tcW w:w="1269" w:type="dxa"/>
            <w:gridSpan w:val="3"/>
            <w:tcBorders>
              <w:right w:val="single" w:sz="18" w:space="0" w:color="auto"/>
            </w:tcBorders>
            <w:vAlign w:val="center"/>
          </w:tcPr>
          <w:p w:rsidR="00B27742" w:rsidRPr="000A1C8E" w:rsidRDefault="00B27742">
            <w:pPr>
              <w:pStyle w:val="TableHeadingsBlue"/>
              <w:widowControl w:val="0"/>
              <w:rPr>
                <w:rFonts w:ascii="Tahoma" w:hAnsi="Tahoma" w:cs="Tahoma"/>
              </w:rPr>
            </w:pPr>
            <w:r w:rsidRPr="000A1C8E">
              <w:rPr>
                <w:rFonts w:ascii="Tahoma" w:hAnsi="Tahoma" w:cs="Tahoma"/>
              </w:rPr>
              <w:t>SA</w:t>
            </w:r>
          </w:p>
        </w:tc>
        <w:tc>
          <w:tcPr>
            <w:tcW w:w="360" w:type="dxa"/>
            <w:vMerge w:val="restart"/>
            <w:tcBorders>
              <w:left w:val="single" w:sz="18" w:space="0" w:color="auto"/>
            </w:tcBorders>
            <w:vAlign w:val="center"/>
          </w:tcPr>
          <w:p w:rsidR="00B27742" w:rsidRPr="000A1C8E" w:rsidRDefault="00B27742">
            <w:pPr>
              <w:pStyle w:val="TableHeadingsRed"/>
              <w:widowControl w:val="0"/>
              <w:rPr>
                <w:rFonts w:ascii="Tahoma" w:hAnsi="Tahoma" w:cs="Tahoma"/>
              </w:rPr>
            </w:pPr>
            <w:r w:rsidRPr="000A1C8E">
              <w:rPr>
                <w:rFonts w:ascii="Tahoma" w:hAnsi="Tahoma" w:cs="Tahoma"/>
              </w:rPr>
              <w:t>L</w:t>
            </w:r>
          </w:p>
        </w:tc>
        <w:tc>
          <w:tcPr>
            <w:tcW w:w="450" w:type="dxa"/>
            <w:vAlign w:val="center"/>
          </w:tcPr>
          <w:p w:rsidR="00B27742" w:rsidRPr="000A1C8E" w:rsidRDefault="00B27742">
            <w:pPr>
              <w:pStyle w:val="TableHeadingsGreen"/>
              <w:widowControl w:val="0"/>
              <w:rPr>
                <w:rFonts w:ascii="Tahoma" w:hAnsi="Tahoma" w:cs="Tahoma"/>
              </w:rPr>
            </w:pPr>
            <w:r w:rsidRPr="000A1C8E">
              <w:rPr>
                <w:rFonts w:ascii="Tahoma" w:hAnsi="Tahoma" w:cs="Tahoma"/>
              </w:rPr>
              <w:t>L&amp;SA</w:t>
            </w:r>
          </w:p>
        </w:tc>
        <w:tc>
          <w:tcPr>
            <w:tcW w:w="396" w:type="dxa"/>
            <w:vMerge w:val="restart"/>
            <w:tcBorders>
              <w:right w:val="single" w:sz="18" w:space="0" w:color="auto"/>
            </w:tcBorders>
            <w:vAlign w:val="center"/>
          </w:tcPr>
          <w:p w:rsidR="00B27742" w:rsidRPr="000A1C8E" w:rsidRDefault="00B27742">
            <w:pPr>
              <w:pStyle w:val="TableHeadingsBlue"/>
              <w:widowControl w:val="0"/>
              <w:rPr>
                <w:rFonts w:ascii="Tahoma" w:hAnsi="Tahoma" w:cs="Tahoma"/>
              </w:rPr>
            </w:pPr>
            <w:r w:rsidRPr="000A1C8E">
              <w:rPr>
                <w:rFonts w:ascii="Tahoma" w:hAnsi="Tahoma" w:cs="Tahoma"/>
              </w:rPr>
              <w:t>SA</w:t>
            </w:r>
          </w:p>
        </w:tc>
        <w:tc>
          <w:tcPr>
            <w:tcW w:w="459" w:type="dxa"/>
            <w:vMerge w:val="restart"/>
            <w:tcBorders>
              <w:left w:val="single" w:sz="18" w:space="0" w:color="auto"/>
            </w:tcBorders>
          </w:tcPr>
          <w:p w:rsidR="00B27742" w:rsidRPr="000A1C8E" w:rsidRDefault="00B27742" w:rsidP="00097B90">
            <w:pPr>
              <w:widowControl w:val="0"/>
              <w:rPr>
                <w:rFonts w:cs="Tahoma"/>
              </w:rPr>
            </w:pPr>
          </w:p>
        </w:tc>
        <w:tc>
          <w:tcPr>
            <w:tcW w:w="396" w:type="dxa"/>
            <w:vMerge w:val="restart"/>
            <w:tcBorders>
              <w:right w:val="single" w:sz="18" w:space="0" w:color="auto"/>
            </w:tcBorders>
          </w:tcPr>
          <w:p w:rsidR="00B27742" w:rsidRPr="000A1C8E" w:rsidRDefault="00B27742">
            <w:pPr>
              <w:widowControl w:val="0"/>
              <w:rPr>
                <w:rFonts w:cs="Tahoma"/>
              </w:rPr>
            </w:pPr>
          </w:p>
        </w:tc>
        <w:tc>
          <w:tcPr>
            <w:tcW w:w="378" w:type="dxa"/>
            <w:vMerge w:val="restart"/>
            <w:tcBorders>
              <w:left w:val="single" w:sz="18" w:space="0" w:color="auto"/>
              <w:right w:val="single" w:sz="18" w:space="0" w:color="auto"/>
            </w:tcBorders>
          </w:tcPr>
          <w:p w:rsidR="00B27742" w:rsidRPr="000A1C8E" w:rsidRDefault="00B27742">
            <w:pPr>
              <w:widowControl w:val="0"/>
              <w:rPr>
                <w:rFonts w:cs="Tahoma"/>
              </w:rPr>
            </w:pPr>
          </w:p>
        </w:tc>
        <w:tc>
          <w:tcPr>
            <w:tcW w:w="720" w:type="dxa"/>
            <w:vMerge w:val="restart"/>
          </w:tcPr>
          <w:p w:rsidR="00B27742" w:rsidRPr="000A1C8E" w:rsidRDefault="00B27742">
            <w:pPr>
              <w:widowControl w:val="0"/>
              <w:rPr>
                <w:rFonts w:cs="Tahoma"/>
              </w:rPr>
            </w:pPr>
          </w:p>
        </w:tc>
        <w:tc>
          <w:tcPr>
            <w:tcW w:w="551" w:type="dxa"/>
            <w:vMerge w:val="restart"/>
          </w:tcPr>
          <w:p w:rsidR="00B27742" w:rsidRPr="000A1C8E" w:rsidRDefault="00B27742">
            <w:pPr>
              <w:widowControl w:val="0"/>
              <w:rPr>
                <w:rFonts w:cs="Tahoma"/>
              </w:rPr>
            </w:pPr>
          </w:p>
        </w:tc>
      </w:tr>
      <w:tr w:rsidR="00761323" w:rsidRPr="000A1C8E" w:rsidTr="00E74A9E">
        <w:trPr>
          <w:cantSplit/>
          <w:trHeight w:val="262"/>
          <w:tblHeader/>
        </w:trPr>
        <w:tc>
          <w:tcPr>
            <w:tcW w:w="2638" w:type="dxa"/>
            <w:vMerge/>
            <w:tcBorders>
              <w:top w:val="single" w:sz="4" w:space="0" w:color="auto"/>
              <w:left w:val="nil"/>
              <w:bottom w:val="single" w:sz="4" w:space="0" w:color="auto"/>
            </w:tcBorders>
          </w:tcPr>
          <w:p w:rsidR="00B27742" w:rsidRPr="000A1C8E" w:rsidRDefault="00B27742">
            <w:pPr>
              <w:widowControl w:val="0"/>
              <w:rPr>
                <w:rFonts w:cs="Tahoma"/>
              </w:rPr>
            </w:pPr>
          </w:p>
        </w:tc>
        <w:tc>
          <w:tcPr>
            <w:tcW w:w="429" w:type="dxa"/>
            <w:vMerge/>
            <w:tcBorders>
              <w:bottom w:val="single" w:sz="4" w:space="0" w:color="auto"/>
            </w:tcBorders>
          </w:tcPr>
          <w:p w:rsidR="00B27742" w:rsidRPr="000A1C8E"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0A1C8E" w:rsidRDefault="00B27742">
            <w:pPr>
              <w:widowControl w:val="0"/>
              <w:rPr>
                <w:rFonts w:cs="Tahoma"/>
              </w:rPr>
            </w:pPr>
          </w:p>
        </w:tc>
        <w:tc>
          <w:tcPr>
            <w:tcW w:w="429" w:type="dxa"/>
            <w:vMerge/>
            <w:tcBorders>
              <w:bottom w:val="single" w:sz="4" w:space="0" w:color="auto"/>
              <w:right w:val="single" w:sz="18" w:space="0" w:color="auto"/>
            </w:tcBorders>
          </w:tcPr>
          <w:p w:rsidR="00B27742" w:rsidRPr="000A1C8E" w:rsidRDefault="00B27742">
            <w:pPr>
              <w:widowControl w:val="0"/>
              <w:rPr>
                <w:rFonts w:cs="Tahoma"/>
              </w:rPr>
            </w:pPr>
          </w:p>
        </w:tc>
        <w:tc>
          <w:tcPr>
            <w:tcW w:w="366" w:type="dxa"/>
            <w:vMerge/>
            <w:tcBorders>
              <w:left w:val="single" w:sz="18" w:space="0" w:color="auto"/>
              <w:bottom w:val="single" w:sz="4" w:space="0" w:color="auto"/>
            </w:tcBorders>
            <w:vAlign w:val="center"/>
          </w:tcPr>
          <w:p w:rsidR="00B27742" w:rsidRPr="000A1C8E" w:rsidRDefault="00B27742">
            <w:pPr>
              <w:widowControl w:val="0"/>
              <w:jc w:val="center"/>
              <w:rPr>
                <w:rFonts w:cs="Tahoma"/>
              </w:rPr>
            </w:pPr>
          </w:p>
        </w:tc>
        <w:tc>
          <w:tcPr>
            <w:tcW w:w="405" w:type="dxa"/>
            <w:tcBorders>
              <w:bottom w:val="single" w:sz="4" w:space="0" w:color="auto"/>
            </w:tcBorders>
            <w:vAlign w:val="center"/>
          </w:tcPr>
          <w:p w:rsidR="00B27742" w:rsidRPr="000A1C8E" w:rsidRDefault="00B27742">
            <w:pPr>
              <w:pStyle w:val="TableHeadingsGreen"/>
              <w:widowControl w:val="0"/>
              <w:rPr>
                <w:rFonts w:ascii="Tahoma" w:hAnsi="Tahoma" w:cs="Tahoma"/>
              </w:rPr>
            </w:pPr>
            <w:r w:rsidRPr="000A1C8E">
              <w:rPr>
                <w:rFonts w:ascii="Tahoma" w:hAnsi="Tahoma" w:cs="Tahoma"/>
              </w:rPr>
              <w:t>3An</w:t>
            </w:r>
          </w:p>
        </w:tc>
        <w:tc>
          <w:tcPr>
            <w:tcW w:w="405" w:type="dxa"/>
            <w:tcBorders>
              <w:bottom w:val="single" w:sz="4" w:space="0" w:color="auto"/>
            </w:tcBorders>
            <w:vAlign w:val="center"/>
          </w:tcPr>
          <w:p w:rsidR="00B27742" w:rsidRPr="000A1C8E" w:rsidRDefault="00B27742">
            <w:pPr>
              <w:pStyle w:val="TableHeadingsGreen"/>
              <w:widowControl w:val="0"/>
              <w:rPr>
                <w:rFonts w:ascii="Tahoma" w:hAnsi="Tahoma" w:cs="Tahoma"/>
              </w:rPr>
            </w:pPr>
            <w:r w:rsidRPr="000A1C8E">
              <w:rPr>
                <w:rFonts w:ascii="Tahoma" w:hAnsi="Tahoma" w:cs="Tahoma"/>
              </w:rPr>
              <w:t>2An</w:t>
            </w:r>
          </w:p>
        </w:tc>
        <w:tc>
          <w:tcPr>
            <w:tcW w:w="450" w:type="dxa"/>
            <w:tcBorders>
              <w:bottom w:val="single" w:sz="4" w:space="0" w:color="auto"/>
            </w:tcBorders>
            <w:vAlign w:val="center"/>
          </w:tcPr>
          <w:p w:rsidR="00B27742" w:rsidRPr="000A1C8E" w:rsidRDefault="00B27742">
            <w:pPr>
              <w:pStyle w:val="TableHeadingsGreen"/>
              <w:widowControl w:val="0"/>
              <w:rPr>
                <w:rFonts w:ascii="Tahoma" w:hAnsi="Tahoma" w:cs="Tahoma"/>
              </w:rPr>
            </w:pPr>
            <w:r w:rsidRPr="000A1C8E">
              <w:rPr>
                <w:rFonts w:ascii="Tahoma" w:hAnsi="Tahoma" w:cs="Tahoma"/>
              </w:rPr>
              <w:t>1An</w:t>
            </w:r>
          </w:p>
        </w:tc>
        <w:tc>
          <w:tcPr>
            <w:tcW w:w="432" w:type="dxa"/>
            <w:tcBorders>
              <w:bottom w:val="single" w:sz="4" w:space="0" w:color="auto"/>
            </w:tcBorders>
            <w:vAlign w:val="center"/>
          </w:tcPr>
          <w:p w:rsidR="00B27742" w:rsidRPr="000A1C8E" w:rsidRDefault="00B27742">
            <w:pPr>
              <w:pStyle w:val="TableHeadingsBlue"/>
              <w:widowControl w:val="0"/>
              <w:rPr>
                <w:rFonts w:ascii="Tahoma" w:hAnsi="Tahoma" w:cs="Tahoma"/>
              </w:rPr>
            </w:pPr>
            <w:r w:rsidRPr="000A1C8E">
              <w:rPr>
                <w:rFonts w:ascii="Tahoma" w:hAnsi="Tahoma" w:cs="Tahoma"/>
              </w:rPr>
              <w:t>3An</w:t>
            </w:r>
          </w:p>
        </w:tc>
        <w:tc>
          <w:tcPr>
            <w:tcW w:w="414" w:type="dxa"/>
            <w:tcBorders>
              <w:bottom w:val="single" w:sz="4" w:space="0" w:color="auto"/>
            </w:tcBorders>
            <w:vAlign w:val="center"/>
          </w:tcPr>
          <w:p w:rsidR="00B27742" w:rsidRPr="000A1C8E" w:rsidRDefault="00B27742">
            <w:pPr>
              <w:pStyle w:val="TableHeadingsBlue"/>
              <w:widowControl w:val="0"/>
              <w:rPr>
                <w:rFonts w:ascii="Tahoma" w:hAnsi="Tahoma" w:cs="Tahoma"/>
              </w:rPr>
            </w:pPr>
            <w:r w:rsidRPr="000A1C8E">
              <w:rPr>
                <w:rFonts w:ascii="Tahoma" w:hAnsi="Tahoma" w:cs="Tahoma"/>
              </w:rPr>
              <w:t>2An</w:t>
            </w:r>
          </w:p>
        </w:tc>
        <w:tc>
          <w:tcPr>
            <w:tcW w:w="423" w:type="dxa"/>
            <w:tcBorders>
              <w:bottom w:val="single" w:sz="4" w:space="0" w:color="auto"/>
              <w:right w:val="single" w:sz="18" w:space="0" w:color="auto"/>
            </w:tcBorders>
            <w:vAlign w:val="center"/>
          </w:tcPr>
          <w:p w:rsidR="00B27742" w:rsidRPr="000A1C8E" w:rsidRDefault="00B27742">
            <w:pPr>
              <w:pStyle w:val="TableHeadingsBlue"/>
              <w:widowControl w:val="0"/>
              <w:rPr>
                <w:rFonts w:ascii="Tahoma" w:hAnsi="Tahoma" w:cs="Tahoma"/>
              </w:rPr>
            </w:pPr>
            <w:r w:rsidRPr="000A1C8E">
              <w:rPr>
                <w:rFonts w:ascii="Tahoma" w:hAnsi="Tahoma" w:cs="Tahoma"/>
              </w:rPr>
              <w:t>1An</w:t>
            </w:r>
          </w:p>
        </w:tc>
        <w:tc>
          <w:tcPr>
            <w:tcW w:w="360" w:type="dxa"/>
            <w:vMerge/>
            <w:tcBorders>
              <w:left w:val="single" w:sz="18" w:space="0" w:color="auto"/>
              <w:bottom w:val="single" w:sz="4" w:space="0" w:color="auto"/>
            </w:tcBorders>
            <w:vAlign w:val="center"/>
          </w:tcPr>
          <w:p w:rsidR="00B27742" w:rsidRPr="000A1C8E" w:rsidRDefault="00B27742">
            <w:pPr>
              <w:widowControl w:val="0"/>
              <w:jc w:val="center"/>
              <w:rPr>
                <w:rFonts w:cs="Tahoma"/>
              </w:rPr>
            </w:pPr>
          </w:p>
        </w:tc>
        <w:tc>
          <w:tcPr>
            <w:tcW w:w="450" w:type="dxa"/>
            <w:tcBorders>
              <w:bottom w:val="single" w:sz="4" w:space="0" w:color="auto"/>
            </w:tcBorders>
            <w:vAlign w:val="center"/>
          </w:tcPr>
          <w:p w:rsidR="00B27742" w:rsidRPr="000A1C8E" w:rsidRDefault="00B27742">
            <w:pPr>
              <w:pStyle w:val="TableHeadingsGreen"/>
              <w:widowControl w:val="0"/>
              <w:rPr>
                <w:rFonts w:ascii="Tahoma" w:hAnsi="Tahoma" w:cs="Tahoma"/>
              </w:rPr>
            </w:pPr>
            <w:r w:rsidRPr="000A1C8E">
              <w:rPr>
                <w:rFonts w:ascii="Tahoma" w:hAnsi="Tahoma" w:cs="Tahoma"/>
              </w:rPr>
              <w:t>P</w:t>
            </w:r>
          </w:p>
        </w:tc>
        <w:tc>
          <w:tcPr>
            <w:tcW w:w="396" w:type="dxa"/>
            <w:vMerge/>
            <w:tcBorders>
              <w:bottom w:val="single" w:sz="4" w:space="0" w:color="auto"/>
              <w:right w:val="single" w:sz="18" w:space="0" w:color="auto"/>
            </w:tcBorders>
          </w:tcPr>
          <w:p w:rsidR="00B27742" w:rsidRPr="000A1C8E" w:rsidRDefault="00B27742">
            <w:pPr>
              <w:widowControl w:val="0"/>
              <w:rPr>
                <w:rFonts w:cs="Tahoma"/>
              </w:rPr>
            </w:pPr>
          </w:p>
        </w:tc>
        <w:tc>
          <w:tcPr>
            <w:tcW w:w="459" w:type="dxa"/>
            <w:vMerge/>
            <w:tcBorders>
              <w:left w:val="single" w:sz="18" w:space="0" w:color="auto"/>
              <w:bottom w:val="single" w:sz="4" w:space="0" w:color="auto"/>
            </w:tcBorders>
          </w:tcPr>
          <w:p w:rsidR="00B27742" w:rsidRPr="000A1C8E" w:rsidRDefault="00B27742">
            <w:pPr>
              <w:widowControl w:val="0"/>
              <w:rPr>
                <w:rFonts w:cs="Tahoma"/>
              </w:rPr>
            </w:pPr>
          </w:p>
        </w:tc>
        <w:tc>
          <w:tcPr>
            <w:tcW w:w="396" w:type="dxa"/>
            <w:vMerge/>
            <w:tcBorders>
              <w:bottom w:val="single" w:sz="4" w:space="0" w:color="auto"/>
              <w:right w:val="single" w:sz="18" w:space="0" w:color="auto"/>
            </w:tcBorders>
          </w:tcPr>
          <w:p w:rsidR="00B27742" w:rsidRPr="000A1C8E" w:rsidRDefault="00B27742">
            <w:pPr>
              <w:widowControl w:val="0"/>
              <w:rPr>
                <w:rFonts w:cs="Tahoma"/>
              </w:rPr>
            </w:pPr>
          </w:p>
        </w:tc>
        <w:tc>
          <w:tcPr>
            <w:tcW w:w="378" w:type="dxa"/>
            <w:vMerge/>
            <w:tcBorders>
              <w:left w:val="single" w:sz="18" w:space="0" w:color="auto"/>
              <w:bottom w:val="single" w:sz="4" w:space="0" w:color="auto"/>
              <w:right w:val="single" w:sz="18" w:space="0" w:color="auto"/>
            </w:tcBorders>
          </w:tcPr>
          <w:p w:rsidR="00B27742" w:rsidRPr="000A1C8E" w:rsidRDefault="00B27742">
            <w:pPr>
              <w:widowControl w:val="0"/>
              <w:rPr>
                <w:rFonts w:cs="Tahoma"/>
              </w:rPr>
            </w:pPr>
          </w:p>
        </w:tc>
        <w:tc>
          <w:tcPr>
            <w:tcW w:w="720" w:type="dxa"/>
            <w:vMerge/>
            <w:tcBorders>
              <w:bottom w:val="single" w:sz="4" w:space="0" w:color="auto"/>
            </w:tcBorders>
          </w:tcPr>
          <w:p w:rsidR="00B27742" w:rsidRPr="000A1C8E" w:rsidRDefault="00B27742">
            <w:pPr>
              <w:widowControl w:val="0"/>
              <w:rPr>
                <w:rFonts w:cs="Tahoma"/>
              </w:rPr>
            </w:pPr>
          </w:p>
        </w:tc>
        <w:tc>
          <w:tcPr>
            <w:tcW w:w="551" w:type="dxa"/>
            <w:vMerge/>
            <w:tcBorders>
              <w:bottom w:val="single" w:sz="4" w:space="0" w:color="auto"/>
            </w:tcBorders>
          </w:tcPr>
          <w:p w:rsidR="00B27742" w:rsidRPr="000A1C8E" w:rsidRDefault="00B27742">
            <w:pPr>
              <w:widowControl w:val="0"/>
              <w:rPr>
                <w:rFonts w:cs="Tahoma"/>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B27742" w:rsidRPr="000A1C8E" w:rsidRDefault="00B27742" w:rsidP="004F6A95">
            <w:pPr>
              <w:pStyle w:val="ProductNames"/>
              <w:spacing w:beforeLines="20" w:before="48" w:afterLines="20" w:after="48"/>
              <w:rPr>
                <w:rFonts w:ascii="Tahoma" w:hAnsi="Tahoma" w:cs="Tahoma"/>
                <w:sz w:val="14"/>
              </w:rPr>
            </w:pPr>
            <w:bookmarkStart w:id="15" w:name="_Toc336337843"/>
            <w:bookmarkStart w:id="16" w:name="_Toc361828947"/>
            <w:r w:rsidRPr="000A1C8E">
              <w:rPr>
                <w:rFonts w:ascii="Tahoma" w:hAnsi="Tahoma" w:cs="Tahoma"/>
                <w:sz w:val="14"/>
              </w:rPr>
              <w:t xml:space="preserve">Access </w:t>
            </w:r>
            <w:bookmarkEnd w:id="15"/>
            <w:r w:rsidRPr="000A1C8E">
              <w:rPr>
                <w:rFonts w:ascii="Tahoma" w:hAnsi="Tahoma" w:cs="Tahoma"/>
                <w:sz w:val="14"/>
              </w:rPr>
              <w:t>2013</w:t>
            </w:r>
            <w:bookmarkEnd w:id="16"/>
          </w:p>
        </w:tc>
        <w:tc>
          <w:tcPr>
            <w:tcW w:w="429" w:type="dxa"/>
            <w:tcBorders>
              <w:bottom w:val="single" w:sz="4" w:space="0" w:color="auto"/>
            </w:tcBorders>
            <w:shd w:val="clear" w:color="auto" w:fill="FABF8F"/>
            <w:vAlign w:val="center"/>
          </w:tcPr>
          <w:p w:rsidR="00B27742" w:rsidRPr="00DC1AC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0A1C8E" w:rsidRDefault="00014EAD" w:rsidP="004000C7">
            <w:pPr>
              <w:pStyle w:val="TableText"/>
              <w:widowControl w:val="0"/>
              <w:rPr>
                <w:rFonts w:ascii="Tahoma" w:hAnsi="Tahoma" w:cs="Tahoma"/>
                <w:color w:val="000000"/>
                <w:sz w:val="13"/>
              </w:rPr>
            </w:pPr>
            <w:r w:rsidRPr="000A1C8E">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color w:val="000000"/>
                <w:sz w:val="13"/>
              </w:rPr>
            </w:pPr>
            <w:r w:rsidRPr="000A1C8E">
              <w:rPr>
                <w:rFonts w:ascii="Tahoma" w:hAnsi="Tahoma" w:cs="Tahoma"/>
                <w:color w:val="000000"/>
                <w:sz w:val="13"/>
              </w:rPr>
              <w:t>DT</w:t>
            </w:r>
          </w:p>
        </w:tc>
        <w:tc>
          <w:tcPr>
            <w:tcW w:w="366"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tcPr>
          <w:p w:rsidR="00B27742" w:rsidRPr="000A1C8E" w:rsidRDefault="00B27742" w:rsidP="004B3534">
            <w:pPr>
              <w:pStyle w:val="TableText"/>
              <w:widowControl w:val="0"/>
              <w:rPr>
                <w:rFonts w:ascii="Tahoma" w:hAnsi="Tahoma" w:cs="Tahoma"/>
                <w:sz w:val="13"/>
              </w:rPr>
            </w:pPr>
          </w:p>
        </w:tc>
        <w:tc>
          <w:tcPr>
            <w:tcW w:w="551"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FFFFF"/>
            <w:vAlign w:val="center"/>
          </w:tcPr>
          <w:p w:rsidR="00B27742" w:rsidRPr="000A1C8E" w:rsidRDefault="00B27742" w:rsidP="004F6A95">
            <w:pPr>
              <w:pStyle w:val="ProductNames"/>
              <w:spacing w:beforeLines="20" w:before="48" w:afterLines="20" w:after="48"/>
              <w:rPr>
                <w:rFonts w:ascii="Tahoma" w:hAnsi="Tahoma" w:cs="Tahoma"/>
                <w:sz w:val="14"/>
              </w:rPr>
            </w:pPr>
            <w:bookmarkStart w:id="17" w:name="_Toc336337844"/>
            <w:bookmarkStart w:id="18" w:name="_Toc361828948"/>
            <w:r w:rsidRPr="000A1C8E">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rsidR="00B27742" w:rsidRPr="00DC1AC3"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0A1C8E" w:rsidRDefault="00E64830" w:rsidP="004000C7">
            <w:pPr>
              <w:pStyle w:val="TableText"/>
              <w:widowControl w:val="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p>
        </w:tc>
        <w:tc>
          <w:tcPr>
            <w:tcW w:w="366" w:type="dxa"/>
            <w:tcBorders>
              <w:left w:val="single" w:sz="18" w:space="0" w:color="auto"/>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FFFFF"/>
            <w:vAlign w:val="center"/>
          </w:tcPr>
          <w:p w:rsidR="00B27742" w:rsidRPr="000A1C8E" w:rsidRDefault="00F440FF" w:rsidP="00080B33">
            <w:pPr>
              <w:pStyle w:val="TableText"/>
              <w:widowControl w:val="0"/>
              <w:rPr>
                <w:rFonts w:ascii="Tahoma" w:hAnsi="Tahoma" w:cs="Tahoma"/>
                <w:sz w:val="13"/>
              </w:rPr>
            </w:pPr>
            <w:r w:rsidRPr="000A1C8E">
              <w:rPr>
                <w:rFonts w:ascii="Tahoma" w:hAnsi="Tahoma" w:cs="Tahoma"/>
                <w:sz w:val="13"/>
              </w:rPr>
              <w:t>A</w:t>
            </w:r>
          </w:p>
        </w:tc>
        <w:tc>
          <w:tcPr>
            <w:tcW w:w="551" w:type="dxa"/>
            <w:tcBorders>
              <w:bottom w:val="single" w:sz="4" w:space="0" w:color="auto"/>
            </w:tcBorders>
            <w:shd w:val="clear" w:color="auto" w:fill="FFFFFF"/>
            <w:vAlign w:val="center"/>
          </w:tcPr>
          <w:p w:rsidR="00B27742" w:rsidRPr="000A1C8E" w:rsidRDefault="00B27742"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B27742" w:rsidRPr="000A1C8E" w:rsidRDefault="00B27742" w:rsidP="004F6A95">
            <w:pPr>
              <w:pStyle w:val="ProductNames"/>
              <w:spacing w:beforeLines="20" w:before="48" w:afterLines="20" w:after="48"/>
              <w:rPr>
                <w:rFonts w:ascii="Tahoma" w:hAnsi="Tahoma" w:cs="Tahoma"/>
                <w:sz w:val="14"/>
              </w:rPr>
            </w:pPr>
            <w:bookmarkStart w:id="19" w:name="_Toc336337846"/>
            <w:bookmarkStart w:id="20" w:name="_Toc361828949"/>
            <w:r w:rsidRPr="000A1C8E">
              <w:rPr>
                <w:rFonts w:ascii="Tahoma" w:hAnsi="Tahoma" w:cs="Tahoma"/>
                <w:sz w:val="14"/>
              </w:rPr>
              <w:t xml:space="preserve">Excel </w:t>
            </w:r>
            <w:bookmarkEnd w:id="19"/>
            <w:r w:rsidRPr="000A1C8E">
              <w:rPr>
                <w:rFonts w:ascii="Tahoma" w:hAnsi="Tahoma" w:cs="Tahoma"/>
                <w:sz w:val="14"/>
              </w:rPr>
              <w:t>2013</w:t>
            </w:r>
            <w:bookmarkEnd w:id="20"/>
          </w:p>
        </w:tc>
        <w:tc>
          <w:tcPr>
            <w:tcW w:w="429" w:type="dxa"/>
            <w:tcBorders>
              <w:bottom w:val="single" w:sz="4" w:space="0" w:color="auto"/>
            </w:tcBorders>
            <w:shd w:val="clear" w:color="auto" w:fill="FABF8F"/>
            <w:vAlign w:val="center"/>
          </w:tcPr>
          <w:p w:rsidR="00B27742" w:rsidRPr="00DC1AC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0A1C8E" w:rsidRDefault="00014EAD" w:rsidP="004000C7">
            <w:pPr>
              <w:pStyle w:val="TableText"/>
              <w:widowControl w:val="0"/>
              <w:rPr>
                <w:rFonts w:ascii="Tahoma" w:hAnsi="Tahoma" w:cs="Tahoma"/>
                <w:color w:val="000000"/>
                <w:sz w:val="13"/>
              </w:rPr>
            </w:pPr>
            <w:r w:rsidRPr="000A1C8E">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color w:val="000000"/>
                <w:sz w:val="13"/>
              </w:rPr>
            </w:pPr>
            <w:r w:rsidRPr="000A1C8E">
              <w:rPr>
                <w:rFonts w:ascii="Tahoma" w:hAnsi="Tahoma" w:cs="Tahoma"/>
                <w:color w:val="000000"/>
                <w:sz w:val="13"/>
              </w:rPr>
              <w:t>DT</w:t>
            </w:r>
          </w:p>
        </w:tc>
        <w:tc>
          <w:tcPr>
            <w:tcW w:w="366"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B27742" w:rsidRPr="000A1C8E" w:rsidRDefault="00B27742" w:rsidP="00080B33">
            <w:pPr>
              <w:pStyle w:val="TableText"/>
              <w:widowControl w:val="0"/>
              <w:rPr>
                <w:rFonts w:ascii="Tahoma" w:hAnsi="Tahoma" w:cs="Tahoma"/>
                <w:sz w:val="13"/>
              </w:rPr>
            </w:pPr>
          </w:p>
        </w:tc>
        <w:tc>
          <w:tcPr>
            <w:tcW w:w="551"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r>
      <w:tr w:rsidR="00761323" w:rsidRPr="000A1C8E" w:rsidTr="00E74A9E">
        <w:trPr>
          <w:cantSplit/>
          <w:trHeight w:val="278"/>
        </w:trPr>
        <w:tc>
          <w:tcPr>
            <w:tcW w:w="2638" w:type="dxa"/>
            <w:tcBorders>
              <w:bottom w:val="single" w:sz="4" w:space="0" w:color="auto"/>
            </w:tcBorders>
            <w:shd w:val="clear" w:color="auto" w:fill="auto"/>
            <w:vAlign w:val="center"/>
          </w:tcPr>
          <w:p w:rsidR="00B27742" w:rsidRPr="000A1C8E" w:rsidRDefault="00B27742" w:rsidP="004F6A95">
            <w:pPr>
              <w:pStyle w:val="ProductNames"/>
              <w:spacing w:beforeLines="20" w:before="48" w:afterLines="20" w:after="48"/>
              <w:rPr>
                <w:rFonts w:ascii="Tahoma" w:hAnsi="Tahoma" w:cs="Tahoma"/>
                <w:sz w:val="14"/>
              </w:rPr>
            </w:pPr>
            <w:bookmarkStart w:id="21" w:name="_Toc336337847"/>
            <w:bookmarkStart w:id="22" w:name="_Toc361828950"/>
            <w:r w:rsidRPr="000A1C8E">
              <w:rPr>
                <w:rFonts w:ascii="Tahoma" w:hAnsi="Tahoma" w:cs="Tahoma"/>
                <w:sz w:val="14"/>
              </w:rPr>
              <w:t>Excel para Mac 2011</w:t>
            </w:r>
            <w:bookmarkEnd w:id="21"/>
            <w:bookmarkEnd w:id="22"/>
          </w:p>
        </w:tc>
        <w:tc>
          <w:tcPr>
            <w:tcW w:w="429" w:type="dxa"/>
            <w:tcBorders>
              <w:bottom w:val="single" w:sz="4" w:space="0" w:color="auto"/>
            </w:tcBorders>
            <w:shd w:val="clear" w:color="auto" w:fill="auto"/>
            <w:vAlign w:val="center"/>
          </w:tcPr>
          <w:p w:rsidR="00B27742" w:rsidRPr="00DC1AC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0A1C8E" w:rsidRDefault="00B27742" w:rsidP="004000C7">
            <w:pPr>
              <w:pStyle w:val="TableText"/>
              <w:widowControl w:val="0"/>
              <w:rPr>
                <w:rFonts w:ascii="Tahoma" w:hAnsi="Tahoma" w:cs="Tahoma"/>
                <w:color w:val="000000"/>
                <w:sz w:val="13"/>
              </w:rPr>
            </w:pPr>
            <w:r w:rsidRPr="000A1C8E">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color w:val="000000"/>
                <w:sz w:val="13"/>
              </w:rPr>
            </w:pPr>
            <w:r w:rsidRPr="000A1C8E">
              <w:rPr>
                <w:rFonts w:ascii="Tahoma" w:hAnsi="Tahoma" w:cs="Tahoma"/>
                <w:color w:val="000000"/>
                <w:sz w:val="13"/>
              </w:rPr>
              <w:t>DT</w:t>
            </w:r>
          </w:p>
        </w:tc>
        <w:tc>
          <w:tcPr>
            <w:tcW w:w="366"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B27742" w:rsidRPr="000A1C8E" w:rsidRDefault="00B27742" w:rsidP="00080B33">
            <w:pPr>
              <w:pStyle w:val="TableText"/>
              <w:widowControl w:val="0"/>
              <w:rPr>
                <w:rFonts w:ascii="Tahoma" w:hAnsi="Tahoma" w:cs="Tahoma"/>
                <w:sz w:val="13"/>
              </w:rPr>
            </w:pPr>
          </w:p>
        </w:tc>
        <w:tc>
          <w:tcPr>
            <w:tcW w:w="551"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B27742" w:rsidRPr="000A1C8E" w:rsidRDefault="00B27742" w:rsidP="004F6A95">
            <w:pPr>
              <w:pStyle w:val="Heading2"/>
              <w:spacing w:beforeLines="20" w:before="48" w:afterLines="20" w:after="48"/>
              <w:ind w:left="0"/>
              <w:rPr>
                <w:rFonts w:ascii="Tahoma" w:hAnsi="Tahoma" w:cs="Tahoma"/>
                <w:b w:val="0"/>
                <w:sz w:val="14"/>
              </w:rPr>
            </w:pPr>
            <w:bookmarkStart w:id="23" w:name="_Toc336337850"/>
            <w:bookmarkStart w:id="24" w:name="_Toc361828951"/>
            <w:r w:rsidRPr="000A1C8E">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rsidR="00B27742" w:rsidRPr="00DC1AC3" w:rsidRDefault="006C57E7" w:rsidP="00F9515B">
            <w:pPr>
              <w:pStyle w:val="TableText"/>
              <w:widowControl w:val="0"/>
              <w:rPr>
                <w:rStyle w:val="EndnoteReference"/>
                <w:rFonts w:cs="Tahoma"/>
                <w:b w:val="0"/>
                <w:color w:val="0000FF"/>
                <w:sz w:val="13"/>
                <w:szCs w:val="13"/>
                <w:u w:val="single"/>
              </w:rPr>
            </w:pPr>
            <w:hyperlink w:anchor="_12_Expression_Encoder" w:history="1">
              <w:r w:rsidR="003D47E7" w:rsidRPr="00DC1AC3">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0A1C8E" w:rsidRDefault="00913F3F" w:rsidP="004000C7">
            <w:pPr>
              <w:pStyle w:val="TableText"/>
              <w:widowControl w:val="0"/>
              <w:rPr>
                <w:rFonts w:ascii="Tahoma" w:hAnsi="Tahoma" w:cs="Tahoma"/>
                <w:sz w:val="13"/>
              </w:rPr>
            </w:pPr>
            <w:r w:rsidRPr="000A1C8E">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B27742" w:rsidRPr="000A1C8E" w:rsidRDefault="00B27742" w:rsidP="00080B33">
            <w:pPr>
              <w:pStyle w:val="TableText"/>
              <w:widowControl w:val="0"/>
              <w:rPr>
                <w:rFonts w:ascii="Tahoma" w:hAnsi="Tahoma" w:cs="Tahoma"/>
                <w:sz w:val="13"/>
              </w:rPr>
            </w:pPr>
          </w:p>
        </w:tc>
        <w:tc>
          <w:tcPr>
            <w:tcW w:w="551" w:type="dxa"/>
            <w:tcBorders>
              <w:bottom w:val="single" w:sz="4" w:space="0" w:color="auto"/>
            </w:tcBorders>
            <w:shd w:val="clear" w:color="auto" w:fill="FABF8F"/>
            <w:vAlign w:val="center"/>
          </w:tcPr>
          <w:p w:rsidR="00B27742" w:rsidRPr="000A1C8E" w:rsidRDefault="00B27742" w:rsidP="00F9515B">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auto"/>
            <w:vAlign w:val="center"/>
          </w:tcPr>
          <w:p w:rsidR="00B27742" w:rsidRPr="000A1C8E" w:rsidRDefault="00B27742" w:rsidP="004F6A95">
            <w:pPr>
              <w:pStyle w:val="Heading2"/>
              <w:spacing w:beforeLines="20" w:before="48" w:afterLines="20" w:after="48"/>
              <w:ind w:left="0"/>
              <w:rPr>
                <w:rFonts w:ascii="Tahoma" w:hAnsi="Tahoma" w:cs="Tahoma"/>
                <w:b w:val="0"/>
                <w:sz w:val="14"/>
              </w:rPr>
            </w:pPr>
            <w:bookmarkStart w:id="25" w:name="_Toc336337853"/>
            <w:bookmarkStart w:id="26" w:name="_Toc361828952"/>
            <w:r w:rsidRPr="000A1C8E">
              <w:rPr>
                <w:rFonts w:ascii="Tahoma" w:hAnsi="Tahoma" w:cs="Tahoma"/>
                <w:b w:val="0"/>
                <w:sz w:val="14"/>
              </w:rPr>
              <w:t>InfoPath</w:t>
            </w:r>
            <w:r w:rsidR="00C83286" w:rsidRPr="000A1C8E">
              <w:rPr>
                <w:rFonts w:ascii="Tahoma" w:hAnsi="Tahoma" w:cs="Tahoma"/>
                <w:b w:val="0"/>
                <w:sz w:val="14"/>
                <w:vertAlign w:val="superscript"/>
              </w:rPr>
              <w:t>®</w:t>
            </w:r>
            <w:r w:rsidRPr="000A1C8E">
              <w:rPr>
                <w:rFonts w:ascii="Tahoma" w:hAnsi="Tahoma" w:cs="Tahoma"/>
                <w:b w:val="0"/>
                <w:sz w:val="14"/>
              </w:rPr>
              <w:t xml:space="preserve"> </w:t>
            </w:r>
            <w:bookmarkEnd w:id="25"/>
            <w:r w:rsidRPr="000A1C8E">
              <w:rPr>
                <w:rFonts w:ascii="Tahoma" w:hAnsi="Tahoma" w:cs="Tahoma"/>
                <w:b w:val="0"/>
                <w:sz w:val="14"/>
              </w:rPr>
              <w:t>2013</w:t>
            </w:r>
            <w:bookmarkEnd w:id="26"/>
          </w:p>
        </w:tc>
        <w:tc>
          <w:tcPr>
            <w:tcW w:w="429" w:type="dxa"/>
            <w:tcBorders>
              <w:bottom w:val="single" w:sz="4" w:space="0" w:color="auto"/>
            </w:tcBorders>
            <w:shd w:val="clear" w:color="auto" w:fill="auto"/>
            <w:vAlign w:val="center"/>
          </w:tcPr>
          <w:p w:rsidR="00B27742" w:rsidRPr="00DC1AC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0A1C8E" w:rsidRDefault="00B27742" w:rsidP="004000C7">
            <w:pPr>
              <w:pStyle w:val="TableText"/>
              <w:widowControl w:val="0"/>
              <w:rPr>
                <w:rFonts w:ascii="Tahoma" w:hAnsi="Tahoma" w:cs="Tahoma"/>
                <w:sz w:val="13"/>
              </w:rPr>
            </w:pPr>
            <w:r w:rsidRPr="000A1C8E">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B27742" w:rsidRPr="000A1C8E" w:rsidRDefault="00B27742" w:rsidP="00080B33">
            <w:pPr>
              <w:pStyle w:val="TableText"/>
              <w:widowControl w:val="0"/>
              <w:rPr>
                <w:rFonts w:ascii="Tahoma" w:hAnsi="Tahoma" w:cs="Tahoma"/>
                <w:sz w:val="13"/>
              </w:rPr>
            </w:pPr>
          </w:p>
        </w:tc>
        <w:tc>
          <w:tcPr>
            <w:tcW w:w="551"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B27742" w:rsidRPr="000A1C8E" w:rsidRDefault="00B27742" w:rsidP="004F6A95">
            <w:pPr>
              <w:pStyle w:val="Heading2"/>
              <w:spacing w:beforeLines="20" w:before="48" w:afterLines="20" w:after="48"/>
              <w:ind w:left="0"/>
              <w:rPr>
                <w:rFonts w:ascii="Tahoma" w:hAnsi="Tahoma" w:cs="Tahoma"/>
                <w:b w:val="0"/>
                <w:sz w:val="14"/>
              </w:rPr>
            </w:pPr>
            <w:bookmarkStart w:id="27" w:name="_Toc336337854"/>
            <w:bookmarkStart w:id="28" w:name="_Toc361828953"/>
            <w:r w:rsidRPr="000A1C8E">
              <w:rPr>
                <w:rFonts w:ascii="Tahoma" w:hAnsi="Tahoma" w:cs="Tahoma"/>
                <w:b w:val="0"/>
                <w:sz w:val="14"/>
              </w:rPr>
              <w:t xml:space="preserve">Lync </w:t>
            </w:r>
            <w:bookmarkEnd w:id="27"/>
            <w:r w:rsidRPr="000A1C8E">
              <w:rPr>
                <w:rFonts w:ascii="Tahoma" w:hAnsi="Tahoma" w:cs="Tahoma"/>
                <w:b w:val="0"/>
                <w:sz w:val="14"/>
              </w:rPr>
              <w:t>2013</w:t>
            </w:r>
            <w:bookmarkEnd w:id="28"/>
          </w:p>
        </w:tc>
        <w:tc>
          <w:tcPr>
            <w:tcW w:w="429" w:type="dxa"/>
            <w:tcBorders>
              <w:bottom w:val="single" w:sz="4" w:space="0" w:color="auto"/>
            </w:tcBorders>
            <w:shd w:val="clear" w:color="auto" w:fill="FABF8F"/>
            <w:vAlign w:val="center"/>
          </w:tcPr>
          <w:p w:rsidR="00B27742" w:rsidRPr="00DC1AC3" w:rsidRDefault="00B27742">
            <w:pPr>
              <w:pStyle w:val="TableText"/>
              <w:widowControl w:val="0"/>
              <w:rPr>
                <w:rStyle w:val="EndnoteReference"/>
                <w:rFonts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rsidR="00B27742" w:rsidRPr="000A1C8E" w:rsidRDefault="00B27742" w:rsidP="004000C7">
            <w:pPr>
              <w:pStyle w:val="TableText"/>
              <w:widowControl w:val="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B27742" w:rsidRPr="000A1C8E" w:rsidRDefault="00F440FF" w:rsidP="00080B33">
            <w:pPr>
              <w:pStyle w:val="TableText"/>
              <w:widowControl w:val="0"/>
              <w:rPr>
                <w:rFonts w:ascii="Tahoma" w:hAnsi="Tahoma" w:cs="Tahoma"/>
                <w:sz w:val="13"/>
              </w:rPr>
            </w:pPr>
            <w:r w:rsidRPr="000A1C8E">
              <w:rPr>
                <w:rFonts w:ascii="Tahoma" w:hAnsi="Tahoma" w:cs="Tahoma"/>
                <w:sz w:val="13"/>
              </w:rPr>
              <w:t>A,</w:t>
            </w:r>
            <w:r w:rsidR="000C0C27" w:rsidRPr="000A1C8E">
              <w:rPr>
                <w:rFonts w:ascii="Tahoma" w:hAnsi="Tahoma" w:cs="Tahoma"/>
                <w:sz w:val="13"/>
              </w:rPr>
              <w:t xml:space="preserve"> </w:t>
            </w:r>
            <w:r w:rsidRPr="000A1C8E">
              <w:rPr>
                <w:rFonts w:ascii="Tahoma" w:hAnsi="Tahoma" w:cs="Tahoma"/>
                <w:sz w:val="13"/>
              </w:rPr>
              <w:t>ST</w:t>
            </w:r>
          </w:p>
        </w:tc>
        <w:tc>
          <w:tcPr>
            <w:tcW w:w="551"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auto"/>
            <w:vAlign w:val="center"/>
          </w:tcPr>
          <w:p w:rsidR="00CA606E" w:rsidRPr="000A1C8E" w:rsidRDefault="00CA606E" w:rsidP="004F6A95">
            <w:pPr>
              <w:pStyle w:val="Heading2"/>
              <w:spacing w:beforeLines="20" w:before="48" w:afterLines="20" w:after="48"/>
              <w:ind w:left="0"/>
              <w:rPr>
                <w:rFonts w:ascii="Tahoma" w:hAnsi="Tahoma" w:cs="Tahoma"/>
                <w:b w:val="0"/>
                <w:sz w:val="14"/>
              </w:rPr>
            </w:pPr>
            <w:bookmarkStart w:id="31" w:name="_Toc336337855"/>
            <w:bookmarkStart w:id="32" w:name="_Toc361828954"/>
            <w:r w:rsidRPr="000A1C8E">
              <w:rPr>
                <w:rFonts w:ascii="Tahoma" w:hAnsi="Tahoma" w:cs="Tahoma"/>
                <w:b w:val="0"/>
                <w:sz w:val="14"/>
              </w:rPr>
              <w:t>Lync para Mac 2011</w:t>
            </w:r>
            <w:bookmarkEnd w:id="31"/>
            <w:bookmarkEnd w:id="32"/>
          </w:p>
        </w:tc>
        <w:tc>
          <w:tcPr>
            <w:tcW w:w="429" w:type="dxa"/>
            <w:tcBorders>
              <w:bottom w:val="single" w:sz="4" w:space="0" w:color="auto"/>
            </w:tcBorders>
            <w:shd w:val="clear" w:color="auto" w:fill="auto"/>
            <w:vAlign w:val="center"/>
          </w:tcPr>
          <w:p w:rsidR="00CA606E" w:rsidRPr="00DC1AC3" w:rsidRDefault="006C57E7" w:rsidP="009832D3">
            <w:pPr>
              <w:pStyle w:val="TableText"/>
              <w:widowControl w:val="0"/>
              <w:rPr>
                <w:rStyle w:val="EndnoteReference"/>
                <w:rFonts w:cs="Tahoma"/>
                <w:b w:val="0"/>
                <w:color w:val="0000FF"/>
                <w:sz w:val="13"/>
                <w:szCs w:val="13"/>
                <w:u w:val="single"/>
              </w:rPr>
            </w:pPr>
            <w:hyperlink w:anchor="_2_Lync_para" w:history="1">
              <w:r w:rsidR="003D47E7" w:rsidRPr="00DC1AC3">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0A1C8E" w:rsidRDefault="00C4684B" w:rsidP="004000C7">
            <w:pPr>
              <w:pStyle w:val="TableText"/>
              <w:widowControl w:val="0"/>
              <w:rPr>
                <w:rFonts w:ascii="Tahoma" w:hAnsi="Tahoma" w:cs="Tahoma"/>
                <w:sz w:val="13"/>
              </w:rPr>
            </w:pPr>
            <w:r w:rsidRPr="000A1C8E">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CA606E" w:rsidRPr="000A1C8E" w:rsidRDefault="00CA606E" w:rsidP="00080B33">
            <w:pPr>
              <w:pStyle w:val="TableText"/>
              <w:widowControl w:val="0"/>
              <w:rPr>
                <w:rFonts w:ascii="Tahoma" w:hAnsi="Tahoma" w:cs="Tahoma"/>
                <w:sz w:val="13"/>
              </w:rPr>
            </w:pPr>
          </w:p>
        </w:tc>
        <w:tc>
          <w:tcPr>
            <w:tcW w:w="551" w:type="dxa"/>
            <w:tcBorders>
              <w:bottom w:val="single" w:sz="4" w:space="0" w:color="auto"/>
            </w:tcBorders>
            <w:shd w:val="clear" w:color="auto" w:fill="auto"/>
            <w:vAlign w:val="center"/>
          </w:tcPr>
          <w:p w:rsidR="00CA606E" w:rsidRPr="000A1C8E" w:rsidRDefault="00CA606E" w:rsidP="00703595">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B27742" w:rsidRPr="000A1C8E" w:rsidRDefault="00B27742" w:rsidP="004F6A95">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61828955"/>
            <w:r w:rsidRPr="000A1C8E">
              <w:rPr>
                <w:rFonts w:ascii="Tahoma" w:hAnsi="Tahoma" w:cs="Tahoma"/>
                <w:b w:val="0"/>
                <w:sz w:val="14"/>
              </w:rPr>
              <w:t>MapPoint</w:t>
            </w:r>
            <w:r w:rsidR="00C83286" w:rsidRPr="000A1C8E">
              <w:rPr>
                <w:rFonts w:ascii="Tahoma" w:hAnsi="Tahoma" w:cs="Tahoma"/>
                <w:b w:val="0"/>
                <w:sz w:val="14"/>
                <w:vertAlign w:val="superscript"/>
              </w:rPr>
              <w:t>®</w:t>
            </w:r>
            <w:r w:rsidRPr="000A1C8E">
              <w:rPr>
                <w:rFonts w:ascii="Tahoma" w:hAnsi="Tahoma" w:cs="Tahoma"/>
                <w:b w:val="0"/>
                <w:sz w:val="14"/>
              </w:rPr>
              <w:t xml:space="preserve"> Fleet Edition </w:t>
            </w:r>
            <w:bookmarkEnd w:id="33"/>
            <w:r w:rsidRPr="000A1C8E">
              <w:rPr>
                <w:rFonts w:ascii="Tahoma" w:hAnsi="Tahoma" w:cs="Tahoma"/>
                <w:b w:val="0"/>
                <w:sz w:val="14"/>
              </w:rPr>
              <w:t>2013</w:t>
            </w:r>
            <w:bookmarkEnd w:id="34"/>
            <w:bookmarkEnd w:id="35"/>
          </w:p>
        </w:tc>
        <w:tc>
          <w:tcPr>
            <w:tcW w:w="429" w:type="dxa"/>
            <w:tcBorders>
              <w:bottom w:val="single" w:sz="4" w:space="0" w:color="auto"/>
            </w:tcBorders>
            <w:shd w:val="clear" w:color="auto" w:fill="FABF8F"/>
            <w:vAlign w:val="center"/>
          </w:tcPr>
          <w:p w:rsidR="00B27742" w:rsidRPr="00DC1AC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0A1C8E" w:rsidRDefault="00097B90" w:rsidP="004000C7">
            <w:pPr>
              <w:pStyle w:val="TableText"/>
              <w:widowControl w:val="0"/>
              <w:rPr>
                <w:rFonts w:ascii="Tahoma" w:hAnsi="Tahoma" w:cs="Tahoma"/>
                <w:sz w:val="13"/>
              </w:rPr>
            </w:pPr>
            <w:r w:rsidRPr="000A1C8E">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4</w:t>
            </w:r>
          </w:p>
        </w:tc>
        <w:tc>
          <w:tcPr>
            <w:tcW w:w="405"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10</w:t>
            </w:r>
          </w:p>
        </w:tc>
        <w:tc>
          <w:tcPr>
            <w:tcW w:w="405"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8</w:t>
            </w:r>
          </w:p>
        </w:tc>
        <w:tc>
          <w:tcPr>
            <w:tcW w:w="450"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6</w:t>
            </w:r>
          </w:p>
        </w:tc>
        <w:tc>
          <w:tcPr>
            <w:tcW w:w="432"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6</w:t>
            </w:r>
          </w:p>
        </w:tc>
        <w:tc>
          <w:tcPr>
            <w:tcW w:w="414"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4</w:t>
            </w:r>
          </w:p>
        </w:tc>
        <w:tc>
          <w:tcPr>
            <w:tcW w:w="423"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360"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4</w:t>
            </w:r>
          </w:p>
        </w:tc>
        <w:tc>
          <w:tcPr>
            <w:tcW w:w="450"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8</w:t>
            </w: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4</w:t>
            </w:r>
          </w:p>
        </w:tc>
        <w:tc>
          <w:tcPr>
            <w:tcW w:w="459"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B27742" w:rsidRPr="000A1C8E" w:rsidRDefault="00B27742" w:rsidP="00080B33">
            <w:pPr>
              <w:pStyle w:val="TableText"/>
              <w:widowControl w:val="0"/>
              <w:rPr>
                <w:rFonts w:ascii="Tahoma" w:hAnsi="Tahoma" w:cs="Tahoma"/>
                <w:sz w:val="13"/>
              </w:rPr>
            </w:pPr>
          </w:p>
        </w:tc>
        <w:tc>
          <w:tcPr>
            <w:tcW w:w="551" w:type="dxa"/>
            <w:tcBorders>
              <w:bottom w:val="single" w:sz="4" w:space="0" w:color="auto"/>
            </w:tcBorders>
            <w:shd w:val="clear" w:color="auto" w:fill="FABF8F"/>
            <w:vAlign w:val="center"/>
          </w:tcPr>
          <w:p w:rsidR="00B27742" w:rsidRPr="000A1C8E" w:rsidRDefault="00B27742" w:rsidP="004B3534">
            <w:pPr>
              <w:pStyle w:val="TableText"/>
              <w:widowControl w:val="0"/>
              <w:rPr>
                <w:rFonts w:ascii="Tahoma" w:hAnsi="Tahoma" w:cs="Tahoma"/>
                <w:sz w:val="13"/>
              </w:rPr>
            </w:pPr>
          </w:p>
        </w:tc>
      </w:tr>
      <w:tr w:rsidR="00761323" w:rsidRPr="000A1C8E" w:rsidTr="00E74A9E">
        <w:trPr>
          <w:cantSplit/>
          <w:trHeight w:val="323"/>
        </w:trPr>
        <w:tc>
          <w:tcPr>
            <w:tcW w:w="2638" w:type="dxa"/>
            <w:tcBorders>
              <w:bottom w:val="single" w:sz="4" w:space="0" w:color="auto"/>
            </w:tcBorders>
            <w:shd w:val="clear" w:color="auto" w:fill="auto"/>
            <w:vAlign w:val="center"/>
          </w:tcPr>
          <w:p w:rsidR="00B27742" w:rsidRPr="000A1C8E" w:rsidRDefault="00B27742" w:rsidP="004F6A95">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61828956"/>
            <w:r w:rsidRPr="000A1C8E">
              <w:rPr>
                <w:rFonts w:ascii="Tahoma" w:hAnsi="Tahoma" w:cs="Tahoma"/>
                <w:b w:val="0"/>
                <w:sz w:val="14"/>
              </w:rPr>
              <w:t>MapPoint</w:t>
            </w:r>
            <w:r w:rsidR="00C83286" w:rsidRPr="000A1C8E">
              <w:rPr>
                <w:rFonts w:ascii="Tahoma" w:hAnsi="Tahoma" w:cs="Tahoma"/>
                <w:b w:val="0"/>
                <w:sz w:val="14"/>
                <w:vertAlign w:val="superscript"/>
              </w:rPr>
              <w:t>®</w:t>
            </w:r>
            <w:r w:rsidRPr="000A1C8E">
              <w:rPr>
                <w:rFonts w:ascii="Tahoma" w:hAnsi="Tahoma" w:cs="Tahoma"/>
                <w:b w:val="0"/>
                <w:sz w:val="14"/>
              </w:rPr>
              <w:t xml:space="preserve"> 2013 para Windows</w:t>
            </w:r>
            <w:bookmarkEnd w:id="36"/>
            <w:bookmarkEnd w:id="37"/>
            <w:bookmarkEnd w:id="38"/>
          </w:p>
        </w:tc>
        <w:tc>
          <w:tcPr>
            <w:tcW w:w="429" w:type="dxa"/>
            <w:tcBorders>
              <w:bottom w:val="single" w:sz="4" w:space="0" w:color="auto"/>
            </w:tcBorders>
            <w:shd w:val="clear" w:color="auto" w:fill="auto"/>
            <w:vAlign w:val="center"/>
          </w:tcPr>
          <w:p w:rsidR="00B27742" w:rsidRPr="00DC1AC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0A1C8E" w:rsidRDefault="00097B90" w:rsidP="004000C7">
            <w:pPr>
              <w:pStyle w:val="TableText"/>
              <w:widowControl w:val="0"/>
              <w:rPr>
                <w:rFonts w:ascii="Tahoma" w:hAnsi="Tahoma" w:cs="Tahoma"/>
                <w:color w:val="000000"/>
                <w:sz w:val="13"/>
              </w:rPr>
            </w:pPr>
            <w:r w:rsidRPr="000A1C8E">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color w:val="000000"/>
                <w:sz w:val="13"/>
              </w:rPr>
            </w:pPr>
            <w:r w:rsidRPr="000A1C8E">
              <w:rPr>
                <w:rFonts w:ascii="Tahoma" w:hAnsi="Tahoma" w:cs="Tahoma"/>
                <w:color w:val="000000"/>
                <w:sz w:val="13"/>
              </w:rPr>
              <w:t>DT</w:t>
            </w:r>
          </w:p>
        </w:tc>
        <w:tc>
          <w:tcPr>
            <w:tcW w:w="366"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B27742" w:rsidRPr="000A1C8E" w:rsidRDefault="00F440FF" w:rsidP="00080B33">
            <w:pPr>
              <w:pStyle w:val="TableText"/>
              <w:widowControl w:val="0"/>
              <w:rPr>
                <w:rFonts w:ascii="Tahoma" w:hAnsi="Tahoma" w:cs="Tahoma"/>
                <w:sz w:val="13"/>
              </w:rPr>
            </w:pPr>
            <w:r w:rsidRPr="000A1C8E">
              <w:rPr>
                <w:rFonts w:ascii="Tahoma" w:hAnsi="Tahoma" w:cs="Tahoma"/>
                <w:sz w:val="13"/>
              </w:rPr>
              <w:t>A, AO, ST</w:t>
            </w:r>
          </w:p>
        </w:tc>
        <w:tc>
          <w:tcPr>
            <w:tcW w:w="551" w:type="dxa"/>
            <w:tcBorders>
              <w:bottom w:val="single" w:sz="4" w:space="0" w:color="auto"/>
            </w:tcBorders>
            <w:shd w:val="clear" w:color="auto" w:fill="auto"/>
            <w:vAlign w:val="center"/>
          </w:tcPr>
          <w:p w:rsidR="00B27742" w:rsidRPr="000A1C8E" w:rsidRDefault="00B27742" w:rsidP="004B3534">
            <w:pPr>
              <w:pStyle w:val="TableText"/>
              <w:widowControl w:val="0"/>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FABF8F"/>
            <w:vAlign w:val="center"/>
          </w:tcPr>
          <w:p w:rsidR="00B27742" w:rsidRPr="000A1C8E" w:rsidRDefault="00B27742" w:rsidP="004F6A95">
            <w:pPr>
              <w:pStyle w:val="Heading2"/>
              <w:spacing w:beforeLines="20" w:before="48" w:afterLines="20" w:after="48"/>
              <w:ind w:left="0"/>
              <w:rPr>
                <w:rFonts w:ascii="Tahoma" w:hAnsi="Tahoma" w:cs="Tahoma"/>
                <w:b w:val="0"/>
                <w:sz w:val="14"/>
              </w:rPr>
            </w:pPr>
            <w:bookmarkStart w:id="39" w:name="_Toc336337858"/>
            <w:bookmarkStart w:id="40" w:name="_Toc361828957"/>
            <w:r w:rsidRPr="000A1C8E">
              <w:rPr>
                <w:rFonts w:ascii="Tahoma" w:hAnsi="Tahoma" w:cs="Tahoma"/>
                <w:b w:val="0"/>
                <w:sz w:val="14"/>
              </w:rPr>
              <w:t>MSDN Operating Systems</w:t>
            </w:r>
            <w:bookmarkEnd w:id="39"/>
            <w:bookmarkEnd w:id="40"/>
          </w:p>
        </w:tc>
        <w:tc>
          <w:tcPr>
            <w:tcW w:w="429" w:type="dxa"/>
            <w:tcBorders>
              <w:bottom w:val="single" w:sz="4" w:space="0" w:color="auto"/>
            </w:tcBorders>
            <w:shd w:val="clear" w:color="auto" w:fill="FABF8F"/>
            <w:vAlign w:val="center"/>
          </w:tcPr>
          <w:p w:rsidR="00B27742" w:rsidRPr="00DC1AC3" w:rsidRDefault="006C57E7" w:rsidP="009832D3">
            <w:pPr>
              <w:pStyle w:val="TableText"/>
              <w:widowControl w:val="0"/>
              <w:rPr>
                <w:rStyle w:val="EndnoteReference"/>
                <w:rFonts w:cs="Tahoma"/>
                <w:b w:val="0"/>
                <w:color w:val="0000FF"/>
                <w:sz w:val="13"/>
                <w:szCs w:val="13"/>
                <w:u w:val="single"/>
              </w:rPr>
            </w:pPr>
            <w:hyperlink w:anchor="_3_Sistemas_Operacionais" w:history="1">
              <w:r w:rsidR="003D47E7" w:rsidRPr="00DC1AC3">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0A1C8E" w:rsidRDefault="00B27742" w:rsidP="004000C7">
            <w:pPr>
              <w:pStyle w:val="TableText"/>
              <w:rPr>
                <w:rFonts w:ascii="Tahoma" w:hAnsi="Tahoma" w:cs="Tahoma"/>
                <w:sz w:val="13"/>
              </w:rPr>
            </w:pPr>
            <w:r w:rsidRPr="000A1C8E">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rPr>
                <w:rFonts w:ascii="Tahoma" w:hAnsi="Tahoma" w:cs="Tahoma"/>
                <w:sz w:val="13"/>
              </w:rPr>
            </w:pPr>
          </w:p>
        </w:tc>
        <w:tc>
          <w:tcPr>
            <w:tcW w:w="366"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p>
        </w:tc>
        <w:tc>
          <w:tcPr>
            <w:tcW w:w="405" w:type="dxa"/>
            <w:tcBorders>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5</w:t>
            </w:r>
          </w:p>
        </w:tc>
        <w:tc>
          <w:tcPr>
            <w:tcW w:w="405" w:type="dxa"/>
            <w:tcBorders>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4</w:t>
            </w:r>
          </w:p>
        </w:tc>
        <w:tc>
          <w:tcPr>
            <w:tcW w:w="450" w:type="dxa"/>
            <w:tcBorders>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3</w:t>
            </w:r>
          </w:p>
        </w:tc>
        <w:tc>
          <w:tcPr>
            <w:tcW w:w="432" w:type="dxa"/>
            <w:tcBorders>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3</w:t>
            </w:r>
          </w:p>
        </w:tc>
        <w:tc>
          <w:tcPr>
            <w:tcW w:w="414" w:type="dxa"/>
            <w:tcBorders>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2</w:t>
            </w:r>
          </w:p>
        </w:tc>
        <w:tc>
          <w:tcPr>
            <w:tcW w:w="423"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4</w:t>
            </w: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2</w:t>
            </w:r>
          </w:p>
        </w:tc>
        <w:tc>
          <w:tcPr>
            <w:tcW w:w="459" w:type="dxa"/>
            <w:tcBorders>
              <w:left w:val="single" w:sz="18" w:space="0" w:color="auto"/>
              <w:bottom w:val="single" w:sz="4"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B27742" w:rsidRPr="000A1C8E" w:rsidRDefault="00B27742"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0A1C8E" w:rsidRDefault="00B27742"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B27742" w:rsidRPr="000A1C8E" w:rsidRDefault="00052BF4" w:rsidP="00080B33">
            <w:pPr>
              <w:pStyle w:val="TableText"/>
              <w:rPr>
                <w:rFonts w:ascii="Tahoma" w:hAnsi="Tahoma" w:cs="Tahoma"/>
                <w:sz w:val="13"/>
              </w:rPr>
            </w:pPr>
            <w:r w:rsidRPr="000A1C8E">
              <w:rPr>
                <w:rFonts w:ascii="Tahoma" w:hAnsi="Tahoma" w:cs="Tahoma"/>
                <w:sz w:val="13"/>
              </w:rPr>
              <w:t>A</w:t>
            </w:r>
          </w:p>
        </w:tc>
        <w:tc>
          <w:tcPr>
            <w:tcW w:w="551" w:type="dxa"/>
            <w:tcBorders>
              <w:bottom w:val="single" w:sz="4" w:space="0" w:color="auto"/>
            </w:tcBorders>
            <w:shd w:val="clear" w:color="auto" w:fill="FABF8F"/>
            <w:vAlign w:val="center"/>
          </w:tcPr>
          <w:p w:rsidR="00B27742" w:rsidRPr="000A1C8E" w:rsidRDefault="00B27742" w:rsidP="004B3534">
            <w:pPr>
              <w:pStyle w:val="TableText"/>
              <w:rPr>
                <w:rFonts w:ascii="Tahoma" w:hAnsi="Tahoma" w:cs="Tahoma"/>
              </w:rPr>
            </w:pPr>
            <w:r w:rsidRPr="000A1C8E">
              <w:rPr>
                <w:rFonts w:ascii="Tahoma" w:hAnsi="Tahoma" w:cs="Tahoma"/>
                <w:sz w:val="13"/>
              </w:rPr>
              <w:t>LO/SA/</w:t>
            </w:r>
          </w:p>
          <w:p w:rsidR="00B27742" w:rsidRPr="000A1C8E" w:rsidRDefault="00B27742" w:rsidP="004B3534">
            <w:pPr>
              <w:pStyle w:val="TableText"/>
              <w:rPr>
                <w:rFonts w:ascii="Tahoma" w:hAnsi="Tahoma" w:cs="Tahoma"/>
                <w:sz w:val="13"/>
              </w:rPr>
            </w:pPr>
            <w:r w:rsidRPr="000A1C8E">
              <w:rPr>
                <w:rFonts w:ascii="Tahoma" w:hAnsi="Tahoma" w:cs="Tahoma"/>
                <w:sz w:val="13"/>
              </w:rPr>
              <w:t>OV</w:t>
            </w:r>
          </w:p>
        </w:tc>
      </w:tr>
      <w:tr w:rsidR="00761323" w:rsidRPr="000A1C8E" w:rsidTr="00E74A9E">
        <w:trPr>
          <w:cantSplit/>
          <w:trHeight w:val="287"/>
        </w:trPr>
        <w:tc>
          <w:tcPr>
            <w:tcW w:w="2638" w:type="dxa"/>
            <w:tcBorders>
              <w:bottom w:val="single" w:sz="4" w:space="0" w:color="auto"/>
            </w:tcBorders>
            <w:shd w:val="clear" w:color="auto" w:fill="auto"/>
            <w:vAlign w:val="center"/>
          </w:tcPr>
          <w:p w:rsidR="00A4054A" w:rsidRPr="000A1C8E" w:rsidRDefault="00A4054A" w:rsidP="004F6A95">
            <w:pPr>
              <w:pStyle w:val="Heading2"/>
              <w:spacing w:beforeLines="20" w:before="48" w:afterLines="20" w:after="48"/>
              <w:ind w:left="0"/>
              <w:rPr>
                <w:rFonts w:ascii="Tahoma" w:hAnsi="Tahoma" w:cs="Tahoma"/>
                <w:b w:val="0"/>
                <w:sz w:val="14"/>
              </w:rPr>
            </w:pPr>
            <w:bookmarkStart w:id="41" w:name="_Toc361828958"/>
            <w:r w:rsidRPr="000A1C8E">
              <w:rPr>
                <w:rFonts w:ascii="Tahoma" w:hAnsi="Tahoma" w:cs="Tahoma"/>
                <w:b w:val="0"/>
                <w:sz w:val="14"/>
              </w:rPr>
              <w:t>Plataformas MSDN</w:t>
            </w:r>
            <w:bookmarkEnd w:id="41"/>
          </w:p>
        </w:tc>
        <w:tc>
          <w:tcPr>
            <w:tcW w:w="429" w:type="dxa"/>
            <w:tcBorders>
              <w:bottom w:val="single" w:sz="4" w:space="0" w:color="auto"/>
            </w:tcBorders>
            <w:shd w:val="clear" w:color="auto" w:fill="auto"/>
            <w:vAlign w:val="center"/>
          </w:tcPr>
          <w:p w:rsidR="00A4054A" w:rsidRPr="00DC1AC3" w:rsidRDefault="006C57E7" w:rsidP="009832D3">
            <w:pPr>
              <w:pStyle w:val="TableText"/>
              <w:widowControl w:val="0"/>
              <w:rPr>
                <w:rFonts w:cs="Tahoma"/>
              </w:rPr>
            </w:pPr>
            <w:hyperlink w:anchor="_4_Plataformas_MSDN" w:history="1">
              <w:r w:rsidR="003D47E7" w:rsidRPr="00DC1AC3">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0A1C8E" w:rsidRDefault="00A4054A" w:rsidP="004000C7">
            <w:pPr>
              <w:pStyle w:val="TableText"/>
              <w:widowControl w:val="0"/>
              <w:rPr>
                <w:rFonts w:ascii="Tahoma" w:hAnsi="Tahoma" w:cs="Tahoma"/>
                <w:sz w:val="13"/>
              </w:rPr>
            </w:pPr>
            <w:r w:rsidRPr="000A1C8E">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0A1C8E" w:rsidRDefault="00A4054A" w:rsidP="004B3534">
            <w:pPr>
              <w:pStyle w:val="TableText"/>
              <w:widowControl w:val="0"/>
              <w:rPr>
                <w:rFonts w:ascii="Tahoma" w:hAnsi="Tahoma" w:cs="Tahoma"/>
                <w:sz w:val="13"/>
              </w:rPr>
            </w:pPr>
          </w:p>
        </w:tc>
        <w:tc>
          <w:tcPr>
            <w:tcW w:w="366" w:type="dxa"/>
            <w:tcBorders>
              <w:left w:val="single" w:sz="18" w:space="0" w:color="auto"/>
              <w:bottom w:val="single" w:sz="4" w:space="0" w:color="auto"/>
            </w:tcBorders>
            <w:shd w:val="clear" w:color="auto" w:fill="auto"/>
            <w:vAlign w:val="center"/>
          </w:tcPr>
          <w:p w:rsidR="00A4054A" w:rsidRPr="000A1C8E" w:rsidRDefault="00A4054A" w:rsidP="004B3534">
            <w:pPr>
              <w:pStyle w:val="TableText"/>
              <w:widowControl w:val="0"/>
              <w:rPr>
                <w:rFonts w:ascii="Tahoma" w:hAnsi="Tahoma" w:cs="Tahoma"/>
                <w:sz w:val="13"/>
              </w:rPr>
            </w:pPr>
          </w:p>
        </w:tc>
        <w:tc>
          <w:tcPr>
            <w:tcW w:w="405" w:type="dxa"/>
            <w:tcBorders>
              <w:bottom w:val="single" w:sz="4"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15</w:t>
            </w:r>
          </w:p>
        </w:tc>
        <w:tc>
          <w:tcPr>
            <w:tcW w:w="405" w:type="dxa"/>
            <w:tcBorders>
              <w:bottom w:val="single" w:sz="4"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12</w:t>
            </w:r>
          </w:p>
        </w:tc>
        <w:tc>
          <w:tcPr>
            <w:tcW w:w="450" w:type="dxa"/>
            <w:tcBorders>
              <w:bottom w:val="single" w:sz="4"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9</w:t>
            </w:r>
          </w:p>
        </w:tc>
        <w:tc>
          <w:tcPr>
            <w:tcW w:w="432" w:type="dxa"/>
            <w:tcBorders>
              <w:bottom w:val="single" w:sz="4"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9</w:t>
            </w:r>
          </w:p>
        </w:tc>
        <w:tc>
          <w:tcPr>
            <w:tcW w:w="414" w:type="dxa"/>
            <w:tcBorders>
              <w:bottom w:val="single" w:sz="4"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6</w:t>
            </w:r>
          </w:p>
        </w:tc>
        <w:tc>
          <w:tcPr>
            <w:tcW w:w="423" w:type="dxa"/>
            <w:tcBorders>
              <w:bottom w:val="single" w:sz="4" w:space="0" w:color="auto"/>
              <w:right w:val="single" w:sz="18"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3</w:t>
            </w:r>
          </w:p>
        </w:tc>
        <w:tc>
          <w:tcPr>
            <w:tcW w:w="360" w:type="dxa"/>
            <w:tcBorders>
              <w:left w:val="single" w:sz="18" w:space="0" w:color="auto"/>
              <w:bottom w:val="single" w:sz="4" w:space="0" w:color="auto"/>
            </w:tcBorders>
            <w:shd w:val="clear" w:color="auto" w:fill="auto"/>
            <w:vAlign w:val="center"/>
          </w:tcPr>
          <w:p w:rsidR="00A4054A" w:rsidRPr="000A1C8E" w:rsidRDefault="00A4054A"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12</w:t>
            </w:r>
          </w:p>
        </w:tc>
        <w:tc>
          <w:tcPr>
            <w:tcW w:w="396" w:type="dxa"/>
            <w:tcBorders>
              <w:bottom w:val="single" w:sz="4" w:space="0" w:color="auto"/>
              <w:right w:val="single" w:sz="18"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6</w:t>
            </w:r>
          </w:p>
        </w:tc>
        <w:tc>
          <w:tcPr>
            <w:tcW w:w="459" w:type="dxa"/>
            <w:tcBorders>
              <w:left w:val="single" w:sz="18" w:space="0" w:color="auto"/>
              <w:bottom w:val="single" w:sz="4" w:space="0" w:color="auto"/>
            </w:tcBorders>
            <w:shd w:val="clear" w:color="auto" w:fill="auto"/>
            <w:vAlign w:val="center"/>
          </w:tcPr>
          <w:p w:rsidR="00A4054A" w:rsidRPr="000A1C8E" w:rsidRDefault="007C0DA4" w:rsidP="004B3534">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A4054A" w:rsidRPr="000A1C8E" w:rsidDel="000365B0" w:rsidRDefault="000C676D" w:rsidP="004B3534">
            <w:pPr>
              <w:pStyle w:val="TableText"/>
              <w:widowControl w:val="0"/>
              <w:rPr>
                <w:rFonts w:ascii="Tahoma" w:hAnsi="Tahoma" w:cs="Tahoma"/>
                <w:sz w:val="13"/>
              </w:rPr>
            </w:pPr>
            <w:r w:rsidRPr="000A1C8E">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A4054A" w:rsidRPr="000A1C8E" w:rsidRDefault="000C676D"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A4054A" w:rsidRPr="000A1C8E" w:rsidRDefault="000C676D" w:rsidP="00080B33">
            <w:pPr>
              <w:pStyle w:val="TableText"/>
              <w:widowControl w:val="0"/>
              <w:rPr>
                <w:rFonts w:ascii="Tahoma" w:hAnsi="Tahoma" w:cs="Tahoma"/>
                <w:sz w:val="13"/>
              </w:rPr>
            </w:pPr>
            <w:r w:rsidRPr="000A1C8E">
              <w:rPr>
                <w:rFonts w:ascii="Tahoma" w:hAnsi="Tahoma" w:cs="Tahoma"/>
                <w:sz w:val="13"/>
              </w:rPr>
              <w:t>A, (somente EES)</w:t>
            </w:r>
          </w:p>
        </w:tc>
        <w:tc>
          <w:tcPr>
            <w:tcW w:w="551" w:type="dxa"/>
            <w:tcBorders>
              <w:bottom w:val="single" w:sz="4" w:space="0" w:color="auto"/>
            </w:tcBorders>
            <w:shd w:val="clear" w:color="auto" w:fill="auto"/>
            <w:vAlign w:val="center"/>
          </w:tcPr>
          <w:p w:rsidR="00A4054A" w:rsidRPr="000A1C8E" w:rsidRDefault="00406C4D" w:rsidP="004B3534">
            <w:pPr>
              <w:pStyle w:val="TableText"/>
              <w:widowControl w:val="0"/>
              <w:rPr>
                <w:rFonts w:ascii="Tahoma" w:hAnsi="Tahoma" w:cs="Tahoma"/>
                <w:sz w:val="13"/>
              </w:rPr>
            </w:pPr>
            <w:r w:rsidRPr="000A1C8E">
              <w:rPr>
                <w:rFonts w:ascii="Tahoma" w:hAnsi="Tahoma" w:cs="Tahoma"/>
                <w:sz w:val="13"/>
              </w:rPr>
              <w:t>LO/SA/OV</w:t>
            </w:r>
          </w:p>
        </w:tc>
      </w:tr>
      <w:tr w:rsidR="00761323" w:rsidRPr="000A1C8E" w:rsidTr="00E74A9E">
        <w:trPr>
          <w:cantSplit/>
          <w:trHeight w:val="287"/>
        </w:trPr>
        <w:tc>
          <w:tcPr>
            <w:tcW w:w="2638" w:type="dxa"/>
            <w:tcBorders>
              <w:bottom w:val="single" w:sz="4" w:space="0" w:color="auto"/>
            </w:tcBorders>
            <w:shd w:val="clear" w:color="auto" w:fill="FABF8F"/>
            <w:vAlign w:val="center"/>
          </w:tcPr>
          <w:p w:rsidR="007B2C93" w:rsidRPr="000A1C8E" w:rsidRDefault="007B2C93" w:rsidP="004F6A95">
            <w:pPr>
              <w:pStyle w:val="Heading2"/>
              <w:spacing w:beforeLines="20" w:before="48" w:afterLines="20" w:after="48"/>
              <w:ind w:left="0"/>
              <w:rPr>
                <w:rFonts w:ascii="Tahoma" w:hAnsi="Tahoma" w:cs="Tahoma"/>
                <w:b w:val="0"/>
                <w:sz w:val="14"/>
              </w:rPr>
            </w:pPr>
            <w:bookmarkStart w:id="42" w:name="_Toc336337859"/>
            <w:bookmarkStart w:id="43" w:name="_Toc361828959"/>
            <w:r w:rsidRPr="000A1C8E">
              <w:rPr>
                <w:rFonts w:ascii="Tahoma" w:hAnsi="Tahoma" w:cs="Tahoma"/>
                <w:b w:val="0"/>
                <w:sz w:val="14"/>
              </w:rPr>
              <w:t>Office 365 A2 (SL de Usuário)</w:t>
            </w:r>
            <w:bookmarkEnd w:id="42"/>
            <w:bookmarkEnd w:id="43"/>
          </w:p>
        </w:tc>
        <w:tc>
          <w:tcPr>
            <w:tcW w:w="429" w:type="dxa"/>
            <w:tcBorders>
              <w:bottom w:val="single" w:sz="4" w:space="0" w:color="auto"/>
            </w:tcBorders>
            <w:shd w:val="clear" w:color="auto" w:fill="FABF8F"/>
            <w:vAlign w:val="center"/>
          </w:tcPr>
          <w:p w:rsidR="007B2C93" w:rsidRPr="00DC1AC3" w:rsidRDefault="006C57E7" w:rsidP="009832D3">
            <w:pPr>
              <w:pStyle w:val="TableText"/>
              <w:widowControl w:val="0"/>
              <w:rPr>
                <w:rFonts w:cs="Tahoma"/>
                <w:b/>
                <w:color w:val="0000FF"/>
                <w:sz w:val="13"/>
                <w:szCs w:val="13"/>
                <w:u w:val="single"/>
              </w:rPr>
            </w:pPr>
            <w:hyperlink w:anchor="_5_Office_365_1" w:history="1">
              <w:r w:rsidR="003D47E7" w:rsidRPr="00DC1AC3">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0A1C8E" w:rsidRDefault="007B2C93" w:rsidP="004000C7">
            <w:pPr>
              <w:pStyle w:val="TableText"/>
              <w:widowControl w:val="0"/>
              <w:rPr>
                <w:rFonts w:ascii="Tahoma" w:hAnsi="Tahoma" w:cs="Tahoma"/>
                <w:sz w:val="13"/>
              </w:rPr>
            </w:pPr>
            <w:r w:rsidRPr="000A1C8E">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r w:rsidRPr="000A1C8E">
              <w:rPr>
                <w:rFonts w:ascii="Tahoma" w:hAnsi="Tahoma" w:cs="Tahoma"/>
                <w:sz w:val="13"/>
              </w:rPr>
              <w:t>OSB</w:t>
            </w:r>
          </w:p>
        </w:tc>
        <w:tc>
          <w:tcPr>
            <w:tcW w:w="366" w:type="dxa"/>
            <w:tcBorders>
              <w:left w:val="single" w:sz="18" w:space="0" w:color="auto"/>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459" w:type="dxa"/>
            <w:tcBorders>
              <w:left w:val="single" w:sz="18" w:space="0" w:color="auto"/>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B2C93" w:rsidRPr="000A1C8E" w:rsidDel="000365B0" w:rsidRDefault="007B2C93"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c>
          <w:tcPr>
            <w:tcW w:w="720" w:type="dxa"/>
            <w:tcBorders>
              <w:bottom w:val="single" w:sz="4" w:space="0" w:color="auto"/>
            </w:tcBorders>
            <w:shd w:val="clear" w:color="auto" w:fill="FABF8F"/>
            <w:vAlign w:val="center"/>
          </w:tcPr>
          <w:p w:rsidR="007B2C93" w:rsidRPr="000A1C8E" w:rsidRDefault="007B2C93" w:rsidP="00080B33">
            <w:pPr>
              <w:pStyle w:val="TableText"/>
              <w:widowControl w:val="0"/>
              <w:rPr>
                <w:rFonts w:ascii="Tahoma" w:hAnsi="Tahoma" w:cs="Tahoma"/>
                <w:sz w:val="13"/>
              </w:rPr>
            </w:pPr>
            <w:r w:rsidRPr="000A1C8E">
              <w:rPr>
                <w:rFonts w:ascii="Tahoma" w:hAnsi="Tahoma" w:cs="Tahoma"/>
                <w:sz w:val="13"/>
              </w:rPr>
              <w:t>EOLS (Somente EES)</w:t>
            </w:r>
          </w:p>
        </w:tc>
        <w:tc>
          <w:tcPr>
            <w:tcW w:w="551" w:type="dxa"/>
            <w:tcBorders>
              <w:bottom w:val="single" w:sz="4" w:space="0" w:color="auto"/>
            </w:tcBorders>
            <w:shd w:val="clear" w:color="auto" w:fill="FABF8F"/>
            <w:vAlign w:val="center"/>
          </w:tcPr>
          <w:p w:rsidR="007B2C93" w:rsidRPr="000A1C8E" w:rsidRDefault="007B2C93"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auto"/>
            <w:vAlign w:val="center"/>
          </w:tcPr>
          <w:p w:rsidR="007B2C93" w:rsidRPr="000A1C8E" w:rsidRDefault="007B2C93" w:rsidP="004F6A95">
            <w:pPr>
              <w:pStyle w:val="Heading2"/>
              <w:spacing w:beforeLines="20" w:before="48" w:afterLines="20" w:after="48"/>
              <w:ind w:left="0"/>
              <w:rPr>
                <w:rFonts w:ascii="Tahoma" w:hAnsi="Tahoma" w:cs="Tahoma"/>
                <w:b w:val="0"/>
                <w:sz w:val="14"/>
              </w:rPr>
            </w:pPr>
            <w:bookmarkStart w:id="44" w:name="_Toc336337860"/>
            <w:bookmarkStart w:id="45" w:name="_Toc361828960"/>
            <w:r w:rsidRPr="000A1C8E">
              <w:rPr>
                <w:rFonts w:ascii="Tahoma" w:hAnsi="Tahoma" w:cs="Tahoma"/>
                <w:b w:val="0"/>
                <w:sz w:val="14"/>
              </w:rPr>
              <w:t>Office 365 A3, A4 (SL de Usuário)</w:t>
            </w:r>
            <w:bookmarkEnd w:id="44"/>
            <w:bookmarkEnd w:id="45"/>
          </w:p>
        </w:tc>
        <w:tc>
          <w:tcPr>
            <w:tcW w:w="429" w:type="dxa"/>
            <w:tcBorders>
              <w:bottom w:val="single" w:sz="4" w:space="0" w:color="auto"/>
            </w:tcBorders>
            <w:shd w:val="clear" w:color="auto" w:fill="auto"/>
            <w:vAlign w:val="center"/>
          </w:tcPr>
          <w:p w:rsidR="007B2C93" w:rsidRPr="00DC1AC3" w:rsidRDefault="006C57E7" w:rsidP="009832D3">
            <w:pPr>
              <w:pStyle w:val="TableText"/>
              <w:widowControl w:val="0"/>
              <w:rPr>
                <w:rFonts w:cs="Tahoma"/>
                <w:b/>
                <w:color w:val="0000FF"/>
                <w:sz w:val="13"/>
                <w:szCs w:val="13"/>
                <w:u w:val="single"/>
              </w:rPr>
            </w:pPr>
            <w:hyperlink w:anchor="_5_Office_365_1" w:history="1">
              <w:r w:rsidR="0060391F" w:rsidRPr="00DC1AC3">
                <w:rPr>
                  <w:rStyle w:val="Hyperlink"/>
                  <w:rFonts w:cs="Tahoma"/>
                  <w:b/>
                  <w:sz w:val="13"/>
                  <w:szCs w:val="13"/>
                </w:rPr>
                <w:t>5</w:t>
              </w:r>
            </w:hyperlink>
          </w:p>
        </w:tc>
        <w:tc>
          <w:tcPr>
            <w:tcW w:w="429" w:type="dxa"/>
            <w:tcBorders>
              <w:bottom w:val="single" w:sz="4" w:space="0" w:color="auto"/>
            </w:tcBorders>
            <w:shd w:val="clear" w:color="auto" w:fill="auto"/>
            <w:vAlign w:val="center"/>
          </w:tcPr>
          <w:p w:rsidR="007B2C93" w:rsidRPr="000A1C8E" w:rsidRDefault="007B2C93" w:rsidP="004000C7">
            <w:pPr>
              <w:pStyle w:val="TableText"/>
              <w:widowControl w:val="0"/>
              <w:rPr>
                <w:rFonts w:ascii="Tahoma" w:hAnsi="Tahoma" w:cs="Tahoma"/>
                <w:sz w:val="13"/>
              </w:rPr>
            </w:pPr>
            <w:r w:rsidRPr="000A1C8E">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r w:rsidRPr="000A1C8E">
              <w:rPr>
                <w:rFonts w:ascii="Tahoma" w:hAnsi="Tahoma" w:cs="Tahoma"/>
                <w:sz w:val="13"/>
              </w:rPr>
              <w:t>OSB</w:t>
            </w:r>
          </w:p>
        </w:tc>
        <w:tc>
          <w:tcPr>
            <w:tcW w:w="366" w:type="dxa"/>
            <w:tcBorders>
              <w:left w:val="single" w:sz="18" w:space="0" w:color="auto"/>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405" w:type="dxa"/>
            <w:tcBorders>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405" w:type="dxa"/>
            <w:tcBorders>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432" w:type="dxa"/>
            <w:tcBorders>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459" w:type="dxa"/>
            <w:tcBorders>
              <w:left w:val="single" w:sz="18" w:space="0" w:color="auto"/>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7B2C93" w:rsidRPr="000A1C8E" w:rsidDel="000365B0" w:rsidRDefault="007B2C93"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c>
          <w:tcPr>
            <w:tcW w:w="720" w:type="dxa"/>
            <w:tcBorders>
              <w:bottom w:val="single" w:sz="4" w:space="0" w:color="auto"/>
            </w:tcBorders>
            <w:shd w:val="clear" w:color="auto" w:fill="auto"/>
            <w:vAlign w:val="center"/>
          </w:tcPr>
          <w:p w:rsidR="007B2C93" w:rsidRPr="000A1C8E" w:rsidRDefault="007B2C93" w:rsidP="00080B33">
            <w:pPr>
              <w:pStyle w:val="TableText"/>
              <w:widowControl w:val="0"/>
              <w:rPr>
                <w:rFonts w:ascii="Tahoma" w:hAnsi="Tahoma" w:cs="Tahoma"/>
                <w:sz w:val="13"/>
              </w:rPr>
            </w:pPr>
            <w:r w:rsidRPr="000A1C8E">
              <w:rPr>
                <w:rFonts w:ascii="Tahoma" w:hAnsi="Tahoma" w:cs="Tahoma"/>
                <w:sz w:val="13"/>
              </w:rPr>
              <w:t>EOLS (Somente EES)</w:t>
            </w:r>
          </w:p>
        </w:tc>
        <w:tc>
          <w:tcPr>
            <w:tcW w:w="551" w:type="dxa"/>
            <w:tcBorders>
              <w:bottom w:val="single" w:sz="4" w:space="0" w:color="auto"/>
            </w:tcBorders>
            <w:shd w:val="clear" w:color="auto" w:fill="auto"/>
            <w:vAlign w:val="center"/>
          </w:tcPr>
          <w:p w:rsidR="007B2C93" w:rsidRPr="000A1C8E" w:rsidRDefault="007B2C93"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3E5902" w:rsidRPr="000A1C8E" w:rsidRDefault="003E5902" w:rsidP="00761323">
            <w:pPr>
              <w:pStyle w:val="Heading2"/>
              <w:spacing w:beforeLines="20" w:before="48" w:afterLines="20" w:after="48"/>
              <w:ind w:left="0"/>
              <w:rPr>
                <w:rFonts w:ascii="Tahoma" w:hAnsi="Tahoma" w:cs="Tahoma"/>
                <w:b w:val="0"/>
                <w:sz w:val="14"/>
              </w:rPr>
            </w:pPr>
            <w:bookmarkStart w:id="46" w:name="_Toc361828961"/>
            <w:r w:rsidRPr="000A1C8E">
              <w:rPr>
                <w:rFonts w:ascii="Tahoma" w:hAnsi="Tahoma" w:cs="Tahoma"/>
                <w:b w:val="0"/>
                <w:sz w:val="14"/>
              </w:rPr>
              <w:t>Office 365 Midsize Business (SL</w:t>
            </w:r>
            <w:r w:rsidR="00761323" w:rsidRPr="000A1C8E">
              <w:rPr>
                <w:rFonts w:ascii="Tahoma" w:hAnsi="Tahoma" w:cs="Tahoma"/>
                <w:b w:val="0"/>
                <w:sz w:val="14"/>
              </w:rPr>
              <w:t> </w:t>
            </w:r>
            <w:r w:rsidRPr="000A1C8E">
              <w:rPr>
                <w:rFonts w:ascii="Tahoma" w:hAnsi="Tahoma" w:cs="Tahoma"/>
                <w:b w:val="0"/>
                <w:sz w:val="14"/>
              </w:rPr>
              <w:t>de</w:t>
            </w:r>
            <w:r w:rsidR="00761323" w:rsidRPr="000A1C8E">
              <w:rPr>
                <w:rFonts w:ascii="Tahoma" w:hAnsi="Tahoma" w:cs="Tahoma"/>
                <w:b w:val="0"/>
                <w:sz w:val="14"/>
              </w:rPr>
              <w:t> </w:t>
            </w:r>
            <w:r w:rsidRPr="000A1C8E">
              <w:rPr>
                <w:rFonts w:ascii="Tahoma" w:hAnsi="Tahoma" w:cs="Tahoma"/>
                <w:b w:val="0"/>
                <w:sz w:val="14"/>
              </w:rPr>
              <w:t>Usuário)</w:t>
            </w:r>
            <w:bookmarkEnd w:id="46"/>
          </w:p>
        </w:tc>
        <w:tc>
          <w:tcPr>
            <w:tcW w:w="429" w:type="dxa"/>
            <w:tcBorders>
              <w:bottom w:val="single" w:sz="4" w:space="0" w:color="auto"/>
            </w:tcBorders>
            <w:shd w:val="clear" w:color="auto" w:fill="FABF8F"/>
            <w:vAlign w:val="center"/>
          </w:tcPr>
          <w:p w:rsidR="003E5902" w:rsidRPr="00DC1AC3" w:rsidRDefault="006C57E7" w:rsidP="009832D3">
            <w:pPr>
              <w:pStyle w:val="TableText"/>
              <w:widowControl w:val="0"/>
              <w:rPr>
                <w:rFonts w:cs="Tahoma"/>
                <w:b/>
                <w:sz w:val="13"/>
                <w:szCs w:val="13"/>
              </w:rPr>
            </w:pPr>
            <w:hyperlink w:anchor="_7_Office_365" w:history="1">
              <w:r w:rsidR="003D47E7" w:rsidRPr="00DC1AC3">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0A1C8E" w:rsidRDefault="003E5902" w:rsidP="004000C7">
            <w:pPr>
              <w:pStyle w:val="TableText"/>
              <w:widowControl w:val="0"/>
              <w:rPr>
                <w:rFonts w:ascii="Tahoma" w:hAnsi="Tahoma" w:cs="Tahoma"/>
                <w:sz w:val="13"/>
              </w:rPr>
            </w:pPr>
            <w:r w:rsidRPr="000A1C8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366" w:type="dxa"/>
            <w:tcBorders>
              <w:left w:val="single" w:sz="18" w:space="0" w:color="auto"/>
              <w:bottom w:val="single" w:sz="4"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1206" w:type="dxa"/>
            <w:gridSpan w:val="3"/>
            <w:tcBorders>
              <w:left w:val="single" w:sz="18" w:space="0" w:color="auto"/>
              <w:bottom w:val="single" w:sz="4" w:space="0" w:color="auto"/>
              <w:right w:val="single" w:sz="18"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3E5902" w:rsidRPr="000A1C8E" w:rsidRDefault="003E5902" w:rsidP="00CC19FC">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3E5902" w:rsidRPr="000A1C8E" w:rsidRDefault="003E5902" w:rsidP="00080B33">
            <w:pPr>
              <w:pStyle w:val="TableText"/>
              <w:widowControl w:val="0"/>
              <w:rPr>
                <w:rFonts w:ascii="Tahoma" w:hAnsi="Tahoma" w:cs="Tahoma"/>
                <w:sz w:val="13"/>
              </w:rPr>
            </w:pPr>
          </w:p>
        </w:tc>
        <w:tc>
          <w:tcPr>
            <w:tcW w:w="551" w:type="dxa"/>
            <w:tcBorders>
              <w:bottom w:val="single" w:sz="4" w:space="0" w:color="auto"/>
            </w:tcBorders>
            <w:shd w:val="clear" w:color="auto" w:fill="FABF8F"/>
            <w:vAlign w:val="center"/>
          </w:tcPr>
          <w:p w:rsidR="003E5902" w:rsidRPr="000A1C8E" w:rsidRDefault="003E5902" w:rsidP="004B3534">
            <w:pPr>
              <w:pStyle w:val="TableText"/>
              <w:widowControl w:val="0"/>
              <w:rPr>
                <w:rFonts w:ascii="Tahoma" w:hAnsi="Tahoma" w:cs="Tahoma"/>
                <w:sz w:val="13"/>
              </w:rPr>
            </w:pPr>
            <w:r w:rsidRPr="000A1C8E">
              <w:rPr>
                <w:rFonts w:ascii="Tahoma" w:hAnsi="Tahoma" w:cs="Tahoma"/>
                <w:sz w:val="13"/>
              </w:rPr>
              <w:t>LO/OV</w:t>
            </w:r>
          </w:p>
        </w:tc>
      </w:tr>
      <w:tr w:rsidR="00761323" w:rsidRPr="000A1C8E" w:rsidTr="00E74A9E">
        <w:trPr>
          <w:cantSplit/>
          <w:trHeight w:val="287"/>
        </w:trPr>
        <w:tc>
          <w:tcPr>
            <w:tcW w:w="2638" w:type="dxa"/>
            <w:tcBorders>
              <w:bottom w:val="single" w:sz="4" w:space="0" w:color="auto"/>
            </w:tcBorders>
            <w:shd w:val="clear" w:color="auto" w:fill="FFFFFF" w:themeFill="background1"/>
            <w:vAlign w:val="center"/>
          </w:tcPr>
          <w:p w:rsidR="000F1BE7" w:rsidRPr="000A1C8E" w:rsidRDefault="00541ED5" w:rsidP="004F6A95">
            <w:pPr>
              <w:pStyle w:val="Heading2"/>
              <w:spacing w:beforeLines="20" w:before="48" w:afterLines="20" w:after="48"/>
              <w:ind w:left="0"/>
              <w:rPr>
                <w:rFonts w:ascii="Tahoma" w:hAnsi="Tahoma" w:cs="Tahoma"/>
                <w:b w:val="0"/>
                <w:sz w:val="14"/>
              </w:rPr>
            </w:pPr>
            <w:bookmarkStart w:id="47" w:name="_Toc361828962"/>
            <w:r w:rsidRPr="000A1C8E">
              <w:rPr>
                <w:rFonts w:ascii="Tahoma" w:hAnsi="Tahoma" w:cs="Tahoma"/>
                <w:b w:val="0"/>
                <w:sz w:val="14"/>
              </w:rPr>
              <w:t>Complemento do Office 365 Enterprise E3, E4 (SL de Usuário)</w:t>
            </w:r>
            <w:bookmarkEnd w:id="47"/>
          </w:p>
        </w:tc>
        <w:tc>
          <w:tcPr>
            <w:tcW w:w="429" w:type="dxa"/>
            <w:tcBorders>
              <w:bottom w:val="single" w:sz="4" w:space="0" w:color="auto"/>
            </w:tcBorders>
            <w:shd w:val="clear" w:color="auto" w:fill="FFFFFF" w:themeFill="background1"/>
            <w:vAlign w:val="center"/>
          </w:tcPr>
          <w:p w:rsidR="000F1BE7" w:rsidRPr="00DC1AC3" w:rsidRDefault="006C57E7" w:rsidP="009832D3">
            <w:pPr>
              <w:pStyle w:val="TableText"/>
              <w:widowControl w:val="0"/>
              <w:rPr>
                <w:rFonts w:cs="Tahoma"/>
                <w:b/>
                <w:sz w:val="13"/>
                <w:szCs w:val="13"/>
              </w:rPr>
            </w:pPr>
            <w:hyperlink w:anchor="_7_Licenças_de" w:history="1">
              <w:r w:rsidR="003D47E7" w:rsidRPr="00DC1AC3">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0A1C8E" w:rsidRDefault="000F1BE7" w:rsidP="004000C7">
            <w:pPr>
              <w:pStyle w:val="TableText"/>
              <w:widowControl w:val="0"/>
              <w:rPr>
                <w:rFonts w:ascii="Tahoma" w:hAnsi="Tahoma" w:cs="Tahoma"/>
                <w:sz w:val="13"/>
              </w:rPr>
            </w:pPr>
            <w:r w:rsidRPr="000A1C8E">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366" w:type="dxa"/>
            <w:tcBorders>
              <w:left w:val="single" w:sz="18" w:space="0" w:color="auto"/>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32"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59" w:type="dxa"/>
            <w:tcBorders>
              <w:left w:val="single" w:sz="18" w:space="0" w:color="auto"/>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0F1BE7" w:rsidRPr="000A1C8E" w:rsidRDefault="000F1BE7" w:rsidP="00CC19FC">
            <w:pPr>
              <w:pStyle w:val="TableText"/>
              <w:widowControl w:val="0"/>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720" w:type="dxa"/>
            <w:tcBorders>
              <w:bottom w:val="single" w:sz="4" w:space="0" w:color="auto"/>
            </w:tcBorders>
            <w:shd w:val="clear" w:color="auto" w:fill="FFFFFF" w:themeFill="background1"/>
            <w:vAlign w:val="center"/>
          </w:tcPr>
          <w:p w:rsidR="000F1BE7" w:rsidRPr="000A1C8E" w:rsidRDefault="000F1BE7" w:rsidP="00080B33">
            <w:pPr>
              <w:pStyle w:val="TableText"/>
              <w:widowControl w:val="0"/>
              <w:rPr>
                <w:rFonts w:ascii="Tahoma" w:hAnsi="Tahoma" w:cs="Tahoma"/>
                <w:sz w:val="13"/>
              </w:rPr>
            </w:pPr>
          </w:p>
        </w:tc>
        <w:tc>
          <w:tcPr>
            <w:tcW w:w="551"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CC19FC" w:rsidRPr="000A1C8E" w:rsidRDefault="00CC19FC" w:rsidP="00761323">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61828963"/>
            <w:r w:rsidRPr="000A1C8E">
              <w:rPr>
                <w:rFonts w:ascii="Tahoma" w:hAnsi="Tahoma" w:cs="Tahoma"/>
                <w:b w:val="0"/>
                <w:sz w:val="14"/>
              </w:rPr>
              <w:t>Office 365 Enterprise E2 - E4 (SL</w:t>
            </w:r>
            <w:r w:rsidR="00761323" w:rsidRPr="000A1C8E">
              <w:rPr>
                <w:rFonts w:ascii="Tahoma" w:hAnsi="Tahoma" w:cs="Tahoma"/>
                <w:b w:val="0"/>
                <w:sz w:val="14"/>
              </w:rPr>
              <w:t> </w:t>
            </w:r>
            <w:r w:rsidRPr="000A1C8E">
              <w:rPr>
                <w:rFonts w:ascii="Tahoma" w:hAnsi="Tahoma" w:cs="Tahoma"/>
                <w:b w:val="0"/>
                <w:sz w:val="14"/>
              </w:rPr>
              <w:t>de</w:t>
            </w:r>
            <w:r w:rsidR="00761323" w:rsidRPr="000A1C8E">
              <w:rPr>
                <w:rFonts w:ascii="Tahoma" w:hAnsi="Tahoma" w:cs="Tahoma"/>
                <w:b w:val="0"/>
                <w:sz w:val="14"/>
              </w:rPr>
              <w:t> </w:t>
            </w:r>
            <w:r w:rsidRPr="000A1C8E">
              <w:rPr>
                <w:rFonts w:ascii="Tahoma" w:hAnsi="Tahoma" w:cs="Tahoma"/>
                <w:b w:val="0"/>
                <w:sz w:val="14"/>
              </w:rPr>
              <w:t>Usuário)</w:t>
            </w:r>
            <w:bookmarkEnd w:id="48"/>
            <w:bookmarkEnd w:id="49"/>
            <w:bookmarkEnd w:id="50"/>
          </w:p>
        </w:tc>
        <w:tc>
          <w:tcPr>
            <w:tcW w:w="429" w:type="dxa"/>
            <w:tcBorders>
              <w:bottom w:val="single" w:sz="4" w:space="0" w:color="auto"/>
            </w:tcBorders>
            <w:shd w:val="clear" w:color="auto" w:fill="FABF8F"/>
            <w:vAlign w:val="center"/>
          </w:tcPr>
          <w:p w:rsidR="00CC19FC" w:rsidRPr="00DC1AC3" w:rsidRDefault="006C57E7" w:rsidP="00B0065F">
            <w:pPr>
              <w:pStyle w:val="TableText"/>
              <w:widowControl w:val="0"/>
              <w:rPr>
                <w:rFonts w:cs="Tahoma"/>
                <w:b/>
                <w:color w:val="0000FF"/>
                <w:sz w:val="13"/>
                <w:szCs w:val="13"/>
                <w:u w:val="single"/>
              </w:rPr>
            </w:pPr>
            <w:hyperlink w:anchor="_8_Office_365" w:history="1">
              <w:r w:rsidR="003D47E7" w:rsidRPr="00DC1AC3">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0A1C8E" w:rsidRDefault="00CC19FC" w:rsidP="004000C7">
            <w:pPr>
              <w:pStyle w:val="TableText"/>
              <w:widowControl w:val="0"/>
              <w:rPr>
                <w:rFonts w:ascii="Tahoma" w:hAnsi="Tahoma" w:cs="Tahoma"/>
                <w:sz w:val="13"/>
              </w:rPr>
            </w:pPr>
            <w:r w:rsidRPr="000A1C8E">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OSB</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720" w:type="dxa"/>
            <w:tcBorders>
              <w:bottom w:val="single" w:sz="4" w:space="0" w:color="auto"/>
            </w:tcBorders>
            <w:shd w:val="clear" w:color="auto" w:fill="FABF8F"/>
            <w:vAlign w:val="center"/>
          </w:tcPr>
          <w:p w:rsidR="00CC19FC" w:rsidRPr="000A1C8E" w:rsidRDefault="00CC19FC" w:rsidP="00080B33">
            <w:pPr>
              <w:pStyle w:val="TableText"/>
              <w:widowControl w:val="0"/>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FFFFF" w:themeFill="background1"/>
            <w:vAlign w:val="center"/>
          </w:tcPr>
          <w:p w:rsidR="000F1BE7" w:rsidRPr="000A1C8E" w:rsidRDefault="000F1BE7" w:rsidP="004F6A95">
            <w:pPr>
              <w:pStyle w:val="Heading2"/>
              <w:spacing w:beforeLines="20" w:before="48" w:afterLines="20" w:after="48"/>
              <w:ind w:left="0"/>
              <w:rPr>
                <w:rFonts w:ascii="Tahoma" w:hAnsi="Tahoma" w:cs="Tahoma"/>
                <w:b w:val="0"/>
                <w:sz w:val="14"/>
              </w:rPr>
            </w:pPr>
            <w:bookmarkStart w:id="51" w:name="_Toc361828964"/>
            <w:r w:rsidRPr="000A1C8E">
              <w:rPr>
                <w:rFonts w:ascii="Tahoma" w:hAnsi="Tahoma" w:cs="Tahoma"/>
                <w:b w:val="0"/>
                <w:sz w:val="14"/>
              </w:rPr>
              <w:t>Complemento do Office 365 Government G3, G4 (SL de Usuário)</w:t>
            </w:r>
            <w:bookmarkEnd w:id="51"/>
          </w:p>
        </w:tc>
        <w:tc>
          <w:tcPr>
            <w:tcW w:w="429" w:type="dxa"/>
            <w:tcBorders>
              <w:bottom w:val="single" w:sz="4" w:space="0" w:color="auto"/>
            </w:tcBorders>
            <w:shd w:val="clear" w:color="auto" w:fill="FFFFFF" w:themeFill="background1"/>
            <w:vAlign w:val="center"/>
          </w:tcPr>
          <w:p w:rsidR="000F1BE7" w:rsidRPr="00DC1AC3" w:rsidRDefault="006C57E7" w:rsidP="00B0065F">
            <w:pPr>
              <w:pStyle w:val="TableText"/>
              <w:widowControl w:val="0"/>
              <w:rPr>
                <w:rFonts w:cs="Tahoma"/>
              </w:rPr>
            </w:pPr>
            <w:hyperlink w:anchor="_7_Licenças_de" w:history="1">
              <w:r w:rsidR="0060391F" w:rsidRPr="00DC1AC3">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0A1C8E" w:rsidRDefault="000F1BE7" w:rsidP="004000C7">
            <w:pPr>
              <w:pStyle w:val="TableText"/>
              <w:widowControl w:val="0"/>
              <w:rPr>
                <w:rFonts w:ascii="Tahoma" w:hAnsi="Tahoma" w:cs="Tahoma"/>
                <w:sz w:val="13"/>
              </w:rPr>
            </w:pPr>
            <w:r w:rsidRPr="000A1C8E">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366" w:type="dxa"/>
            <w:tcBorders>
              <w:left w:val="single" w:sz="18" w:space="0" w:color="auto"/>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32"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14"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459" w:type="dxa"/>
            <w:tcBorders>
              <w:left w:val="single" w:sz="18" w:space="0" w:color="auto"/>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c>
          <w:tcPr>
            <w:tcW w:w="720" w:type="dxa"/>
            <w:tcBorders>
              <w:bottom w:val="single" w:sz="4" w:space="0" w:color="auto"/>
            </w:tcBorders>
            <w:shd w:val="clear" w:color="auto" w:fill="FFFFFF" w:themeFill="background1"/>
            <w:vAlign w:val="center"/>
          </w:tcPr>
          <w:p w:rsidR="000F1BE7" w:rsidRPr="000A1C8E" w:rsidRDefault="000F1BE7" w:rsidP="00080B33">
            <w:pPr>
              <w:pStyle w:val="TableText"/>
              <w:widowControl w:val="0"/>
              <w:rPr>
                <w:rFonts w:ascii="Tahoma" w:hAnsi="Tahoma" w:cs="Tahoma"/>
                <w:sz w:val="13"/>
              </w:rPr>
            </w:pPr>
          </w:p>
        </w:tc>
        <w:tc>
          <w:tcPr>
            <w:tcW w:w="551" w:type="dxa"/>
            <w:tcBorders>
              <w:bottom w:val="single" w:sz="4" w:space="0" w:color="auto"/>
            </w:tcBorders>
            <w:shd w:val="clear" w:color="auto" w:fill="FFFFFF" w:themeFill="background1"/>
            <w:vAlign w:val="center"/>
          </w:tcPr>
          <w:p w:rsidR="000F1BE7" w:rsidRPr="000A1C8E" w:rsidRDefault="000F1BE7"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CC19FC" w:rsidRPr="000A1C8E" w:rsidRDefault="00CC19FC" w:rsidP="009B6CEF">
            <w:pPr>
              <w:pStyle w:val="Heading2"/>
              <w:spacing w:beforeLines="20" w:before="48" w:afterLines="20" w:after="48"/>
              <w:ind w:left="0"/>
              <w:rPr>
                <w:rFonts w:ascii="Tahoma" w:hAnsi="Tahoma" w:cs="Tahoma"/>
                <w:b w:val="0"/>
                <w:sz w:val="14"/>
              </w:rPr>
            </w:pPr>
            <w:bookmarkStart w:id="52" w:name="_Toc291024474"/>
            <w:bookmarkStart w:id="53" w:name="_Toc336337863"/>
            <w:bookmarkStart w:id="54" w:name="_Toc361828965"/>
            <w:r w:rsidRPr="000A1C8E">
              <w:rPr>
                <w:rFonts w:ascii="Tahoma" w:hAnsi="Tahoma" w:cs="Tahoma"/>
                <w:b w:val="0"/>
                <w:sz w:val="14"/>
              </w:rPr>
              <w:t xml:space="preserve">Office 365 </w:t>
            </w:r>
            <w:bookmarkEnd w:id="52"/>
            <w:bookmarkEnd w:id="53"/>
            <w:r w:rsidRPr="000A1C8E">
              <w:rPr>
                <w:rFonts w:ascii="Tahoma" w:hAnsi="Tahoma" w:cs="Tahoma"/>
                <w:b w:val="0"/>
                <w:sz w:val="14"/>
              </w:rPr>
              <w:t>Government G2</w:t>
            </w:r>
            <w:r w:rsidR="009B6CEF">
              <w:rPr>
                <w:rFonts w:ascii="Tahoma" w:hAnsi="Tahoma" w:cs="Tahoma"/>
                <w:b w:val="0"/>
                <w:sz w:val="14"/>
              </w:rPr>
              <w:t xml:space="preserve"> - </w:t>
            </w:r>
            <w:r w:rsidRPr="000A1C8E">
              <w:rPr>
                <w:rFonts w:ascii="Tahoma" w:hAnsi="Tahoma" w:cs="Tahoma"/>
                <w:b w:val="0"/>
                <w:sz w:val="14"/>
              </w:rPr>
              <w:t xml:space="preserve">G4 </w:t>
            </w:r>
            <w:r w:rsidR="00761323" w:rsidRPr="000A1C8E">
              <w:rPr>
                <w:rFonts w:ascii="Tahoma" w:hAnsi="Tahoma" w:cs="Tahoma"/>
                <w:b w:val="0"/>
                <w:sz w:val="14"/>
              </w:rPr>
              <w:br/>
            </w:r>
            <w:r w:rsidRPr="000A1C8E">
              <w:rPr>
                <w:rFonts w:ascii="Tahoma" w:hAnsi="Tahoma" w:cs="Tahoma"/>
                <w:b w:val="0"/>
                <w:sz w:val="14"/>
              </w:rPr>
              <w:t>(SL de Usuário)</w:t>
            </w:r>
            <w:bookmarkEnd w:id="54"/>
          </w:p>
        </w:tc>
        <w:tc>
          <w:tcPr>
            <w:tcW w:w="429" w:type="dxa"/>
            <w:tcBorders>
              <w:bottom w:val="single" w:sz="4" w:space="0" w:color="auto"/>
            </w:tcBorders>
            <w:shd w:val="clear" w:color="auto" w:fill="FABF8F"/>
            <w:vAlign w:val="center"/>
          </w:tcPr>
          <w:p w:rsidR="00CC19FC" w:rsidRPr="00DC1AC3" w:rsidRDefault="006C57E7" w:rsidP="00B0065F">
            <w:pPr>
              <w:pStyle w:val="TableText"/>
              <w:widowControl w:val="0"/>
              <w:rPr>
                <w:rFonts w:cs="Tahoma"/>
                <w:b/>
                <w:color w:val="0000FF"/>
                <w:sz w:val="13"/>
                <w:szCs w:val="13"/>
                <w:u w:val="single"/>
              </w:rPr>
            </w:pPr>
            <w:hyperlink w:anchor="_7_Licenças_de" w:history="1">
              <w:r w:rsidR="0060391F" w:rsidRPr="00DC1AC3">
                <w:rPr>
                  <w:rStyle w:val="Hyperlink"/>
                  <w:rFonts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0A1C8E" w:rsidRDefault="00541ED5" w:rsidP="00541ED5">
            <w:pPr>
              <w:pStyle w:val="TableText"/>
              <w:widowControl w:val="0"/>
              <w:rPr>
                <w:rFonts w:ascii="Tahoma" w:hAnsi="Tahoma" w:cs="Tahoma"/>
                <w:sz w:val="13"/>
              </w:rPr>
            </w:pPr>
            <w:r w:rsidRPr="000A1C8E">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OSB</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32"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541ED5" w:rsidP="004B3534">
            <w:pPr>
              <w:pStyle w:val="TableText"/>
              <w:widowControl w:val="0"/>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720" w:type="dxa"/>
            <w:tcBorders>
              <w:bottom w:val="single" w:sz="4" w:space="0" w:color="auto"/>
            </w:tcBorders>
            <w:shd w:val="clear" w:color="auto" w:fill="FABF8F"/>
            <w:vAlign w:val="center"/>
          </w:tcPr>
          <w:p w:rsidR="00CC19FC" w:rsidRPr="000A1C8E" w:rsidRDefault="00CC19FC" w:rsidP="00080B33">
            <w:pPr>
              <w:pStyle w:val="TableText"/>
              <w:widowControl w:val="0"/>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FFFFF" w:themeFill="background1"/>
            <w:vAlign w:val="center"/>
          </w:tcPr>
          <w:p w:rsidR="00CC19FC" w:rsidRPr="000A1C8E" w:rsidRDefault="00CC19FC" w:rsidP="004F6A95">
            <w:pPr>
              <w:pStyle w:val="Heading2"/>
              <w:spacing w:beforeLines="20" w:before="48" w:afterLines="20" w:after="48"/>
              <w:ind w:left="0"/>
              <w:rPr>
                <w:rFonts w:ascii="Tahoma" w:hAnsi="Tahoma" w:cs="Tahoma"/>
                <w:b w:val="0"/>
                <w:sz w:val="14"/>
              </w:rPr>
            </w:pPr>
            <w:bookmarkStart w:id="55" w:name="_Toc361828966"/>
            <w:r w:rsidRPr="000A1C8E">
              <w:rPr>
                <w:rFonts w:ascii="Tahoma" w:hAnsi="Tahoma" w:cs="Tahoma"/>
                <w:b w:val="0"/>
                <w:sz w:val="14"/>
              </w:rPr>
              <w:t>Direitos de Uso Comercial do Office Home and Student RT 2013</w:t>
            </w:r>
            <w:bookmarkEnd w:id="55"/>
          </w:p>
        </w:tc>
        <w:tc>
          <w:tcPr>
            <w:tcW w:w="429" w:type="dxa"/>
            <w:tcBorders>
              <w:bottom w:val="single" w:sz="4" w:space="0" w:color="auto"/>
            </w:tcBorders>
            <w:shd w:val="clear" w:color="auto" w:fill="FFFFFF" w:themeFill="background1"/>
            <w:vAlign w:val="center"/>
          </w:tcPr>
          <w:p w:rsidR="00CC19FC" w:rsidRPr="00DC1AC3"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FFFFFF" w:themeFill="background1"/>
            <w:vAlign w:val="center"/>
          </w:tcPr>
          <w:p w:rsidR="00CC19FC" w:rsidRPr="000A1C8E" w:rsidRDefault="00CC19FC" w:rsidP="004000C7">
            <w:pPr>
              <w:pStyle w:val="TableText"/>
              <w:widowControl w:val="0"/>
              <w:rPr>
                <w:rFonts w:ascii="Tahoma" w:hAnsi="Tahoma" w:cs="Tahoma"/>
                <w:sz w:val="13"/>
              </w:rPr>
            </w:pPr>
            <w:r w:rsidRPr="000A1C8E">
              <w:rPr>
                <w:rFonts w:ascii="Tahoma"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366"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720" w:type="dxa"/>
            <w:tcBorders>
              <w:bottom w:val="single" w:sz="4" w:space="0" w:color="auto"/>
            </w:tcBorders>
            <w:shd w:val="clear" w:color="auto" w:fill="FFFFFF" w:themeFill="background1"/>
            <w:vAlign w:val="center"/>
          </w:tcPr>
          <w:p w:rsidR="00CC19FC" w:rsidRPr="000A1C8E" w:rsidRDefault="00CC19FC" w:rsidP="00080B33">
            <w:pPr>
              <w:pStyle w:val="TableText"/>
              <w:widowControl w:val="0"/>
              <w:rPr>
                <w:rFonts w:ascii="Tahoma" w:hAnsi="Tahoma" w:cs="Tahoma"/>
                <w:sz w:val="13"/>
              </w:rPr>
            </w:pPr>
          </w:p>
        </w:tc>
        <w:tc>
          <w:tcPr>
            <w:tcW w:w="551"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ABF8F"/>
            <w:vAlign w:val="center"/>
          </w:tcPr>
          <w:p w:rsidR="00CC19FC" w:rsidRPr="000A1C8E" w:rsidRDefault="00CC19FC" w:rsidP="004F6A95">
            <w:pPr>
              <w:pStyle w:val="Heading2"/>
              <w:spacing w:beforeLines="20" w:before="48" w:afterLines="20" w:after="48"/>
              <w:ind w:left="0"/>
              <w:rPr>
                <w:rFonts w:ascii="Tahoma" w:hAnsi="Tahoma" w:cs="Tahoma"/>
                <w:b w:val="0"/>
                <w:sz w:val="14"/>
              </w:rPr>
            </w:pPr>
            <w:bookmarkStart w:id="56" w:name="_Toc336337865"/>
            <w:bookmarkStart w:id="57" w:name="_Toc361828967"/>
            <w:r w:rsidRPr="000A1C8E">
              <w:rPr>
                <w:rFonts w:ascii="Tahoma" w:hAnsi="Tahoma" w:cs="Tahoma"/>
                <w:b w:val="0"/>
                <w:sz w:val="14"/>
              </w:rPr>
              <w:t>Office para Mac Standard 2011</w:t>
            </w:r>
            <w:bookmarkEnd w:id="56"/>
            <w:bookmarkEnd w:id="57"/>
            <w:r w:rsidRPr="000A1C8E">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DC1AC3" w:rsidRDefault="006C57E7" w:rsidP="00B0065F">
            <w:pPr>
              <w:pStyle w:val="TableText"/>
              <w:widowControl w:val="0"/>
              <w:rPr>
                <w:rStyle w:val="EndnoteReference"/>
                <w:rFonts w:cs="Tahoma"/>
                <w:b w:val="0"/>
                <w:color w:val="0000FF"/>
                <w:sz w:val="13"/>
                <w:szCs w:val="13"/>
                <w:u w:val="single"/>
              </w:rPr>
            </w:pPr>
            <w:hyperlink w:anchor="_9_Office_para" w:history="1">
              <w:r w:rsidR="003D47E7" w:rsidRPr="00DC1AC3">
                <w:rPr>
                  <w:rStyle w:val="Hyperlink"/>
                  <w:rFonts w:cs="Tahoma"/>
                  <w:b/>
                  <w:sz w:val="13"/>
                  <w:szCs w:val="13"/>
                </w:rPr>
                <w:t>9</w:t>
              </w:r>
            </w:hyperlink>
            <w:hyperlink w:anchor="_76_Office_for" w:history="1"/>
          </w:p>
        </w:tc>
        <w:tc>
          <w:tcPr>
            <w:tcW w:w="429" w:type="dxa"/>
            <w:tcBorders>
              <w:bottom w:val="single" w:sz="4" w:space="0" w:color="auto"/>
            </w:tcBorders>
            <w:shd w:val="clear" w:color="auto" w:fill="FABF8F"/>
            <w:vAlign w:val="center"/>
          </w:tcPr>
          <w:p w:rsidR="00CC19FC" w:rsidRPr="000A1C8E" w:rsidRDefault="00CC19FC" w:rsidP="004000C7">
            <w:pPr>
              <w:pStyle w:val="TableText"/>
              <w:widowControl w:val="0"/>
              <w:rPr>
                <w:rFonts w:ascii="Tahoma" w:hAnsi="Tahoma" w:cs="Tahoma"/>
                <w:sz w:val="13"/>
              </w:rPr>
            </w:pPr>
            <w:r w:rsidRPr="000A1C8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05"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5</w:t>
            </w:r>
          </w:p>
        </w:tc>
        <w:tc>
          <w:tcPr>
            <w:tcW w:w="405"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4</w:t>
            </w:r>
          </w:p>
        </w:tc>
        <w:tc>
          <w:tcPr>
            <w:tcW w:w="450"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32"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14"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4</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080B33">
            <w:pPr>
              <w:pStyle w:val="TableText"/>
              <w:widowControl w:val="0"/>
              <w:rPr>
                <w:rFonts w:ascii="Tahoma" w:hAnsi="Tahoma" w:cs="Tahoma"/>
                <w:sz w:val="13"/>
              </w:rPr>
            </w:pPr>
            <w:r w:rsidRPr="000A1C8E">
              <w:rPr>
                <w:rFonts w:ascii="Tahoma" w:hAnsi="Tahoma" w:cs="Tahoma"/>
                <w:sz w:val="13"/>
              </w:rPr>
              <w:t>E</w:t>
            </w:r>
          </w:p>
        </w:tc>
        <w:tc>
          <w:tcPr>
            <w:tcW w:w="551"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287"/>
        </w:trPr>
        <w:tc>
          <w:tcPr>
            <w:tcW w:w="2638" w:type="dxa"/>
            <w:tcBorders>
              <w:bottom w:val="single" w:sz="4" w:space="0" w:color="auto"/>
            </w:tcBorders>
            <w:shd w:val="clear" w:color="auto" w:fill="FFFFFF" w:themeFill="background1"/>
            <w:vAlign w:val="center"/>
          </w:tcPr>
          <w:p w:rsidR="00CC19FC" w:rsidRPr="000A1C8E" w:rsidRDefault="00CC19FC" w:rsidP="004F6A95">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61828968"/>
            <w:bookmarkEnd w:id="58"/>
            <w:r w:rsidRPr="000A1C8E">
              <w:rPr>
                <w:rFonts w:ascii="Tahoma" w:hAnsi="Tahoma" w:cs="Tahoma"/>
                <w:b w:val="0"/>
                <w:sz w:val="14"/>
              </w:rPr>
              <w:t xml:space="preserve">Pacote Multilíngue do Office </w:t>
            </w:r>
            <w:bookmarkEnd w:id="59"/>
            <w:r w:rsidRPr="000A1C8E">
              <w:rPr>
                <w:rFonts w:ascii="Tahoma" w:hAnsi="Tahoma" w:cs="Tahoma"/>
                <w:b w:val="0"/>
                <w:sz w:val="14"/>
              </w:rPr>
              <w:t>2013</w:t>
            </w:r>
            <w:bookmarkEnd w:id="60"/>
          </w:p>
        </w:tc>
        <w:tc>
          <w:tcPr>
            <w:tcW w:w="429" w:type="dxa"/>
            <w:tcBorders>
              <w:bottom w:val="single" w:sz="4" w:space="0" w:color="auto"/>
            </w:tcBorders>
            <w:shd w:val="clear" w:color="auto" w:fill="FFFFFF" w:themeFill="background1"/>
            <w:vAlign w:val="center"/>
          </w:tcPr>
          <w:p w:rsidR="00CC19FC" w:rsidRPr="00DC1AC3" w:rsidRDefault="006C57E7" w:rsidP="00B0065F">
            <w:pPr>
              <w:pStyle w:val="TableText"/>
              <w:widowControl w:val="0"/>
              <w:rPr>
                <w:rStyle w:val="EndnoteReference"/>
                <w:rFonts w:cs="Tahoma"/>
                <w:b w:val="0"/>
                <w:color w:val="0000FF"/>
                <w:sz w:val="13"/>
                <w:szCs w:val="13"/>
                <w:u w:val="single"/>
              </w:rPr>
            </w:pPr>
            <w:hyperlink w:anchor="_10_Pacote_Multilíngue" w:history="1">
              <w:r w:rsidR="003D47E7" w:rsidRPr="00DC1AC3">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FFFFF" w:themeFill="background1"/>
            <w:vAlign w:val="center"/>
          </w:tcPr>
          <w:p w:rsidR="00CC19FC" w:rsidRPr="000A1C8E" w:rsidRDefault="00CC19FC" w:rsidP="004000C7">
            <w:pPr>
              <w:pStyle w:val="TableText"/>
              <w:widowControl w:val="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366"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720" w:type="dxa"/>
            <w:tcBorders>
              <w:bottom w:val="single" w:sz="4" w:space="0" w:color="auto"/>
            </w:tcBorders>
            <w:shd w:val="clear" w:color="auto" w:fill="FFFFFF" w:themeFill="background1"/>
            <w:vAlign w:val="center"/>
          </w:tcPr>
          <w:p w:rsidR="00CC19FC" w:rsidRPr="000A1C8E" w:rsidRDefault="00CC19FC" w:rsidP="00080B33">
            <w:pPr>
              <w:pStyle w:val="TableText"/>
              <w:widowControl w:val="0"/>
              <w:rPr>
                <w:rFonts w:ascii="Tahoma" w:hAnsi="Tahoma" w:cs="Tahoma"/>
                <w:sz w:val="13"/>
              </w:rPr>
            </w:pPr>
            <w:r w:rsidRPr="000A1C8E">
              <w:rPr>
                <w:rFonts w:ascii="Tahoma" w:hAnsi="Tahoma" w:cs="Tahoma"/>
                <w:sz w:val="13"/>
              </w:rPr>
              <w:t>A</w:t>
            </w:r>
          </w:p>
        </w:tc>
        <w:tc>
          <w:tcPr>
            <w:tcW w:w="551"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422"/>
        </w:trPr>
        <w:tc>
          <w:tcPr>
            <w:tcW w:w="2638" w:type="dxa"/>
            <w:tcBorders>
              <w:bottom w:val="single" w:sz="4" w:space="0" w:color="auto"/>
            </w:tcBorders>
            <w:shd w:val="clear" w:color="auto" w:fill="FABF8F"/>
            <w:vAlign w:val="center"/>
          </w:tcPr>
          <w:p w:rsidR="00CC19FC" w:rsidRPr="000A1C8E" w:rsidRDefault="00CC19FC" w:rsidP="004F6A95">
            <w:pPr>
              <w:pStyle w:val="ProductNames"/>
              <w:spacing w:beforeLines="20" w:before="48" w:afterLines="20" w:after="48"/>
              <w:rPr>
                <w:rFonts w:ascii="Tahoma" w:hAnsi="Tahoma" w:cs="Tahoma"/>
                <w:sz w:val="14"/>
              </w:rPr>
            </w:pPr>
            <w:bookmarkStart w:id="61" w:name="_Toc336337867"/>
            <w:bookmarkStart w:id="62" w:name="_Toc361828969"/>
            <w:r w:rsidRPr="000A1C8E">
              <w:rPr>
                <w:rFonts w:ascii="Tahoma" w:hAnsi="Tahoma" w:cs="Tahoma"/>
                <w:sz w:val="14"/>
              </w:rPr>
              <w:t xml:space="preserve">Office Professional Plus </w:t>
            </w:r>
            <w:bookmarkEnd w:id="61"/>
            <w:r w:rsidRPr="000A1C8E">
              <w:rPr>
                <w:rFonts w:ascii="Tahoma" w:hAnsi="Tahoma" w:cs="Tahoma"/>
                <w:sz w:val="14"/>
              </w:rPr>
              <w:t>2013</w:t>
            </w:r>
            <w:bookmarkEnd w:id="62"/>
          </w:p>
        </w:tc>
        <w:tc>
          <w:tcPr>
            <w:tcW w:w="429" w:type="dxa"/>
            <w:tcBorders>
              <w:bottom w:val="single" w:sz="4" w:space="0" w:color="auto"/>
            </w:tcBorders>
            <w:shd w:val="clear" w:color="auto" w:fill="FABF8F"/>
            <w:vAlign w:val="center"/>
          </w:tcPr>
          <w:p w:rsidR="00CC19FC" w:rsidRPr="00DC1AC3" w:rsidRDefault="006C57E7" w:rsidP="00B0065F">
            <w:pPr>
              <w:pStyle w:val="TableText"/>
              <w:widowControl w:val="0"/>
              <w:rPr>
                <w:rStyle w:val="EndnoteReference"/>
                <w:rFonts w:cs="Tahoma"/>
                <w:b w:val="0"/>
                <w:color w:val="0000FF"/>
                <w:sz w:val="13"/>
                <w:szCs w:val="13"/>
                <w:u w:val="single"/>
              </w:rPr>
            </w:pPr>
            <w:hyperlink w:anchor="_11_Office_Professional" w:history="1">
              <w:r w:rsidR="003D47E7" w:rsidRPr="00DC1AC3">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FABF8F"/>
            <w:vAlign w:val="center"/>
          </w:tcPr>
          <w:p w:rsidR="00CC19FC" w:rsidRPr="000A1C8E" w:rsidRDefault="00CC19FC" w:rsidP="004000C7">
            <w:pPr>
              <w:pStyle w:val="TableText"/>
              <w:widowControl w:val="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05"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5</w:t>
            </w:r>
          </w:p>
        </w:tc>
        <w:tc>
          <w:tcPr>
            <w:tcW w:w="405"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4</w:t>
            </w:r>
          </w:p>
        </w:tc>
        <w:tc>
          <w:tcPr>
            <w:tcW w:w="450"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32"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14"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4</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9" w:type="dxa"/>
            <w:tcBorders>
              <w:left w:val="single" w:sz="18" w:space="0" w:color="auto"/>
              <w:bottom w:val="single" w:sz="4" w:space="0" w:color="auto"/>
            </w:tcBorders>
            <w:shd w:val="clear" w:color="auto" w:fill="FABF8F"/>
            <w:vAlign w:val="center"/>
          </w:tcPr>
          <w:p w:rsidR="00CC19FC" w:rsidRPr="000A1C8E" w:rsidRDefault="00CC19FC" w:rsidP="00097B90">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E, P</w:t>
            </w:r>
          </w:p>
        </w:tc>
        <w:tc>
          <w:tcPr>
            <w:tcW w:w="720" w:type="dxa"/>
            <w:tcBorders>
              <w:bottom w:val="single" w:sz="4" w:space="0" w:color="auto"/>
            </w:tcBorders>
            <w:shd w:val="clear" w:color="auto" w:fill="FABF8F"/>
            <w:vAlign w:val="center"/>
          </w:tcPr>
          <w:p w:rsidR="00CC19FC" w:rsidRPr="000A1C8E" w:rsidRDefault="00CC19FC" w:rsidP="00080B33">
            <w:pPr>
              <w:pStyle w:val="TableText"/>
              <w:widowControl w:val="0"/>
              <w:rPr>
                <w:rFonts w:ascii="Tahoma" w:hAnsi="Tahoma" w:cs="Tahoma"/>
                <w:sz w:val="13"/>
              </w:rPr>
            </w:pPr>
            <w:r w:rsidRPr="000A1C8E">
              <w:rPr>
                <w:rFonts w:ascii="Tahoma" w:hAnsi="Tahoma" w:cs="Tahoma"/>
                <w:sz w:val="13"/>
              </w:rPr>
              <w:t>E,ST</w:t>
            </w:r>
          </w:p>
        </w:tc>
        <w:tc>
          <w:tcPr>
            <w:tcW w:w="551" w:type="dxa"/>
            <w:tcBorders>
              <w:bottom w:val="single" w:sz="4" w:space="0" w:color="auto"/>
            </w:tcBorders>
            <w:shd w:val="clear" w:color="auto" w:fill="FABF8F"/>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278"/>
        </w:trPr>
        <w:tc>
          <w:tcPr>
            <w:tcW w:w="2638" w:type="dxa"/>
            <w:tcBorders>
              <w:bottom w:val="single" w:sz="4" w:space="0" w:color="auto"/>
            </w:tcBorders>
            <w:shd w:val="clear" w:color="auto" w:fill="FFFFFF" w:themeFill="background1"/>
            <w:vAlign w:val="center"/>
          </w:tcPr>
          <w:p w:rsidR="00CC19FC" w:rsidRPr="000A1C8E" w:rsidRDefault="00CC19FC" w:rsidP="004F6A95">
            <w:pPr>
              <w:pStyle w:val="Heading3"/>
              <w:spacing w:beforeLines="20" w:before="48" w:afterLines="20" w:after="48"/>
              <w:rPr>
                <w:rFonts w:ascii="Tahoma" w:hAnsi="Tahoma" w:cs="Tahoma"/>
                <w:b w:val="0"/>
                <w:sz w:val="14"/>
              </w:rPr>
            </w:pPr>
            <w:bookmarkStart w:id="63" w:name="_Toc336337868"/>
            <w:bookmarkStart w:id="64" w:name="_Toc361828970"/>
            <w:r w:rsidRPr="000A1C8E">
              <w:rPr>
                <w:rFonts w:ascii="Tahoma" w:hAnsi="Tahoma" w:cs="Tahoma"/>
                <w:b w:val="0"/>
                <w:sz w:val="14"/>
              </w:rPr>
              <w:t xml:space="preserve">Office Standard </w:t>
            </w:r>
            <w:bookmarkEnd w:id="63"/>
            <w:r w:rsidRPr="000A1C8E">
              <w:rPr>
                <w:rFonts w:ascii="Tahoma" w:hAnsi="Tahoma" w:cs="Tahoma"/>
                <w:b w:val="0"/>
                <w:sz w:val="14"/>
              </w:rPr>
              <w:t>2013</w:t>
            </w:r>
            <w:bookmarkEnd w:id="64"/>
            <w:r w:rsidRPr="000A1C8E">
              <w:rPr>
                <w:rFonts w:ascii="Tahoma" w:hAnsi="Tahoma" w:cs="Tahoma"/>
                <w:b w:val="0"/>
                <w:sz w:val="14"/>
              </w:rPr>
              <w:t xml:space="preserve"> </w:t>
            </w:r>
          </w:p>
        </w:tc>
        <w:tc>
          <w:tcPr>
            <w:tcW w:w="429" w:type="dxa"/>
            <w:tcBorders>
              <w:bottom w:val="single" w:sz="4" w:space="0" w:color="auto"/>
            </w:tcBorders>
            <w:shd w:val="clear" w:color="auto" w:fill="FFFFFF" w:themeFill="background1"/>
            <w:vAlign w:val="center"/>
          </w:tcPr>
          <w:p w:rsidR="00CC19FC" w:rsidRPr="00DC1AC3" w:rsidRDefault="006C57E7" w:rsidP="003D5C46">
            <w:pPr>
              <w:pStyle w:val="TableText"/>
              <w:widowControl w:val="0"/>
              <w:rPr>
                <w:rStyle w:val="EndnoteReference"/>
                <w:rFonts w:cs="Tahoma"/>
                <w:b w:val="0"/>
                <w:color w:val="0000FF"/>
                <w:sz w:val="13"/>
                <w:szCs w:val="13"/>
                <w:u w:val="single"/>
              </w:rPr>
            </w:pPr>
            <w:hyperlink w:anchor="_12_Office_Standard" w:history="1">
              <w:r w:rsidR="003D47E7" w:rsidRPr="00DC1AC3">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FFFFF" w:themeFill="background1"/>
            <w:vAlign w:val="center"/>
          </w:tcPr>
          <w:p w:rsidR="00CC19FC" w:rsidRPr="000A1C8E" w:rsidRDefault="00CC19FC" w:rsidP="004000C7">
            <w:pPr>
              <w:pStyle w:val="TableText"/>
              <w:widowControl w:val="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b/>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5</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4</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32"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14"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23"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4</w:t>
            </w: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9"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FFFFF" w:themeFill="background1"/>
            <w:vAlign w:val="center"/>
          </w:tcPr>
          <w:p w:rsidR="00CC19FC" w:rsidRPr="000A1C8E" w:rsidRDefault="00CC19FC" w:rsidP="00080B33">
            <w:pPr>
              <w:pStyle w:val="TableText"/>
              <w:widowControl w:val="0"/>
              <w:rPr>
                <w:rFonts w:ascii="Tahoma" w:hAnsi="Tahoma" w:cs="Tahoma"/>
                <w:sz w:val="13"/>
              </w:rPr>
            </w:pPr>
          </w:p>
        </w:tc>
        <w:tc>
          <w:tcPr>
            <w:tcW w:w="551"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305"/>
        </w:trPr>
        <w:tc>
          <w:tcPr>
            <w:tcW w:w="2638" w:type="dxa"/>
            <w:tcBorders>
              <w:bottom w:val="single" w:sz="4" w:space="0" w:color="auto"/>
            </w:tcBorders>
            <w:shd w:val="clear" w:color="auto" w:fill="FABF8F"/>
          </w:tcPr>
          <w:p w:rsidR="00CC19FC" w:rsidRPr="000A1C8E" w:rsidRDefault="00CC19FC" w:rsidP="004F6A95">
            <w:pPr>
              <w:pStyle w:val="Heading2"/>
              <w:spacing w:beforeLines="20" w:before="48" w:afterLines="20" w:after="48"/>
              <w:ind w:left="0"/>
              <w:rPr>
                <w:rFonts w:ascii="Tahoma" w:hAnsi="Tahoma" w:cs="Tahoma"/>
                <w:b w:val="0"/>
                <w:sz w:val="14"/>
              </w:rPr>
            </w:pPr>
            <w:bookmarkStart w:id="65" w:name="_Toc336337869"/>
            <w:bookmarkStart w:id="66" w:name="_Toc361828971"/>
            <w:r w:rsidRPr="000A1C8E">
              <w:rPr>
                <w:rFonts w:ascii="Tahoma" w:hAnsi="Tahoma" w:cs="Tahoma"/>
                <w:b w:val="0"/>
                <w:sz w:val="14"/>
              </w:rPr>
              <w:t>Office 365 ProPlus (SL de Usuário)</w:t>
            </w:r>
            <w:bookmarkEnd w:id="65"/>
            <w:bookmarkEnd w:id="66"/>
          </w:p>
        </w:tc>
        <w:tc>
          <w:tcPr>
            <w:tcW w:w="429" w:type="dxa"/>
            <w:tcBorders>
              <w:bottom w:val="single" w:sz="4" w:space="0" w:color="auto"/>
            </w:tcBorders>
            <w:shd w:val="clear" w:color="auto" w:fill="FABF8F"/>
          </w:tcPr>
          <w:p w:rsidR="00CC19FC" w:rsidRPr="00DC1AC3" w:rsidRDefault="006C57E7" w:rsidP="0060391F">
            <w:pPr>
              <w:pStyle w:val="TableText"/>
              <w:widowControl w:val="0"/>
              <w:spacing w:before="120"/>
              <w:rPr>
                <w:rFonts w:cs="Tahoma"/>
                <w:b/>
                <w:color w:val="0000FF"/>
                <w:sz w:val="13"/>
                <w:szCs w:val="13"/>
                <w:u w:val="single"/>
              </w:rPr>
            </w:pPr>
            <w:hyperlink w:anchor="_13_Office_365" w:history="1">
              <w:r w:rsidR="003D47E7" w:rsidRPr="00DC1AC3">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FABF8F"/>
            <w:vAlign w:val="center"/>
          </w:tcPr>
          <w:p w:rsidR="00CC19FC" w:rsidRPr="000A1C8E" w:rsidRDefault="00CC19FC" w:rsidP="004000C7">
            <w:pPr>
              <w:pStyle w:val="TableText"/>
              <w:rPr>
                <w:rFonts w:ascii="Tahoma" w:hAnsi="Tahoma" w:cs="Tahoma"/>
                <w:sz w:val="13"/>
              </w:rPr>
            </w:pPr>
            <w:r w:rsidRPr="000A1C8E">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0A1C8E" w:rsidRDefault="00CC19FC" w:rsidP="004B3534">
            <w:pPr>
              <w:pStyle w:val="TableText"/>
              <w:rPr>
                <w:rFonts w:ascii="Tahoma" w:hAnsi="Tahoma" w:cs="Tahoma"/>
                <w:sz w:val="13"/>
              </w:rPr>
            </w:pPr>
          </w:p>
        </w:tc>
        <w:tc>
          <w:tcPr>
            <w:tcW w:w="366" w:type="dxa"/>
            <w:tcBorders>
              <w:left w:val="single" w:sz="18" w:space="0" w:color="auto"/>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432" w:type="dxa"/>
            <w:tcBorders>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414" w:type="dxa"/>
            <w:tcBorders>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tcPr>
          <w:p w:rsidR="00CC19FC" w:rsidRPr="000A1C8E" w:rsidRDefault="00CC19FC" w:rsidP="004B3534">
            <w:pPr>
              <w:pStyle w:val="TableText"/>
              <w:rPr>
                <w:rFonts w:ascii="Tahoma" w:hAnsi="Tahoma" w:cs="Tahoma"/>
                <w:sz w:val="13"/>
              </w:rPr>
            </w:pPr>
          </w:p>
        </w:tc>
        <w:tc>
          <w:tcPr>
            <w:tcW w:w="360" w:type="dxa"/>
            <w:tcBorders>
              <w:left w:val="single" w:sz="18" w:space="0" w:color="auto"/>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tcPr>
          <w:p w:rsidR="00CC19FC" w:rsidRPr="000A1C8E" w:rsidRDefault="00CC19FC" w:rsidP="004B3534">
            <w:pPr>
              <w:pStyle w:val="TableText"/>
              <w:rPr>
                <w:rFonts w:ascii="Tahoma" w:hAnsi="Tahoma" w:cs="Tahoma"/>
                <w:sz w:val="13"/>
              </w:rPr>
            </w:pPr>
          </w:p>
        </w:tc>
        <w:tc>
          <w:tcPr>
            <w:tcW w:w="459" w:type="dxa"/>
            <w:tcBorders>
              <w:left w:val="single" w:sz="18" w:space="0" w:color="auto"/>
              <w:bottom w:val="single" w:sz="4" w:space="0" w:color="auto"/>
            </w:tcBorders>
            <w:shd w:val="clear" w:color="auto" w:fill="FABF8F"/>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140B67">
            <w:pPr>
              <w:pStyle w:val="TableText"/>
              <w:rPr>
                <w:rFonts w:ascii="Tahoma" w:hAnsi="Tahoma" w:cs="Tahoma"/>
                <w:sz w:val="13"/>
              </w:rPr>
            </w:pPr>
            <w:r w:rsidRPr="000A1C8E">
              <w:rPr>
                <w:rFonts w:ascii="Tahoma" w:hAnsi="Tahoma" w:cs="Tahoma"/>
                <w:sz w:val="13"/>
              </w:rPr>
              <w:t>E, S</w:t>
            </w:r>
          </w:p>
        </w:tc>
        <w:tc>
          <w:tcPr>
            <w:tcW w:w="378" w:type="dxa"/>
            <w:tcBorders>
              <w:left w:val="single" w:sz="18" w:space="0" w:color="auto"/>
              <w:bottom w:val="single" w:sz="4" w:space="0" w:color="auto"/>
              <w:right w:val="single" w:sz="18" w:space="0" w:color="auto"/>
            </w:tcBorders>
            <w:shd w:val="clear" w:color="auto" w:fill="FABF8F"/>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FABF8F"/>
          </w:tcPr>
          <w:p w:rsidR="00CC19FC" w:rsidRPr="000A1C8E" w:rsidRDefault="00CC19FC" w:rsidP="004B3534">
            <w:pPr>
              <w:pStyle w:val="TableText"/>
              <w:rPr>
                <w:rFonts w:ascii="Tahoma" w:hAnsi="Tahoma" w:cs="Tahoma"/>
                <w:sz w:val="13"/>
              </w:rPr>
            </w:pPr>
          </w:p>
        </w:tc>
      </w:tr>
      <w:tr w:rsidR="00761323" w:rsidRPr="000A1C8E" w:rsidTr="00E74A9E">
        <w:trPr>
          <w:cantSplit/>
          <w:trHeight w:val="305"/>
        </w:trPr>
        <w:tc>
          <w:tcPr>
            <w:tcW w:w="2638" w:type="dxa"/>
            <w:tcBorders>
              <w:bottom w:val="single" w:sz="4" w:space="0" w:color="auto"/>
            </w:tcBorders>
            <w:shd w:val="clear" w:color="auto" w:fill="FFFFFF" w:themeFill="background1"/>
            <w:vAlign w:val="center"/>
          </w:tcPr>
          <w:p w:rsidR="003418C5" w:rsidRPr="000A1C8E" w:rsidRDefault="003418C5" w:rsidP="004F6A95">
            <w:pPr>
              <w:pStyle w:val="Heading2"/>
              <w:spacing w:beforeLines="20" w:before="48" w:afterLines="20" w:after="48"/>
              <w:ind w:left="0"/>
              <w:rPr>
                <w:rFonts w:ascii="Tahoma" w:hAnsi="Tahoma" w:cs="Tahoma"/>
                <w:b w:val="0"/>
                <w:sz w:val="14"/>
              </w:rPr>
            </w:pPr>
            <w:bookmarkStart w:id="67" w:name="_Toc361828972"/>
            <w:r w:rsidRPr="000A1C8E">
              <w:rPr>
                <w:rFonts w:ascii="Tahoma" w:hAnsi="Tahoma" w:cs="Tahoma"/>
                <w:b w:val="0"/>
                <w:sz w:val="14"/>
              </w:rPr>
              <w:lastRenderedPageBreak/>
              <w:t xml:space="preserve">Office 365 ProPlus SA Transition </w:t>
            </w:r>
            <w:r w:rsidR="00761323" w:rsidRPr="000A1C8E">
              <w:rPr>
                <w:rFonts w:ascii="Tahoma" w:hAnsi="Tahoma" w:cs="Tahoma"/>
                <w:b w:val="0"/>
                <w:sz w:val="14"/>
              </w:rPr>
              <w:br/>
            </w:r>
            <w:r w:rsidRPr="000A1C8E">
              <w:rPr>
                <w:rFonts w:ascii="Tahoma" w:hAnsi="Tahoma" w:cs="Tahoma"/>
                <w:b w:val="0"/>
                <w:sz w:val="14"/>
              </w:rPr>
              <w:t>(SL de Usuário)</w:t>
            </w:r>
            <w:bookmarkEnd w:id="67"/>
          </w:p>
        </w:tc>
        <w:tc>
          <w:tcPr>
            <w:tcW w:w="429" w:type="dxa"/>
            <w:tcBorders>
              <w:bottom w:val="single" w:sz="4" w:space="0" w:color="auto"/>
            </w:tcBorders>
            <w:shd w:val="clear" w:color="auto" w:fill="FFFFFF" w:themeFill="background1"/>
            <w:vAlign w:val="center"/>
          </w:tcPr>
          <w:p w:rsidR="003418C5" w:rsidRPr="00DC1AC3" w:rsidRDefault="006C57E7" w:rsidP="003D5C46">
            <w:pPr>
              <w:pStyle w:val="TableText"/>
              <w:widowControl w:val="0"/>
              <w:rPr>
                <w:rFonts w:cs="Tahoma"/>
                <w:b/>
                <w:color w:val="0000FF"/>
                <w:sz w:val="13"/>
                <w:szCs w:val="13"/>
                <w:u w:val="single"/>
              </w:rPr>
            </w:pPr>
            <w:hyperlink w:anchor="_13_Office_365" w:history="1">
              <w:r w:rsidR="0060391F" w:rsidRPr="00DC1AC3">
                <w:rPr>
                  <w:rStyle w:val="Hyperlink"/>
                  <w:rFonts w:cs="Tahoma"/>
                  <w:b/>
                  <w:sz w:val="13"/>
                  <w:szCs w:val="13"/>
                </w:rPr>
                <w:t>13</w:t>
              </w:r>
            </w:hyperlink>
          </w:p>
        </w:tc>
        <w:tc>
          <w:tcPr>
            <w:tcW w:w="429" w:type="dxa"/>
            <w:tcBorders>
              <w:bottom w:val="single" w:sz="4" w:space="0" w:color="auto"/>
            </w:tcBorders>
            <w:shd w:val="clear" w:color="auto" w:fill="FFFFFF" w:themeFill="background1"/>
            <w:vAlign w:val="center"/>
          </w:tcPr>
          <w:p w:rsidR="003418C5" w:rsidRPr="000A1C8E" w:rsidRDefault="003418C5" w:rsidP="004000C7">
            <w:pPr>
              <w:pStyle w:val="TableText"/>
              <w:rPr>
                <w:rFonts w:ascii="Tahoma" w:hAnsi="Tahoma" w:cs="Tahoma"/>
                <w:sz w:val="13"/>
              </w:rPr>
            </w:pPr>
            <w:r w:rsidRPr="000A1C8E">
              <w:rPr>
                <w:rFonts w:ascii="Tahoma"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366" w:type="dxa"/>
            <w:tcBorders>
              <w:left w:val="single" w:sz="18" w:space="0" w:color="auto"/>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405" w:type="dxa"/>
            <w:tcBorders>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405" w:type="dxa"/>
            <w:tcBorders>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432" w:type="dxa"/>
            <w:tcBorders>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414" w:type="dxa"/>
            <w:tcBorders>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423" w:type="dxa"/>
            <w:tcBorders>
              <w:bottom w:val="single" w:sz="4" w:space="0" w:color="auto"/>
              <w:right w:val="single" w:sz="18"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459" w:type="dxa"/>
            <w:tcBorders>
              <w:left w:val="single" w:sz="18" w:space="0" w:color="auto"/>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r w:rsidRPr="000A1C8E">
              <w:rPr>
                <w:rFonts w:ascii="Tahoma" w:hAnsi="Tahoma" w:cs="Tahoma"/>
                <w:sz w:val="13"/>
              </w:rPr>
              <w:t>E, S</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c>
          <w:tcPr>
            <w:tcW w:w="720" w:type="dxa"/>
            <w:tcBorders>
              <w:bottom w:val="single" w:sz="4" w:space="0" w:color="auto"/>
            </w:tcBorders>
            <w:shd w:val="clear" w:color="auto" w:fill="FFFFFF" w:themeFill="background1"/>
            <w:vAlign w:val="center"/>
          </w:tcPr>
          <w:p w:rsidR="003418C5" w:rsidRPr="000A1C8E" w:rsidRDefault="003418C5" w:rsidP="00080B33">
            <w:pPr>
              <w:pStyle w:val="TableText"/>
              <w:rPr>
                <w:rFonts w:ascii="Tahoma" w:hAnsi="Tahoma" w:cs="Tahoma"/>
                <w:sz w:val="13"/>
              </w:rPr>
            </w:pPr>
          </w:p>
        </w:tc>
        <w:tc>
          <w:tcPr>
            <w:tcW w:w="551" w:type="dxa"/>
            <w:tcBorders>
              <w:bottom w:val="single" w:sz="4" w:space="0" w:color="auto"/>
            </w:tcBorders>
            <w:shd w:val="clear" w:color="auto" w:fill="FFFFFF" w:themeFill="background1"/>
            <w:vAlign w:val="center"/>
          </w:tcPr>
          <w:p w:rsidR="003418C5" w:rsidRPr="000A1C8E" w:rsidRDefault="003418C5" w:rsidP="004B3534">
            <w:pPr>
              <w:pStyle w:val="TableText"/>
              <w:rPr>
                <w:rFonts w:ascii="Tahoma" w:hAnsi="Tahoma" w:cs="Tahoma"/>
                <w:sz w:val="13"/>
              </w:rPr>
            </w:pPr>
          </w:p>
        </w:tc>
      </w:tr>
      <w:tr w:rsidR="00761323" w:rsidRPr="000A1C8E" w:rsidTr="00E74A9E">
        <w:trPr>
          <w:cantSplit/>
          <w:trHeight w:val="305"/>
        </w:trPr>
        <w:tc>
          <w:tcPr>
            <w:tcW w:w="2638" w:type="dxa"/>
            <w:tcBorders>
              <w:bottom w:val="single" w:sz="4" w:space="0" w:color="auto"/>
            </w:tcBorders>
            <w:shd w:val="clear" w:color="auto" w:fill="FABF8F"/>
            <w:vAlign w:val="center"/>
          </w:tcPr>
          <w:p w:rsidR="00CC19FC" w:rsidRPr="000A1C8E" w:rsidRDefault="00CC19FC" w:rsidP="004F6A95">
            <w:pPr>
              <w:pStyle w:val="Heading2"/>
              <w:spacing w:beforeLines="20" w:before="48" w:afterLines="20" w:after="48"/>
              <w:ind w:left="0"/>
              <w:rPr>
                <w:rFonts w:ascii="Tahoma" w:hAnsi="Tahoma" w:cs="Tahoma"/>
                <w:b w:val="0"/>
                <w:sz w:val="14"/>
              </w:rPr>
            </w:pPr>
            <w:bookmarkStart w:id="68" w:name="_Toc336337870"/>
            <w:bookmarkStart w:id="69" w:name="_Toc361828973"/>
            <w:r w:rsidRPr="000A1C8E">
              <w:rPr>
                <w:rFonts w:ascii="Tahoma" w:hAnsi="Tahoma" w:cs="Tahoma"/>
                <w:b w:val="0"/>
                <w:sz w:val="14"/>
              </w:rPr>
              <w:t>Assinatura A do Office Professional Plus (SL de Usuário)</w:t>
            </w:r>
            <w:bookmarkEnd w:id="68"/>
            <w:bookmarkEnd w:id="69"/>
          </w:p>
        </w:tc>
        <w:tc>
          <w:tcPr>
            <w:tcW w:w="429" w:type="dxa"/>
            <w:tcBorders>
              <w:bottom w:val="single" w:sz="4" w:space="0" w:color="auto"/>
            </w:tcBorders>
            <w:shd w:val="clear" w:color="auto" w:fill="FABF8F"/>
            <w:vAlign w:val="center"/>
          </w:tcPr>
          <w:p w:rsidR="00CC19FC" w:rsidRPr="00DC1AC3" w:rsidRDefault="00CC19FC" w:rsidP="00761E3B">
            <w:pPr>
              <w:pStyle w:val="TableText"/>
              <w:widowControl w:val="0"/>
              <w:rPr>
                <w:rFonts w:cs="Tahoma"/>
                <w:color w:val="0000FF"/>
                <w:sz w:val="13"/>
                <w:szCs w:val="13"/>
                <w:u w:val="single"/>
              </w:rPr>
            </w:pPr>
          </w:p>
        </w:tc>
        <w:tc>
          <w:tcPr>
            <w:tcW w:w="429" w:type="dxa"/>
            <w:tcBorders>
              <w:bottom w:val="single" w:sz="4" w:space="0" w:color="auto"/>
            </w:tcBorders>
            <w:shd w:val="clear" w:color="auto" w:fill="FABF8F"/>
            <w:vAlign w:val="center"/>
          </w:tcPr>
          <w:p w:rsidR="00CC19FC" w:rsidRPr="000A1C8E" w:rsidRDefault="00CC19FC" w:rsidP="004000C7">
            <w:pPr>
              <w:pStyle w:val="TableText"/>
              <w:rPr>
                <w:rFonts w:ascii="Tahoma" w:hAnsi="Tahoma" w:cs="Tahoma"/>
                <w:sz w:val="13"/>
              </w:rPr>
            </w:pPr>
            <w:r w:rsidRPr="000A1C8E">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32"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14"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r w:rsidRPr="000A1C8E">
              <w:rPr>
                <w:rFonts w:ascii="Tahoma" w:hAnsi="Tahoma" w:cs="Tahoma"/>
                <w:sz w:val="13"/>
              </w:rPr>
              <w:t>E (Somente EES)</w:t>
            </w: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305"/>
        </w:trPr>
        <w:tc>
          <w:tcPr>
            <w:tcW w:w="2638" w:type="dxa"/>
            <w:tcBorders>
              <w:bottom w:val="single" w:sz="4" w:space="0" w:color="auto"/>
            </w:tcBorders>
            <w:shd w:val="clear" w:color="auto" w:fill="FFFFFF" w:themeFill="background1"/>
            <w:vAlign w:val="center"/>
          </w:tcPr>
          <w:p w:rsidR="00CC19FC" w:rsidRPr="000A1C8E" w:rsidRDefault="00CC19FC" w:rsidP="004F6A95">
            <w:pPr>
              <w:pStyle w:val="Heading2"/>
              <w:spacing w:beforeLines="20" w:before="48" w:afterLines="20" w:after="48"/>
              <w:ind w:left="0"/>
              <w:rPr>
                <w:rFonts w:ascii="Tahoma" w:hAnsi="Tahoma" w:cs="Tahoma"/>
                <w:b w:val="0"/>
                <w:sz w:val="14"/>
              </w:rPr>
            </w:pPr>
            <w:bookmarkStart w:id="70" w:name="_Toc336337873"/>
            <w:bookmarkStart w:id="71" w:name="_Toc361828974"/>
            <w:r w:rsidRPr="000A1C8E">
              <w:rPr>
                <w:rFonts w:ascii="Tahoma" w:hAnsi="Tahoma" w:cs="Tahoma"/>
                <w:b w:val="0"/>
                <w:sz w:val="14"/>
              </w:rPr>
              <w:t>OneNote</w:t>
            </w:r>
            <w:r w:rsidR="00C83286" w:rsidRPr="000A1C8E">
              <w:rPr>
                <w:rFonts w:ascii="Tahoma" w:hAnsi="Tahoma" w:cs="Tahoma"/>
                <w:b w:val="0"/>
                <w:sz w:val="14"/>
                <w:vertAlign w:val="superscript"/>
              </w:rPr>
              <w:t>®</w:t>
            </w:r>
            <w:r w:rsidRPr="000A1C8E">
              <w:rPr>
                <w:rFonts w:ascii="Tahoma" w:hAnsi="Tahoma" w:cs="Tahoma"/>
                <w:b w:val="0"/>
                <w:sz w:val="14"/>
              </w:rPr>
              <w:t xml:space="preserve"> </w:t>
            </w:r>
            <w:bookmarkEnd w:id="70"/>
            <w:r w:rsidRPr="000A1C8E">
              <w:rPr>
                <w:rFonts w:ascii="Tahoma" w:hAnsi="Tahoma" w:cs="Tahoma"/>
                <w:b w:val="0"/>
                <w:sz w:val="14"/>
              </w:rPr>
              <w:t>2013</w:t>
            </w:r>
            <w:bookmarkEnd w:id="71"/>
          </w:p>
        </w:tc>
        <w:tc>
          <w:tcPr>
            <w:tcW w:w="429" w:type="dxa"/>
            <w:tcBorders>
              <w:bottom w:val="single" w:sz="4" w:space="0" w:color="auto"/>
            </w:tcBorders>
            <w:shd w:val="clear" w:color="auto" w:fill="FFFFFF" w:themeFill="background1"/>
            <w:vAlign w:val="center"/>
          </w:tcPr>
          <w:p w:rsidR="00CC19FC" w:rsidRPr="00DC1AC3" w:rsidRDefault="00CC19FC" w:rsidP="00761E3B">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FFFFF" w:themeFill="background1"/>
            <w:vAlign w:val="center"/>
          </w:tcPr>
          <w:p w:rsidR="00CC19FC" w:rsidRPr="000A1C8E" w:rsidRDefault="00CC19FC" w:rsidP="004000C7">
            <w:pPr>
              <w:pStyle w:val="TableText"/>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FFFFF" w:themeFill="background1"/>
          </w:tcPr>
          <w:p w:rsidR="00CC19FC" w:rsidRPr="000A1C8E" w:rsidRDefault="00CC19FC" w:rsidP="004B3534">
            <w:pPr>
              <w:pStyle w:val="TableText"/>
              <w:rPr>
                <w:rFonts w:ascii="Tahoma" w:hAnsi="Tahoma" w:cs="Tahoma"/>
                <w:sz w:val="13"/>
              </w:rPr>
            </w:pPr>
          </w:p>
        </w:tc>
        <w:tc>
          <w:tcPr>
            <w:tcW w:w="551" w:type="dxa"/>
            <w:tcBorders>
              <w:bottom w:val="single" w:sz="4" w:space="0" w:color="auto"/>
            </w:tcBorders>
            <w:shd w:val="clear" w:color="auto" w:fill="FFFFFF" w:themeFill="background1"/>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350"/>
        </w:trPr>
        <w:tc>
          <w:tcPr>
            <w:tcW w:w="2638" w:type="dxa"/>
            <w:tcBorders>
              <w:bottom w:val="single" w:sz="4" w:space="0" w:color="auto"/>
            </w:tcBorders>
            <w:shd w:val="clear" w:color="auto" w:fill="FABF8F"/>
            <w:vAlign w:val="center"/>
          </w:tcPr>
          <w:p w:rsidR="00CC19FC" w:rsidRPr="000A1C8E" w:rsidRDefault="00CC19FC" w:rsidP="004F6A95">
            <w:pPr>
              <w:pStyle w:val="Heading2"/>
              <w:spacing w:beforeLines="20" w:before="48" w:afterLines="20" w:after="48"/>
              <w:ind w:left="0"/>
              <w:rPr>
                <w:rFonts w:ascii="Tahoma" w:hAnsi="Tahoma" w:cs="Tahoma"/>
                <w:b w:val="0"/>
                <w:sz w:val="14"/>
              </w:rPr>
            </w:pPr>
            <w:bookmarkStart w:id="72" w:name="_Toc336337874"/>
            <w:bookmarkStart w:id="73" w:name="_Toc361828975"/>
            <w:r w:rsidRPr="000A1C8E">
              <w:rPr>
                <w:rFonts w:ascii="Tahoma" w:hAnsi="Tahoma" w:cs="Tahoma"/>
                <w:b w:val="0"/>
                <w:sz w:val="14"/>
              </w:rPr>
              <w:t>Outlook</w:t>
            </w:r>
            <w:r w:rsidR="00C83286" w:rsidRPr="000A1C8E">
              <w:rPr>
                <w:rFonts w:ascii="Tahoma" w:hAnsi="Tahoma" w:cs="Tahoma"/>
                <w:b w:val="0"/>
                <w:sz w:val="14"/>
                <w:vertAlign w:val="superscript"/>
              </w:rPr>
              <w:t>®</w:t>
            </w:r>
            <w:r w:rsidRPr="000A1C8E">
              <w:rPr>
                <w:rFonts w:ascii="Tahoma" w:hAnsi="Tahoma" w:cs="Tahoma"/>
                <w:b w:val="0"/>
                <w:sz w:val="14"/>
              </w:rPr>
              <w:t xml:space="preserve"> </w:t>
            </w:r>
            <w:bookmarkEnd w:id="72"/>
            <w:r w:rsidRPr="000A1C8E">
              <w:rPr>
                <w:rFonts w:ascii="Tahoma" w:hAnsi="Tahoma" w:cs="Tahoma"/>
                <w:b w:val="0"/>
                <w:sz w:val="14"/>
              </w:rPr>
              <w:t>2013</w:t>
            </w:r>
            <w:bookmarkEnd w:id="73"/>
          </w:p>
        </w:tc>
        <w:tc>
          <w:tcPr>
            <w:tcW w:w="429" w:type="dxa"/>
            <w:tcBorders>
              <w:bottom w:val="single" w:sz="4" w:space="0" w:color="auto"/>
            </w:tcBorders>
            <w:shd w:val="clear" w:color="auto" w:fill="FABF8F"/>
            <w:vAlign w:val="center"/>
          </w:tcPr>
          <w:p w:rsidR="00CC19FC" w:rsidRPr="00DC1AC3" w:rsidRDefault="00CC19FC" w:rsidP="00761E3B">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CC19FC" w:rsidRPr="000A1C8E" w:rsidRDefault="00CC19FC" w:rsidP="004941B2">
            <w:pPr>
              <w:pStyle w:val="TableText"/>
              <w:spacing w:before="60" w:after="6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305"/>
        </w:trPr>
        <w:tc>
          <w:tcPr>
            <w:tcW w:w="2638" w:type="dxa"/>
            <w:tcBorders>
              <w:bottom w:val="single" w:sz="4" w:space="0" w:color="auto"/>
            </w:tcBorders>
            <w:shd w:val="clear" w:color="auto" w:fill="FFFFFF" w:themeFill="background1"/>
            <w:vAlign w:val="center"/>
          </w:tcPr>
          <w:p w:rsidR="00CC19FC" w:rsidRPr="000A1C8E" w:rsidRDefault="00CC19FC" w:rsidP="004F6A95">
            <w:pPr>
              <w:pStyle w:val="Heading2"/>
              <w:spacing w:beforeLines="20" w:before="48" w:afterLines="20" w:after="48"/>
              <w:ind w:left="0"/>
              <w:rPr>
                <w:rFonts w:ascii="Tahoma" w:hAnsi="Tahoma" w:cs="Tahoma"/>
                <w:b w:val="0"/>
                <w:sz w:val="16"/>
                <w:szCs w:val="16"/>
              </w:rPr>
            </w:pPr>
            <w:bookmarkStart w:id="74" w:name="_Toc336337875"/>
            <w:bookmarkStart w:id="75" w:name="_Toc361828976"/>
            <w:r w:rsidRPr="000A1C8E">
              <w:rPr>
                <w:rFonts w:ascii="Tahoma" w:hAnsi="Tahoma" w:cs="Tahoma"/>
                <w:b w:val="0"/>
                <w:sz w:val="14"/>
                <w:szCs w:val="16"/>
              </w:rPr>
              <w:t xml:space="preserve">Outlook </w:t>
            </w:r>
            <w:bookmarkEnd w:id="74"/>
            <w:r w:rsidRPr="000A1C8E">
              <w:rPr>
                <w:rFonts w:ascii="Tahoma" w:hAnsi="Tahoma" w:cs="Tahoma"/>
                <w:b w:val="0"/>
                <w:sz w:val="14"/>
                <w:szCs w:val="16"/>
              </w:rPr>
              <w:t>para Mac 2011</w:t>
            </w:r>
            <w:bookmarkEnd w:id="75"/>
          </w:p>
        </w:tc>
        <w:tc>
          <w:tcPr>
            <w:tcW w:w="429" w:type="dxa"/>
            <w:tcBorders>
              <w:bottom w:val="single" w:sz="4" w:space="0" w:color="auto"/>
            </w:tcBorders>
            <w:shd w:val="clear" w:color="auto" w:fill="FFFFFF" w:themeFill="background1"/>
            <w:vAlign w:val="center"/>
          </w:tcPr>
          <w:p w:rsidR="00CC19FC" w:rsidRPr="00DC1AC3" w:rsidRDefault="006C57E7" w:rsidP="003D5C46">
            <w:pPr>
              <w:pStyle w:val="TableText"/>
              <w:widowControl w:val="0"/>
              <w:rPr>
                <w:rStyle w:val="EndnoteReference"/>
                <w:rFonts w:cs="Tahoma"/>
                <w:b w:val="0"/>
                <w:color w:val="0000FF"/>
                <w:sz w:val="13"/>
                <w:szCs w:val="13"/>
                <w:u w:val="single"/>
              </w:rPr>
            </w:pPr>
            <w:hyperlink w:anchor="_14_Outlook_para" w:history="1">
              <w:r w:rsidR="003D47E7" w:rsidRPr="00DC1AC3">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FFFFF" w:themeFill="background1"/>
            <w:vAlign w:val="center"/>
          </w:tcPr>
          <w:p w:rsidR="00CC19FC" w:rsidRPr="000A1C8E" w:rsidRDefault="00CC19FC" w:rsidP="00080B33">
            <w:pPr>
              <w:pStyle w:val="TableText"/>
              <w:widowControl w:val="0"/>
              <w:rPr>
                <w:rFonts w:ascii="Tahoma" w:hAnsi="Tahoma" w:cs="Tahoma"/>
                <w:sz w:val="13"/>
              </w:rPr>
            </w:pPr>
          </w:p>
        </w:tc>
        <w:tc>
          <w:tcPr>
            <w:tcW w:w="551" w:type="dxa"/>
            <w:tcBorders>
              <w:bottom w:val="single" w:sz="4" w:space="0" w:color="auto"/>
            </w:tcBorders>
            <w:shd w:val="clear" w:color="auto" w:fill="FFFFFF" w:themeFill="background1"/>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305"/>
        </w:trPr>
        <w:tc>
          <w:tcPr>
            <w:tcW w:w="2638" w:type="dxa"/>
            <w:tcBorders>
              <w:bottom w:val="single" w:sz="4" w:space="0" w:color="auto"/>
            </w:tcBorders>
            <w:shd w:val="clear" w:color="auto" w:fill="auto"/>
            <w:vAlign w:val="center"/>
          </w:tcPr>
          <w:p w:rsidR="00CC19FC" w:rsidRPr="000A1C8E" w:rsidRDefault="00CC19FC" w:rsidP="004F6A95">
            <w:pPr>
              <w:pStyle w:val="Heading3"/>
              <w:spacing w:beforeLines="20" w:before="48" w:afterLines="20" w:after="48"/>
              <w:rPr>
                <w:rFonts w:ascii="Tahoma" w:hAnsi="Tahoma" w:cs="Tahoma"/>
                <w:b w:val="0"/>
                <w:sz w:val="14"/>
              </w:rPr>
            </w:pPr>
            <w:bookmarkStart w:id="76" w:name="_Toc361828977"/>
            <w:r w:rsidRPr="000A1C8E">
              <w:rPr>
                <w:rFonts w:ascii="Tahoma" w:hAnsi="Tahoma" w:cs="Tahoma"/>
                <w:b w:val="0"/>
                <w:sz w:val="14"/>
              </w:rPr>
              <w:t>PowerPoint 2013</w:t>
            </w:r>
            <w:bookmarkEnd w:id="76"/>
          </w:p>
        </w:tc>
        <w:tc>
          <w:tcPr>
            <w:tcW w:w="429" w:type="dxa"/>
            <w:tcBorders>
              <w:bottom w:val="single" w:sz="4" w:space="0" w:color="auto"/>
            </w:tcBorders>
            <w:shd w:val="clear" w:color="auto" w:fill="auto"/>
            <w:vAlign w:val="center"/>
          </w:tcPr>
          <w:p w:rsidR="00CC19FC" w:rsidRPr="00DC1AC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A1C8E" w:rsidRDefault="00CC19FC" w:rsidP="004941B2">
            <w:pPr>
              <w:pStyle w:val="TableText"/>
              <w:widowControl w:val="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CC19FC" w:rsidRPr="000A1C8E" w:rsidRDefault="00CC19FC" w:rsidP="00080B33">
            <w:pPr>
              <w:pStyle w:val="TableText"/>
              <w:widowControl w:val="0"/>
              <w:rPr>
                <w:rFonts w:ascii="Tahoma" w:hAnsi="Tahoma" w:cs="Tahoma"/>
                <w:sz w:val="13"/>
              </w:rPr>
            </w:pPr>
          </w:p>
        </w:tc>
        <w:tc>
          <w:tcPr>
            <w:tcW w:w="551" w:type="dxa"/>
            <w:tcBorders>
              <w:bottom w:val="single" w:sz="4" w:space="0" w:color="auto"/>
            </w:tcBorders>
            <w:shd w:val="clear" w:color="auto" w:fill="auto"/>
            <w:vAlign w:val="center"/>
          </w:tcPr>
          <w:p w:rsidR="00CC19FC" w:rsidRPr="000A1C8E" w:rsidRDefault="00CC19FC" w:rsidP="004B3534">
            <w:pPr>
              <w:pStyle w:val="TableText"/>
              <w:widowControl w:val="0"/>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Heading3"/>
              <w:spacing w:beforeLines="20" w:before="48" w:afterLines="20" w:after="48"/>
              <w:rPr>
                <w:rFonts w:ascii="Tahoma" w:hAnsi="Tahoma" w:cs="Tahoma"/>
                <w:b w:val="0"/>
                <w:sz w:val="14"/>
              </w:rPr>
            </w:pPr>
            <w:bookmarkStart w:id="77" w:name="_Toc336337878"/>
            <w:bookmarkStart w:id="78" w:name="_Toc361828978"/>
            <w:r w:rsidRPr="000A1C8E">
              <w:rPr>
                <w:rFonts w:ascii="Tahoma" w:hAnsi="Tahoma" w:cs="Tahoma"/>
                <w:b w:val="0"/>
                <w:sz w:val="14"/>
              </w:rPr>
              <w:t>PowerPoint para Mac 2011</w:t>
            </w:r>
            <w:bookmarkEnd w:id="77"/>
            <w:bookmarkEnd w:id="78"/>
          </w:p>
        </w:tc>
        <w:tc>
          <w:tcPr>
            <w:tcW w:w="429" w:type="dxa"/>
            <w:tcBorders>
              <w:bottom w:val="single" w:sz="4" w:space="0" w:color="auto"/>
            </w:tcBorders>
            <w:shd w:val="clear" w:color="auto" w:fill="FABF8F"/>
            <w:vAlign w:val="center"/>
          </w:tcPr>
          <w:p w:rsidR="00CC19FC" w:rsidRPr="00DC1AC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0A1C8E" w:rsidRDefault="00CC19FC" w:rsidP="004B3534">
            <w:pPr>
              <w:pStyle w:val="TableText"/>
              <w:spacing w:before="60" w:after="60"/>
              <w:rPr>
                <w:rFonts w:ascii="Tahoma" w:hAnsi="Tahoma" w:cs="Tahoma"/>
                <w:sz w:val="13"/>
              </w:rPr>
            </w:pPr>
            <w:r w:rsidRPr="000A1C8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auto"/>
          </w:tcPr>
          <w:p w:rsidR="00CC19FC" w:rsidRPr="000A1C8E" w:rsidRDefault="001B413E" w:rsidP="004F6A95">
            <w:pPr>
              <w:pStyle w:val="Heading3"/>
              <w:spacing w:beforeLines="20" w:before="48" w:afterLines="20" w:after="48"/>
              <w:rPr>
                <w:rFonts w:ascii="Tahoma" w:hAnsi="Tahoma" w:cs="Tahoma"/>
                <w:b w:val="0"/>
                <w:sz w:val="14"/>
              </w:rPr>
            </w:pPr>
            <w:bookmarkStart w:id="79" w:name="_Toc336337879"/>
            <w:bookmarkStart w:id="80" w:name="_Toc361828979"/>
            <w:r w:rsidRPr="000A1C8E">
              <w:rPr>
                <w:rFonts w:ascii="Tahoma" w:hAnsi="Tahoma" w:cs="Tahoma"/>
                <w:b w:val="0"/>
                <w:sz w:val="14"/>
              </w:rPr>
              <w:t>Project Standard</w:t>
            </w:r>
            <w:bookmarkEnd w:id="79"/>
            <w:r w:rsidRPr="000A1C8E">
              <w:rPr>
                <w:rFonts w:ascii="Tahoma" w:hAnsi="Tahoma" w:cs="Tahoma"/>
                <w:b w:val="0"/>
                <w:sz w:val="14"/>
              </w:rPr>
              <w:t xml:space="preserve"> 2013</w:t>
            </w:r>
            <w:bookmarkEnd w:id="80"/>
            <w:r w:rsidRPr="000A1C8E">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DC1AC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A1C8E" w:rsidRDefault="00CC19FC" w:rsidP="004941B2">
            <w:pPr>
              <w:pStyle w:val="TableText"/>
              <w:spacing w:before="60" w:after="6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5</w:t>
            </w: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4</w:t>
            </w: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32"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14"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4</w:t>
            </w: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9"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Heading3"/>
              <w:spacing w:beforeLines="20" w:before="48" w:afterLines="20" w:after="48"/>
              <w:rPr>
                <w:rFonts w:ascii="Tahoma" w:hAnsi="Tahoma" w:cs="Tahoma"/>
                <w:b w:val="0"/>
                <w:sz w:val="14"/>
              </w:rPr>
            </w:pPr>
            <w:bookmarkStart w:id="81" w:name="_Toc336337880"/>
            <w:bookmarkStart w:id="82" w:name="_Toc361828980"/>
            <w:r w:rsidRPr="000A1C8E">
              <w:rPr>
                <w:rFonts w:ascii="Tahoma" w:hAnsi="Tahoma" w:cs="Tahoma"/>
                <w:b w:val="0"/>
                <w:sz w:val="14"/>
              </w:rPr>
              <w:t>Project Professional 2013</w:t>
            </w:r>
            <w:bookmarkEnd w:id="81"/>
            <w:bookmarkEnd w:id="82"/>
            <w:r w:rsidRPr="000A1C8E">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DC1AC3" w:rsidRDefault="006C57E7" w:rsidP="003D5C46">
            <w:pPr>
              <w:pStyle w:val="TableText"/>
              <w:widowControl w:val="0"/>
              <w:rPr>
                <w:rStyle w:val="EndnoteReference"/>
                <w:rFonts w:cs="Tahoma"/>
                <w:b w:val="0"/>
                <w:color w:val="0000FF"/>
                <w:sz w:val="13"/>
                <w:szCs w:val="13"/>
                <w:u w:val="single"/>
              </w:rPr>
            </w:pPr>
            <w:hyperlink w:anchor="_15_Project_Professional" w:history="1">
              <w:r w:rsidR="003D47E7" w:rsidRPr="00DC1AC3">
                <w:rPr>
                  <w:rStyle w:val="Hyperlink"/>
                  <w:rFonts w:cs="Tahoma"/>
                  <w:b/>
                  <w:sz w:val="13"/>
                  <w:szCs w:val="13"/>
                </w:rPr>
                <w:t>15</w:t>
              </w:r>
            </w:hyperlink>
          </w:p>
        </w:tc>
        <w:tc>
          <w:tcPr>
            <w:tcW w:w="429" w:type="dxa"/>
            <w:tcBorders>
              <w:bottom w:val="single" w:sz="4" w:space="0" w:color="auto"/>
            </w:tcBorders>
            <w:shd w:val="clear" w:color="auto" w:fill="FABF8F"/>
            <w:vAlign w:val="center"/>
          </w:tcPr>
          <w:p w:rsidR="00CC19FC" w:rsidRPr="000A1C8E" w:rsidRDefault="00CC19FC" w:rsidP="004941B2">
            <w:pPr>
              <w:pStyle w:val="TableText"/>
              <w:spacing w:before="60" w:after="6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4</w:t>
            </w:r>
          </w:p>
        </w:tc>
        <w:tc>
          <w:tcPr>
            <w:tcW w:w="405"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10</w:t>
            </w:r>
          </w:p>
        </w:tc>
        <w:tc>
          <w:tcPr>
            <w:tcW w:w="405"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8</w:t>
            </w:r>
          </w:p>
        </w:tc>
        <w:tc>
          <w:tcPr>
            <w:tcW w:w="450"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6</w:t>
            </w:r>
          </w:p>
        </w:tc>
        <w:tc>
          <w:tcPr>
            <w:tcW w:w="432"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6</w:t>
            </w:r>
          </w:p>
        </w:tc>
        <w:tc>
          <w:tcPr>
            <w:tcW w:w="414"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4</w:t>
            </w:r>
          </w:p>
        </w:tc>
        <w:tc>
          <w:tcPr>
            <w:tcW w:w="423" w:type="dxa"/>
            <w:tcBorders>
              <w:bottom w:val="single" w:sz="4" w:space="0" w:color="auto"/>
              <w:right w:val="single" w:sz="18"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2</w:t>
            </w:r>
          </w:p>
        </w:tc>
        <w:tc>
          <w:tcPr>
            <w:tcW w:w="360" w:type="dxa"/>
            <w:tcBorders>
              <w:left w:val="single" w:sz="18" w:space="0" w:color="auto"/>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4</w:t>
            </w:r>
          </w:p>
        </w:tc>
        <w:tc>
          <w:tcPr>
            <w:tcW w:w="450"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8</w:t>
            </w:r>
          </w:p>
        </w:tc>
        <w:tc>
          <w:tcPr>
            <w:tcW w:w="396" w:type="dxa"/>
            <w:tcBorders>
              <w:bottom w:val="single" w:sz="4" w:space="0" w:color="auto"/>
              <w:right w:val="single" w:sz="18"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4</w:t>
            </w:r>
          </w:p>
        </w:tc>
        <w:tc>
          <w:tcPr>
            <w:tcW w:w="459" w:type="dxa"/>
            <w:tcBorders>
              <w:left w:val="single" w:sz="18" w:space="0" w:color="auto"/>
              <w:bottom w:val="single" w:sz="4" w:space="0" w:color="auto"/>
            </w:tcBorders>
            <w:shd w:val="clear" w:color="auto" w:fill="FABF8F"/>
            <w:vAlign w:val="center"/>
          </w:tcPr>
          <w:p w:rsidR="00CC19FC" w:rsidRPr="000A1C8E" w:rsidRDefault="00CC19FC" w:rsidP="0070485B">
            <w:pPr>
              <w:pStyle w:val="TableText"/>
              <w:rPr>
                <w:rFonts w:ascii="Tahoma" w:hAnsi="Tahoma" w:cs="Tahoma"/>
                <w:sz w:val="13"/>
                <w:szCs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A, AO, ST</w:t>
            </w:r>
          </w:p>
        </w:tc>
        <w:tc>
          <w:tcPr>
            <w:tcW w:w="551"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auto"/>
          </w:tcPr>
          <w:p w:rsidR="00CC19FC" w:rsidRPr="000A1C8E" w:rsidRDefault="00C24CBE" w:rsidP="004F6A95">
            <w:pPr>
              <w:pStyle w:val="Heading3"/>
              <w:spacing w:beforeLines="20" w:before="48" w:afterLines="20" w:after="48"/>
              <w:rPr>
                <w:rFonts w:ascii="Tahoma" w:hAnsi="Tahoma" w:cs="Tahoma"/>
                <w:b w:val="0"/>
                <w:sz w:val="14"/>
              </w:rPr>
            </w:pPr>
            <w:bookmarkStart w:id="83" w:name="_Toc361828981"/>
            <w:r w:rsidRPr="000A1C8E">
              <w:rPr>
                <w:rFonts w:ascii="Tahoma" w:hAnsi="Tahoma" w:cs="Tahoma"/>
                <w:b w:val="0"/>
                <w:sz w:val="14"/>
              </w:rPr>
              <w:t>Project Pro para Office 365</w:t>
            </w:r>
            <w:bookmarkEnd w:id="83"/>
            <w:r w:rsidR="00DC6D8B" w:rsidRPr="000A1C8E">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DC1AC3" w:rsidRDefault="006C57E7" w:rsidP="003D5C46">
            <w:pPr>
              <w:pStyle w:val="TableText"/>
              <w:widowControl w:val="0"/>
              <w:rPr>
                <w:rFonts w:cs="Tahoma"/>
                <w:b/>
                <w:color w:val="0000FF"/>
                <w:sz w:val="13"/>
                <w:szCs w:val="13"/>
                <w:u w:val="single"/>
              </w:rPr>
            </w:pPr>
            <w:hyperlink w:anchor="_16_Project_Pro" w:history="1">
              <w:r w:rsidR="003D47E7" w:rsidRPr="00DC1AC3">
                <w:rPr>
                  <w:rStyle w:val="Hyperlink"/>
                  <w:rFonts w:cs="Tahoma"/>
                  <w:b/>
                  <w:sz w:val="13"/>
                  <w:szCs w:val="13"/>
                </w:rPr>
                <w:t>16</w:t>
              </w:r>
            </w:hyperlink>
          </w:p>
        </w:tc>
        <w:tc>
          <w:tcPr>
            <w:tcW w:w="429" w:type="dxa"/>
            <w:tcBorders>
              <w:bottom w:val="single" w:sz="4" w:space="0" w:color="auto"/>
            </w:tcBorders>
            <w:shd w:val="clear" w:color="auto" w:fill="auto"/>
            <w:vAlign w:val="center"/>
          </w:tcPr>
          <w:p w:rsidR="00CC19FC" w:rsidRPr="000A1C8E" w:rsidRDefault="00CC19FC" w:rsidP="004941B2">
            <w:pPr>
              <w:pStyle w:val="TableText"/>
              <w:spacing w:before="60" w:after="60"/>
              <w:rPr>
                <w:rFonts w:ascii="Tahoma" w:hAnsi="Tahoma" w:cs="Tahoma"/>
                <w:sz w:val="13"/>
              </w:rPr>
            </w:pPr>
            <w:r w:rsidRPr="000A1C8E">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405"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405"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450"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432"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414"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450"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459"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auto"/>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Heading3"/>
              <w:spacing w:beforeLines="20" w:before="48" w:afterLines="20" w:after="48"/>
              <w:rPr>
                <w:rFonts w:ascii="Tahoma" w:hAnsi="Tahoma" w:cs="Tahoma"/>
                <w:b w:val="0"/>
                <w:sz w:val="14"/>
              </w:rPr>
            </w:pPr>
            <w:bookmarkStart w:id="84" w:name="_Toc361828982"/>
            <w:r w:rsidRPr="000A1C8E">
              <w:rPr>
                <w:rFonts w:ascii="Tahoma" w:hAnsi="Tahoma" w:cs="Tahoma"/>
                <w:b w:val="0"/>
                <w:sz w:val="14"/>
              </w:rPr>
              <w:t>Project Pro para Office 365 A</w:t>
            </w:r>
            <w:bookmarkEnd w:id="84"/>
          </w:p>
        </w:tc>
        <w:tc>
          <w:tcPr>
            <w:tcW w:w="429" w:type="dxa"/>
            <w:tcBorders>
              <w:bottom w:val="single" w:sz="4" w:space="0" w:color="auto"/>
            </w:tcBorders>
            <w:shd w:val="clear" w:color="auto" w:fill="FABF8F"/>
            <w:vAlign w:val="center"/>
          </w:tcPr>
          <w:p w:rsidR="00CC19FC" w:rsidRPr="00DC1AC3"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0A1C8E" w:rsidRDefault="00CC19FC" w:rsidP="004941B2">
            <w:pPr>
              <w:pStyle w:val="TableText"/>
              <w:spacing w:before="60" w:after="60"/>
              <w:rPr>
                <w:rFonts w:ascii="Tahoma" w:hAnsi="Tahoma" w:cs="Tahoma"/>
                <w:sz w:val="13"/>
              </w:rPr>
            </w:pPr>
            <w:r w:rsidRPr="000A1C8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432"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414"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spacing w:after="120"/>
              <w:rPr>
                <w:rFonts w:ascii="Tahoma" w:hAnsi="Tahoma" w:cs="Tahoma"/>
                <w:sz w:val="13"/>
                <w:szCs w:val="13"/>
              </w:rPr>
            </w:pPr>
          </w:p>
        </w:tc>
        <w:tc>
          <w:tcPr>
            <w:tcW w:w="459" w:type="dxa"/>
            <w:tcBorders>
              <w:left w:val="single" w:sz="18" w:space="0" w:color="auto"/>
              <w:bottom w:val="single" w:sz="4" w:space="0" w:color="auto"/>
            </w:tcBorders>
            <w:shd w:val="clear" w:color="auto" w:fill="FABF8F"/>
            <w:vAlign w:val="center"/>
          </w:tcPr>
          <w:p w:rsidR="00CC19FC" w:rsidRPr="000A1C8E" w:rsidRDefault="00C24CBE" w:rsidP="004B3534">
            <w:pPr>
              <w:pStyle w:val="TableText"/>
              <w:spacing w:after="120"/>
              <w:rPr>
                <w:rFonts w:ascii="Tahoma" w:hAnsi="Tahoma" w:cs="Tahoma"/>
                <w:sz w:val="13"/>
                <w:szCs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FABF8F"/>
            <w:vAlign w:val="center"/>
          </w:tcPr>
          <w:p w:rsidR="00CC19FC" w:rsidRPr="000A1C8E" w:rsidRDefault="00573BA8" w:rsidP="00080B33">
            <w:pPr>
              <w:pStyle w:val="TableText"/>
              <w:rPr>
                <w:rFonts w:ascii="Tahoma" w:hAnsi="Tahoma" w:cs="Tahoma"/>
                <w:sz w:val="13"/>
              </w:rPr>
            </w:pPr>
            <w:r w:rsidRPr="000A1C8E">
              <w:rPr>
                <w:rFonts w:ascii="Tahoma" w:hAnsi="Tahoma" w:cs="Tahoma"/>
                <w:sz w:val="13"/>
              </w:rPr>
              <w:t>A, ST (Somente EES)</w:t>
            </w: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auto"/>
          </w:tcPr>
          <w:p w:rsidR="00CC19FC" w:rsidRPr="000A1C8E" w:rsidRDefault="00CC19FC" w:rsidP="004F6A95">
            <w:pPr>
              <w:pStyle w:val="Heading3"/>
              <w:spacing w:beforeLines="20" w:before="48" w:afterLines="20" w:after="48"/>
              <w:rPr>
                <w:rFonts w:ascii="Tahoma" w:hAnsi="Tahoma" w:cs="Tahoma"/>
                <w:b w:val="0"/>
                <w:sz w:val="14"/>
              </w:rPr>
            </w:pPr>
            <w:bookmarkStart w:id="85" w:name="_Toc361828983"/>
            <w:r w:rsidRPr="000A1C8E">
              <w:rPr>
                <w:rFonts w:ascii="Tahoma" w:hAnsi="Tahoma" w:cs="Tahoma"/>
                <w:b w:val="0"/>
                <w:sz w:val="14"/>
              </w:rPr>
              <w:t>Publisher 2013</w:t>
            </w:r>
            <w:bookmarkEnd w:id="85"/>
          </w:p>
        </w:tc>
        <w:tc>
          <w:tcPr>
            <w:tcW w:w="429" w:type="dxa"/>
            <w:tcBorders>
              <w:bottom w:val="single" w:sz="4" w:space="0" w:color="auto"/>
            </w:tcBorders>
            <w:shd w:val="clear" w:color="auto" w:fill="auto"/>
            <w:vAlign w:val="center"/>
          </w:tcPr>
          <w:p w:rsidR="00CC19FC" w:rsidRPr="00DC1AC3" w:rsidRDefault="00CC19FC" w:rsidP="00152361">
            <w:pPr>
              <w:pStyle w:val="TableText"/>
              <w:widowControl w:val="0"/>
              <w:rPr>
                <w:rFonts w:cs="Tahoma"/>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rsidR="00CC19FC" w:rsidRPr="000A1C8E" w:rsidDel="00527D48" w:rsidRDefault="00CC19FC" w:rsidP="004941B2">
            <w:pPr>
              <w:pStyle w:val="TableText"/>
              <w:spacing w:before="60" w:after="6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1</w:t>
            </w:r>
          </w:p>
        </w:tc>
        <w:tc>
          <w:tcPr>
            <w:tcW w:w="405"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3</w:t>
            </w:r>
          </w:p>
        </w:tc>
        <w:tc>
          <w:tcPr>
            <w:tcW w:w="405"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2</w:t>
            </w:r>
          </w:p>
        </w:tc>
        <w:tc>
          <w:tcPr>
            <w:tcW w:w="432"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2</w:t>
            </w:r>
          </w:p>
        </w:tc>
        <w:tc>
          <w:tcPr>
            <w:tcW w:w="414"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1</w:t>
            </w: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1</w:t>
            </w:r>
          </w:p>
        </w:tc>
        <w:tc>
          <w:tcPr>
            <w:tcW w:w="450"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2</w:t>
            </w: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r w:rsidRPr="000A1C8E">
              <w:rPr>
                <w:rFonts w:ascii="Tahoma" w:hAnsi="Tahoma" w:cs="Tahoma"/>
                <w:sz w:val="13"/>
                <w:szCs w:val="13"/>
              </w:rPr>
              <w:t>1</w:t>
            </w:r>
          </w:p>
        </w:tc>
        <w:tc>
          <w:tcPr>
            <w:tcW w:w="459"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Heading3"/>
              <w:spacing w:beforeLines="20" w:before="48" w:afterLines="20" w:after="48"/>
              <w:rPr>
                <w:rFonts w:ascii="Tahoma" w:hAnsi="Tahoma" w:cs="Tahoma"/>
                <w:b w:val="0"/>
                <w:sz w:val="14"/>
              </w:rPr>
            </w:pPr>
            <w:bookmarkStart w:id="87" w:name="_Toc336337882"/>
            <w:bookmarkStart w:id="88" w:name="_Toc361828984"/>
            <w:r w:rsidRPr="000A1C8E">
              <w:rPr>
                <w:rFonts w:ascii="Tahoma" w:hAnsi="Tahoma" w:cs="Tahoma"/>
                <w:b w:val="0"/>
                <w:sz w:val="14"/>
              </w:rPr>
              <w:t xml:space="preserve">Direitos de Locação para Office </w:t>
            </w:r>
            <w:bookmarkEnd w:id="87"/>
            <w:r w:rsidRPr="000A1C8E">
              <w:rPr>
                <w:rFonts w:ascii="Tahoma" w:hAnsi="Tahoma" w:cs="Tahoma"/>
                <w:b w:val="0"/>
                <w:sz w:val="14"/>
              </w:rPr>
              <w:t>Standard</w:t>
            </w:r>
            <w:bookmarkEnd w:id="88"/>
          </w:p>
        </w:tc>
        <w:tc>
          <w:tcPr>
            <w:tcW w:w="429" w:type="dxa"/>
            <w:tcBorders>
              <w:bottom w:val="single" w:sz="4" w:space="0" w:color="auto"/>
            </w:tcBorders>
            <w:shd w:val="clear" w:color="auto" w:fill="FABF8F"/>
            <w:vAlign w:val="center"/>
          </w:tcPr>
          <w:p w:rsidR="00CC19FC" w:rsidRPr="00DC1AC3" w:rsidRDefault="006C57E7" w:rsidP="003D5C46">
            <w:pPr>
              <w:pStyle w:val="TableText"/>
              <w:widowControl w:val="0"/>
              <w:rPr>
                <w:rStyle w:val="EndnoteReference"/>
                <w:rFonts w:cs="Tahoma"/>
                <w:b w:val="0"/>
                <w:color w:val="0000FF"/>
                <w:sz w:val="13"/>
                <w:szCs w:val="13"/>
                <w:u w:val="single"/>
              </w:rPr>
            </w:pPr>
            <w:hyperlink w:anchor="_17_Direitos_de" w:history="1">
              <w:r w:rsidR="003D47E7" w:rsidRPr="00DC1AC3">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0A1C8E" w:rsidRDefault="00CC19FC" w:rsidP="004B3534">
            <w:pPr>
              <w:pStyle w:val="TableText"/>
              <w:spacing w:before="60" w:after="60"/>
              <w:rPr>
                <w:rFonts w:ascii="Tahoma" w:hAnsi="Tahoma" w:cs="Tahoma"/>
                <w:sz w:val="13"/>
              </w:rPr>
            </w:pPr>
            <w:r w:rsidRPr="000A1C8E">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32"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14"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auto"/>
          </w:tcPr>
          <w:p w:rsidR="00CC19FC" w:rsidRPr="000A1C8E" w:rsidRDefault="00CC19FC" w:rsidP="004F6A95">
            <w:pPr>
              <w:pStyle w:val="Heading3"/>
              <w:spacing w:beforeLines="20" w:before="48" w:afterLines="20" w:after="48"/>
              <w:rPr>
                <w:rFonts w:ascii="Tahoma" w:hAnsi="Tahoma" w:cs="Tahoma"/>
                <w:b w:val="0"/>
                <w:sz w:val="14"/>
              </w:rPr>
            </w:pPr>
            <w:bookmarkStart w:id="89" w:name="_Toc361828985"/>
            <w:r w:rsidRPr="000A1C8E">
              <w:rPr>
                <w:rFonts w:ascii="Tahoma" w:hAnsi="Tahoma" w:cs="Tahoma"/>
                <w:b w:val="0"/>
                <w:sz w:val="14"/>
              </w:rPr>
              <w:t>Direitos de Locação para Office Professional Plus</w:t>
            </w:r>
            <w:bookmarkEnd w:id="89"/>
          </w:p>
        </w:tc>
        <w:tc>
          <w:tcPr>
            <w:tcW w:w="429" w:type="dxa"/>
            <w:tcBorders>
              <w:bottom w:val="single" w:sz="4" w:space="0" w:color="auto"/>
            </w:tcBorders>
            <w:shd w:val="clear" w:color="auto" w:fill="auto"/>
            <w:vAlign w:val="center"/>
          </w:tcPr>
          <w:p w:rsidR="00CC19FC" w:rsidRPr="00DC1AC3" w:rsidRDefault="006C57E7" w:rsidP="003D5C46">
            <w:pPr>
              <w:pStyle w:val="TableText"/>
              <w:widowControl w:val="0"/>
              <w:rPr>
                <w:rStyle w:val="EndnoteReference"/>
                <w:rFonts w:cs="Tahoma"/>
                <w:b w:val="0"/>
                <w:color w:val="0000FF"/>
                <w:sz w:val="13"/>
                <w:szCs w:val="13"/>
                <w:u w:val="single"/>
              </w:rPr>
            </w:pPr>
            <w:hyperlink w:anchor="_17_Direitos_de" w:history="1">
              <w:r w:rsidR="0060391F" w:rsidRPr="00DC1AC3">
                <w:rPr>
                  <w:rStyle w:val="Hyperlink"/>
                  <w:rFonts w:cs="Tahoma"/>
                  <w:b/>
                  <w:sz w:val="13"/>
                  <w:szCs w:val="13"/>
                </w:rPr>
                <w:t>17</w:t>
              </w:r>
            </w:hyperlink>
          </w:p>
        </w:tc>
        <w:tc>
          <w:tcPr>
            <w:tcW w:w="429" w:type="dxa"/>
            <w:tcBorders>
              <w:bottom w:val="single" w:sz="4" w:space="0" w:color="auto"/>
            </w:tcBorders>
            <w:shd w:val="clear" w:color="auto" w:fill="auto"/>
            <w:vAlign w:val="center"/>
          </w:tcPr>
          <w:p w:rsidR="00CC19FC" w:rsidRPr="000A1C8E" w:rsidRDefault="00CC19FC" w:rsidP="004B3534">
            <w:pPr>
              <w:pStyle w:val="TableText"/>
              <w:spacing w:before="60" w:after="60"/>
              <w:rPr>
                <w:rFonts w:ascii="Tahoma" w:hAnsi="Tahoma" w:cs="Tahoma"/>
                <w:sz w:val="13"/>
              </w:rPr>
            </w:pPr>
            <w:r w:rsidRPr="000A1C8E">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32"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14"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59"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auto"/>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Heading3"/>
              <w:spacing w:beforeLines="20" w:before="48" w:afterLines="20" w:after="48"/>
              <w:rPr>
                <w:rFonts w:ascii="Tahoma" w:hAnsi="Tahoma" w:cs="Tahoma"/>
                <w:b w:val="0"/>
                <w:sz w:val="14"/>
              </w:rPr>
            </w:pPr>
            <w:bookmarkStart w:id="90" w:name="_Toc336337884"/>
            <w:bookmarkStart w:id="91" w:name="_Toc361828986"/>
            <w:r w:rsidRPr="000A1C8E">
              <w:rPr>
                <w:rFonts w:ascii="Tahoma"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rsidR="00CC19FC" w:rsidRPr="00DC1AC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0A1C8E" w:rsidRDefault="00CC19FC" w:rsidP="00097B90">
            <w:pPr>
              <w:pStyle w:val="TableText"/>
              <w:spacing w:before="60" w:after="60"/>
              <w:rPr>
                <w:rFonts w:ascii="Tahoma" w:hAnsi="Tahoma" w:cs="Tahoma"/>
                <w:sz w:val="13"/>
              </w:rPr>
            </w:pPr>
            <w:r w:rsidRPr="000A1C8E">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r w:rsidRPr="000A1C8E">
              <w:rPr>
                <w:rFonts w:ascii="Tahoma" w:hAnsi="Tahoma" w:cs="Tahoma"/>
                <w:sz w:val="13"/>
              </w:rPr>
              <w:t>A,</w:t>
            </w:r>
            <w:r w:rsidR="00D21781" w:rsidRPr="000A1C8E">
              <w:rPr>
                <w:rFonts w:ascii="Tahoma" w:hAnsi="Tahoma" w:cs="Tahoma"/>
                <w:sz w:val="13"/>
              </w:rPr>
              <w:t xml:space="preserve"> </w:t>
            </w:r>
            <w:r w:rsidRPr="000A1C8E">
              <w:rPr>
                <w:rFonts w:ascii="Tahoma" w:hAnsi="Tahoma" w:cs="Tahoma"/>
                <w:sz w:val="13"/>
              </w:rPr>
              <w:t>ST</w:t>
            </w: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auto"/>
          </w:tcPr>
          <w:p w:rsidR="005F584F" w:rsidRPr="000A1C8E" w:rsidRDefault="005F584F" w:rsidP="004F6A95">
            <w:pPr>
              <w:pStyle w:val="Heading3"/>
              <w:spacing w:beforeLines="20" w:before="48" w:afterLines="20" w:after="48"/>
              <w:rPr>
                <w:rFonts w:ascii="Tahoma" w:hAnsi="Tahoma" w:cs="Tahoma"/>
                <w:b w:val="0"/>
                <w:sz w:val="14"/>
              </w:rPr>
            </w:pPr>
            <w:bookmarkStart w:id="92" w:name="_Toc361828987"/>
            <w:r w:rsidRPr="000A1C8E">
              <w:rPr>
                <w:rFonts w:ascii="Tahoma" w:hAnsi="Tahoma" w:cs="Tahoma"/>
                <w:b w:val="0"/>
                <w:sz w:val="14"/>
              </w:rPr>
              <w:t>TechNet Plus Direct</w:t>
            </w:r>
            <w:bookmarkEnd w:id="92"/>
            <w:r w:rsidRPr="000A1C8E">
              <w:rPr>
                <w:rFonts w:ascii="Tahoma" w:hAnsi="Tahoma" w:cs="Tahoma"/>
                <w:b w:val="0"/>
                <w:sz w:val="14"/>
              </w:rPr>
              <w:t xml:space="preserve"> </w:t>
            </w:r>
          </w:p>
        </w:tc>
        <w:tc>
          <w:tcPr>
            <w:tcW w:w="429" w:type="dxa"/>
            <w:tcBorders>
              <w:bottom w:val="single" w:sz="4" w:space="0" w:color="auto"/>
            </w:tcBorders>
            <w:shd w:val="clear" w:color="auto" w:fill="auto"/>
            <w:vAlign w:val="center"/>
          </w:tcPr>
          <w:p w:rsidR="005F584F" w:rsidRPr="00DC1AC3" w:rsidRDefault="005F584F" w:rsidP="005F584F">
            <w:pPr>
              <w:pStyle w:val="TableText"/>
              <w:widowControl w:val="0"/>
              <w:rPr>
                <w:rFonts w:cs="Tahoma"/>
                <w:b/>
                <w:sz w:val="13"/>
                <w:szCs w:val="13"/>
              </w:rPr>
            </w:pPr>
          </w:p>
        </w:tc>
        <w:tc>
          <w:tcPr>
            <w:tcW w:w="429" w:type="dxa"/>
            <w:tcBorders>
              <w:bottom w:val="single" w:sz="4" w:space="0" w:color="auto"/>
            </w:tcBorders>
            <w:shd w:val="clear" w:color="auto" w:fill="auto"/>
            <w:vAlign w:val="center"/>
          </w:tcPr>
          <w:p w:rsidR="005F584F" w:rsidRPr="000A1C8E" w:rsidRDefault="005F584F" w:rsidP="005F584F">
            <w:pPr>
              <w:pStyle w:val="TableText"/>
              <w:spacing w:before="60" w:after="60"/>
              <w:rPr>
                <w:rFonts w:ascii="Tahoma" w:hAnsi="Tahoma" w:cs="Tahoma"/>
                <w:sz w:val="13"/>
              </w:rPr>
            </w:pPr>
            <w:r w:rsidRPr="000A1C8E">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p>
        </w:tc>
        <w:tc>
          <w:tcPr>
            <w:tcW w:w="405" w:type="dxa"/>
            <w:tcBorders>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5</w:t>
            </w:r>
          </w:p>
        </w:tc>
        <w:tc>
          <w:tcPr>
            <w:tcW w:w="405" w:type="dxa"/>
            <w:tcBorders>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4</w:t>
            </w:r>
          </w:p>
        </w:tc>
        <w:tc>
          <w:tcPr>
            <w:tcW w:w="450" w:type="dxa"/>
            <w:tcBorders>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3</w:t>
            </w:r>
          </w:p>
        </w:tc>
        <w:tc>
          <w:tcPr>
            <w:tcW w:w="432" w:type="dxa"/>
            <w:tcBorders>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3</w:t>
            </w:r>
          </w:p>
        </w:tc>
        <w:tc>
          <w:tcPr>
            <w:tcW w:w="414" w:type="dxa"/>
            <w:tcBorders>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2</w:t>
            </w:r>
          </w:p>
        </w:tc>
        <w:tc>
          <w:tcPr>
            <w:tcW w:w="423" w:type="dxa"/>
            <w:tcBorders>
              <w:bottom w:val="single" w:sz="4" w:space="0" w:color="auto"/>
              <w:right w:val="single" w:sz="18"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p>
        </w:tc>
        <w:tc>
          <w:tcPr>
            <w:tcW w:w="450" w:type="dxa"/>
            <w:tcBorders>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A</w:t>
            </w:r>
          </w:p>
        </w:tc>
        <w:tc>
          <w:tcPr>
            <w:tcW w:w="551" w:type="dxa"/>
            <w:tcBorders>
              <w:bottom w:val="single" w:sz="4" w:space="0" w:color="auto"/>
            </w:tcBorders>
            <w:shd w:val="clear" w:color="auto" w:fill="auto"/>
            <w:vAlign w:val="center"/>
          </w:tcPr>
          <w:p w:rsidR="005F584F" w:rsidRPr="000A1C8E" w:rsidRDefault="005F584F" w:rsidP="005F584F">
            <w:pPr>
              <w:pStyle w:val="TableText"/>
              <w:rPr>
                <w:rFonts w:ascii="Tahoma" w:hAnsi="Tahoma" w:cs="Tahoma"/>
                <w:sz w:val="13"/>
              </w:rPr>
            </w:pPr>
            <w:r w:rsidRPr="000A1C8E">
              <w:rPr>
                <w:rFonts w:ascii="Tahoma" w:hAnsi="Tahoma" w:cs="Tahoma"/>
                <w:sz w:val="13"/>
              </w:rPr>
              <w:t>LO</w:t>
            </w: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Heading3"/>
              <w:spacing w:beforeLines="20" w:before="48" w:afterLines="20" w:after="48"/>
              <w:rPr>
                <w:rFonts w:ascii="Tahoma" w:hAnsi="Tahoma" w:cs="Tahoma"/>
                <w:b w:val="0"/>
                <w:sz w:val="14"/>
              </w:rPr>
            </w:pPr>
            <w:bookmarkStart w:id="93" w:name="_Toc336337886"/>
            <w:bookmarkStart w:id="94" w:name="_Toc361828988"/>
            <w:r w:rsidRPr="000A1C8E">
              <w:rPr>
                <w:rFonts w:ascii="Tahoma" w:hAnsi="Tahoma" w:cs="Tahoma"/>
                <w:b w:val="0"/>
                <w:sz w:val="14"/>
              </w:rPr>
              <w:t>Visio</w:t>
            </w:r>
            <w:r w:rsidR="00C83286" w:rsidRPr="000A1C8E">
              <w:rPr>
                <w:rFonts w:ascii="Tahoma" w:hAnsi="Tahoma" w:cs="Tahoma"/>
                <w:b w:val="0"/>
                <w:sz w:val="14"/>
                <w:vertAlign w:val="superscript"/>
              </w:rPr>
              <w:t>®</w:t>
            </w:r>
            <w:r w:rsidRPr="000A1C8E">
              <w:rPr>
                <w:rFonts w:ascii="Tahoma" w:hAnsi="Tahoma" w:cs="Tahoma"/>
                <w:b w:val="0"/>
                <w:sz w:val="14"/>
              </w:rPr>
              <w:t xml:space="preserve"> 2013 Professional</w:t>
            </w:r>
            <w:bookmarkEnd w:id="93"/>
            <w:bookmarkEnd w:id="94"/>
            <w:r w:rsidR="00DC6D8B" w:rsidRPr="000A1C8E">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DC1AC3" w:rsidRDefault="006C57E7" w:rsidP="009D43FB">
            <w:pPr>
              <w:pStyle w:val="TableText"/>
              <w:widowControl w:val="0"/>
              <w:rPr>
                <w:rStyle w:val="EndnoteReference"/>
                <w:rFonts w:cs="Tahoma"/>
                <w:b w:val="0"/>
                <w:color w:val="0000FF"/>
                <w:sz w:val="13"/>
                <w:szCs w:val="13"/>
                <w:u w:val="single"/>
              </w:rPr>
            </w:pPr>
            <w:hyperlink w:anchor="_18_Visio_Professional" w:history="1">
              <w:r w:rsidR="003D47E7" w:rsidRPr="00DC1AC3">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0A1C8E" w:rsidRDefault="00CC19FC" w:rsidP="004941B2">
            <w:pPr>
              <w:pStyle w:val="TableText"/>
              <w:spacing w:before="60" w:after="6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5</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4</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32"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14"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4</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auto"/>
          </w:tcPr>
          <w:p w:rsidR="00CC19FC" w:rsidRPr="000A1C8E" w:rsidRDefault="00CC19FC" w:rsidP="004F6A95">
            <w:pPr>
              <w:pStyle w:val="Heading3"/>
              <w:spacing w:beforeLines="20" w:before="48" w:afterLines="20" w:after="48"/>
              <w:rPr>
                <w:rFonts w:ascii="Tahoma" w:hAnsi="Tahoma" w:cs="Tahoma"/>
                <w:b w:val="0"/>
                <w:sz w:val="14"/>
              </w:rPr>
            </w:pPr>
            <w:bookmarkStart w:id="95" w:name="_Toc336337887"/>
            <w:bookmarkStart w:id="96" w:name="_Toc361828989"/>
            <w:r w:rsidRPr="000A1C8E">
              <w:rPr>
                <w:rFonts w:ascii="Tahoma" w:hAnsi="Tahoma" w:cs="Tahoma"/>
                <w:b w:val="0"/>
                <w:sz w:val="14"/>
              </w:rPr>
              <w:t>Visio</w:t>
            </w:r>
            <w:r w:rsidR="00C83286" w:rsidRPr="000A1C8E">
              <w:rPr>
                <w:rFonts w:ascii="Tahoma" w:hAnsi="Tahoma" w:cs="Tahoma"/>
                <w:b w:val="0"/>
                <w:sz w:val="14"/>
                <w:vertAlign w:val="superscript"/>
              </w:rPr>
              <w:t>®</w:t>
            </w:r>
            <w:r w:rsidRPr="000A1C8E">
              <w:rPr>
                <w:rFonts w:ascii="Tahoma" w:hAnsi="Tahoma" w:cs="Tahoma"/>
                <w:b w:val="0"/>
                <w:sz w:val="14"/>
              </w:rPr>
              <w:t xml:space="preserve"> 2013 Standard</w:t>
            </w:r>
            <w:bookmarkEnd w:id="95"/>
            <w:bookmarkEnd w:id="96"/>
            <w:r w:rsidRPr="000A1C8E">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DC1AC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A1C8E" w:rsidRDefault="00CC19FC" w:rsidP="004941B2">
            <w:pPr>
              <w:pStyle w:val="TableText"/>
              <w:spacing w:before="60" w:after="6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24CBE" w:rsidP="004F6A95">
            <w:pPr>
              <w:pStyle w:val="ProductNames"/>
              <w:spacing w:beforeLines="20" w:before="48" w:afterLines="20" w:after="48"/>
              <w:rPr>
                <w:rFonts w:ascii="Tahoma" w:hAnsi="Tahoma" w:cs="Tahoma"/>
                <w:sz w:val="14"/>
              </w:rPr>
            </w:pPr>
            <w:bookmarkStart w:id="97" w:name="_Toc361828990"/>
            <w:r w:rsidRPr="000A1C8E">
              <w:rPr>
                <w:rFonts w:ascii="Tahoma" w:hAnsi="Tahoma" w:cs="Tahoma"/>
                <w:sz w:val="14"/>
              </w:rPr>
              <w:t>Visio Pro para Office 365</w:t>
            </w:r>
            <w:bookmarkEnd w:id="97"/>
          </w:p>
        </w:tc>
        <w:tc>
          <w:tcPr>
            <w:tcW w:w="429" w:type="dxa"/>
            <w:tcBorders>
              <w:bottom w:val="single" w:sz="4" w:space="0" w:color="auto"/>
            </w:tcBorders>
            <w:shd w:val="clear" w:color="auto" w:fill="FABF8F"/>
            <w:vAlign w:val="center"/>
          </w:tcPr>
          <w:p w:rsidR="00CC19FC" w:rsidRPr="00DC1AC3" w:rsidRDefault="006C57E7" w:rsidP="009D43FB">
            <w:pPr>
              <w:pStyle w:val="TableText"/>
              <w:widowControl w:val="0"/>
              <w:rPr>
                <w:rStyle w:val="EndnoteReference"/>
                <w:rFonts w:cs="Tahoma"/>
                <w:b w:val="0"/>
                <w:color w:val="0000FF"/>
                <w:sz w:val="13"/>
                <w:szCs w:val="13"/>
                <w:u w:val="single"/>
              </w:rPr>
            </w:pPr>
            <w:hyperlink w:anchor="_19_Visio_Pro" w:history="1">
              <w:r w:rsidR="003D47E7" w:rsidRPr="00DC1AC3">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0A1C8E" w:rsidRDefault="00CC19FC" w:rsidP="004B3534">
            <w:pPr>
              <w:pStyle w:val="TableText"/>
              <w:spacing w:before="60" w:after="60"/>
              <w:rPr>
                <w:rFonts w:ascii="Tahoma" w:hAnsi="Tahoma" w:cs="Tahoma"/>
                <w:sz w:val="13"/>
              </w:rPr>
            </w:pPr>
            <w:r w:rsidRPr="000A1C8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32"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14"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auto"/>
            <w:vAlign w:val="center"/>
          </w:tcPr>
          <w:p w:rsidR="00CC19FC" w:rsidRPr="000A1C8E" w:rsidRDefault="00CC19FC" w:rsidP="004F6A95">
            <w:pPr>
              <w:pStyle w:val="ProductNames"/>
              <w:spacing w:beforeLines="20" w:before="48" w:afterLines="20" w:after="48"/>
              <w:rPr>
                <w:rFonts w:ascii="Tahoma" w:hAnsi="Tahoma" w:cs="Tahoma"/>
                <w:sz w:val="14"/>
              </w:rPr>
            </w:pPr>
            <w:bookmarkStart w:id="98" w:name="_Toc361828991"/>
            <w:r w:rsidRPr="000A1C8E">
              <w:rPr>
                <w:rFonts w:ascii="Tahoma" w:hAnsi="Tahoma" w:cs="Tahoma"/>
                <w:sz w:val="14"/>
              </w:rPr>
              <w:t>Visio Pro para Office 365 A</w:t>
            </w:r>
            <w:bookmarkEnd w:id="98"/>
          </w:p>
        </w:tc>
        <w:tc>
          <w:tcPr>
            <w:tcW w:w="429" w:type="dxa"/>
            <w:tcBorders>
              <w:bottom w:val="single" w:sz="4" w:space="0" w:color="auto"/>
            </w:tcBorders>
            <w:shd w:val="clear" w:color="auto" w:fill="auto"/>
            <w:vAlign w:val="center"/>
          </w:tcPr>
          <w:p w:rsidR="00CC19FC" w:rsidRPr="00DC1AC3"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A1C8E" w:rsidRDefault="00CC19FC" w:rsidP="004B3534">
            <w:pPr>
              <w:pStyle w:val="TableText"/>
              <w:spacing w:before="60" w:after="60"/>
              <w:rPr>
                <w:rFonts w:ascii="Tahoma" w:hAnsi="Tahoma" w:cs="Tahoma"/>
                <w:sz w:val="13"/>
              </w:rPr>
            </w:pPr>
            <w:r w:rsidRPr="000A1C8E">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32"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14"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459" w:type="dxa"/>
            <w:tcBorders>
              <w:left w:val="single" w:sz="18" w:space="0" w:color="auto"/>
              <w:bottom w:val="single" w:sz="4" w:space="0" w:color="auto"/>
            </w:tcBorders>
            <w:shd w:val="clear" w:color="auto" w:fill="auto"/>
            <w:vAlign w:val="center"/>
          </w:tcPr>
          <w:p w:rsidR="00CC19FC" w:rsidRPr="000A1C8E" w:rsidRDefault="00C24CBE" w:rsidP="004B3534">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auto"/>
            <w:vAlign w:val="center"/>
          </w:tcPr>
          <w:p w:rsidR="00CC19FC" w:rsidRPr="000A1C8E" w:rsidRDefault="00573BA8" w:rsidP="00080B33">
            <w:pPr>
              <w:pStyle w:val="TableText"/>
              <w:rPr>
                <w:rFonts w:ascii="Tahoma" w:hAnsi="Tahoma" w:cs="Tahoma"/>
                <w:sz w:val="13"/>
              </w:rPr>
            </w:pPr>
            <w:r w:rsidRPr="000A1C8E">
              <w:rPr>
                <w:rFonts w:ascii="Tahoma" w:hAnsi="Tahoma" w:cs="Tahoma"/>
                <w:sz w:val="13"/>
              </w:rPr>
              <w:t>A, ST (Somente EES)</w:t>
            </w:r>
          </w:p>
        </w:tc>
        <w:tc>
          <w:tcPr>
            <w:tcW w:w="551"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ProductNames"/>
              <w:spacing w:beforeLines="20" w:before="48" w:afterLines="20" w:after="48"/>
              <w:rPr>
                <w:rFonts w:ascii="Tahoma" w:hAnsi="Tahoma" w:cs="Tahoma"/>
                <w:sz w:val="14"/>
              </w:rPr>
            </w:pPr>
            <w:bookmarkStart w:id="99" w:name="_Toc336337889"/>
            <w:bookmarkStart w:id="100" w:name="_Toc361828992"/>
            <w:r w:rsidRPr="000A1C8E">
              <w:rPr>
                <w:rFonts w:ascii="Tahoma" w:hAnsi="Tahoma" w:cs="Tahoma"/>
                <w:sz w:val="14"/>
              </w:rPr>
              <w:t>Visual Studio</w:t>
            </w:r>
            <w:r w:rsidR="00C83286" w:rsidRPr="000A1C8E">
              <w:rPr>
                <w:rFonts w:ascii="Tahoma" w:hAnsi="Tahoma" w:cs="Tahoma"/>
                <w:sz w:val="14"/>
                <w:vertAlign w:val="superscript"/>
              </w:rPr>
              <w:t>®</w:t>
            </w:r>
            <w:r w:rsidRPr="000A1C8E">
              <w:rPr>
                <w:rFonts w:ascii="Tahoma" w:hAnsi="Tahoma" w:cs="Tahoma"/>
                <w:sz w:val="14"/>
              </w:rPr>
              <w:t xml:space="preserve"> Professional 2012</w:t>
            </w:r>
            <w:bookmarkEnd w:id="99"/>
            <w:bookmarkEnd w:id="100"/>
          </w:p>
        </w:tc>
        <w:tc>
          <w:tcPr>
            <w:tcW w:w="429" w:type="dxa"/>
            <w:tcBorders>
              <w:bottom w:val="single" w:sz="4" w:space="0" w:color="auto"/>
            </w:tcBorders>
            <w:shd w:val="clear" w:color="auto" w:fill="FABF8F"/>
            <w:vAlign w:val="center"/>
          </w:tcPr>
          <w:p w:rsidR="00CC19FC" w:rsidRPr="00DC1AC3" w:rsidRDefault="006C57E7" w:rsidP="00B0065F">
            <w:pPr>
              <w:pStyle w:val="TableText"/>
              <w:widowControl w:val="0"/>
              <w:rPr>
                <w:rFonts w:cs="Tahoma"/>
                <w:b/>
                <w:color w:val="0000FF"/>
                <w:sz w:val="13"/>
                <w:szCs w:val="13"/>
                <w:u w:val="single"/>
              </w:rPr>
            </w:pPr>
            <w:hyperlink w:anchor="_19_Visual_Studio" w:history="1">
              <w:r w:rsidR="003D47E7" w:rsidRPr="00DC1AC3">
                <w:rPr>
                  <w:rStyle w:val="Hyperlink"/>
                  <w:rFonts w:cs="Tahoma"/>
                  <w:b/>
                  <w:sz w:val="13"/>
                  <w:szCs w:val="13"/>
                </w:rPr>
                <w:t>20</w:t>
              </w:r>
            </w:hyperlink>
          </w:p>
        </w:tc>
        <w:tc>
          <w:tcPr>
            <w:tcW w:w="429" w:type="dxa"/>
            <w:tcBorders>
              <w:bottom w:val="single" w:sz="4" w:space="0" w:color="auto"/>
            </w:tcBorders>
            <w:shd w:val="clear" w:color="auto" w:fill="FABF8F"/>
            <w:vAlign w:val="center"/>
          </w:tcPr>
          <w:p w:rsidR="00CC19FC" w:rsidRPr="000A1C8E" w:rsidRDefault="00CC19FC" w:rsidP="0090699E">
            <w:pPr>
              <w:pStyle w:val="TableText"/>
              <w:spacing w:before="60" w:after="60"/>
              <w:rPr>
                <w:rFonts w:ascii="Tahoma" w:hAnsi="Tahoma" w:cs="Tahoma"/>
                <w:sz w:val="13"/>
              </w:rPr>
            </w:pPr>
            <w:r w:rsidRPr="000A1C8E">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2</w:t>
            </w:r>
          </w:p>
        </w:tc>
        <w:tc>
          <w:tcPr>
            <w:tcW w:w="405"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432"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414"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spacing w:before="120" w:after="12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145"/>
        </w:trPr>
        <w:tc>
          <w:tcPr>
            <w:tcW w:w="2638" w:type="dxa"/>
            <w:tcBorders>
              <w:bottom w:val="single" w:sz="4" w:space="0" w:color="auto"/>
            </w:tcBorders>
            <w:shd w:val="clear" w:color="auto" w:fill="auto"/>
          </w:tcPr>
          <w:p w:rsidR="00CC19FC" w:rsidRPr="000A1C8E" w:rsidRDefault="00CC19FC" w:rsidP="00D21781">
            <w:pPr>
              <w:pStyle w:val="ProductNames"/>
              <w:spacing w:beforeLines="20" w:before="48" w:afterLines="20" w:after="48"/>
              <w:rPr>
                <w:rFonts w:ascii="Tahoma" w:hAnsi="Tahoma" w:cs="Tahoma"/>
                <w:sz w:val="14"/>
              </w:rPr>
            </w:pPr>
            <w:bookmarkStart w:id="101" w:name="_Toc336337890"/>
            <w:bookmarkStart w:id="102" w:name="_Toc361828993"/>
            <w:r w:rsidRPr="000A1C8E">
              <w:rPr>
                <w:rFonts w:ascii="Tahoma" w:hAnsi="Tahoma" w:cs="Tahoma"/>
                <w:sz w:val="14"/>
              </w:rPr>
              <w:t>Visual Studio</w:t>
            </w:r>
            <w:r w:rsidR="00C83286" w:rsidRPr="000A1C8E">
              <w:rPr>
                <w:rFonts w:ascii="Tahoma" w:hAnsi="Tahoma" w:cs="Tahoma"/>
                <w:sz w:val="14"/>
                <w:vertAlign w:val="superscript"/>
              </w:rPr>
              <w:t>®</w:t>
            </w:r>
            <w:r w:rsidRPr="000A1C8E">
              <w:rPr>
                <w:rFonts w:ascii="Tahoma" w:hAnsi="Tahoma" w:cs="Tahoma"/>
                <w:sz w:val="14"/>
              </w:rPr>
              <w:t xml:space="preserve"> Professional 2012 com</w:t>
            </w:r>
            <w:r w:rsidR="00D21781" w:rsidRPr="000A1C8E">
              <w:rPr>
                <w:rFonts w:ascii="Tahoma" w:hAnsi="Tahoma" w:cs="Tahoma"/>
                <w:sz w:val="14"/>
              </w:rPr>
              <w:t> </w:t>
            </w:r>
            <w:r w:rsidRPr="000A1C8E">
              <w:rPr>
                <w:rFonts w:ascii="Tahoma" w:hAnsi="Tahoma" w:cs="Tahoma"/>
                <w:sz w:val="14"/>
              </w:rPr>
              <w:t>MSDN</w:t>
            </w:r>
            <w:bookmarkEnd w:id="101"/>
            <w:bookmarkEnd w:id="102"/>
            <w:r w:rsidRPr="000A1C8E">
              <w:rPr>
                <w:rFonts w:ascii="Tahoma" w:hAnsi="Tahoma" w:cs="Tahoma"/>
                <w:sz w:val="14"/>
              </w:rPr>
              <w:t xml:space="preserve"> </w:t>
            </w:r>
          </w:p>
        </w:tc>
        <w:tc>
          <w:tcPr>
            <w:tcW w:w="429" w:type="dxa"/>
            <w:tcBorders>
              <w:bottom w:val="single" w:sz="4" w:space="0" w:color="auto"/>
            </w:tcBorders>
            <w:shd w:val="clear" w:color="auto" w:fill="auto"/>
            <w:vAlign w:val="center"/>
          </w:tcPr>
          <w:p w:rsidR="00CC19FC" w:rsidRPr="00DC1AC3" w:rsidRDefault="006C57E7" w:rsidP="009D43FB">
            <w:pPr>
              <w:pStyle w:val="TableText"/>
              <w:widowControl w:val="0"/>
              <w:rPr>
                <w:rStyle w:val="EndnoteReference"/>
                <w:rFonts w:cs="Tahoma"/>
                <w:b w:val="0"/>
                <w:color w:val="0000FF"/>
                <w:sz w:val="13"/>
                <w:szCs w:val="13"/>
                <w:u w:val="single"/>
              </w:rPr>
            </w:pPr>
            <w:hyperlink w:anchor="_20_Visual_Studio" w:history="1">
              <w:r w:rsidR="003D47E7" w:rsidRPr="00DC1AC3">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auto"/>
            <w:vAlign w:val="center"/>
          </w:tcPr>
          <w:p w:rsidR="00CC19FC" w:rsidRPr="000A1C8E" w:rsidRDefault="00CC19FC" w:rsidP="00A1729A">
            <w:pPr>
              <w:pStyle w:val="TableText"/>
              <w:spacing w:before="60" w:after="60"/>
              <w:rPr>
                <w:rFonts w:ascii="Tahoma" w:hAnsi="Tahoma" w:cs="Tahoma"/>
                <w:sz w:val="13"/>
              </w:rPr>
            </w:pPr>
            <w:r w:rsidRPr="000A1C8E">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p>
        </w:tc>
        <w:tc>
          <w:tcPr>
            <w:tcW w:w="405"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p>
        </w:tc>
        <w:tc>
          <w:tcPr>
            <w:tcW w:w="450" w:type="dxa"/>
            <w:tcBorders>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CC19FC" w:rsidRPr="000A1C8E" w:rsidRDefault="00CC19FC" w:rsidP="00080B33">
            <w:pPr>
              <w:pStyle w:val="TableText"/>
              <w:rPr>
                <w:rFonts w:ascii="Tahoma" w:hAnsi="Tahoma" w:cs="Tahoma"/>
                <w:sz w:val="13"/>
              </w:rPr>
            </w:pPr>
            <w:r w:rsidRPr="000A1C8E">
              <w:rPr>
                <w:rFonts w:ascii="Tahoma" w:hAnsi="Tahoma" w:cs="Tahoma"/>
                <w:sz w:val="13"/>
              </w:rPr>
              <w:t>A</w:t>
            </w:r>
          </w:p>
        </w:tc>
        <w:tc>
          <w:tcPr>
            <w:tcW w:w="551"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rPr>
            </w:pPr>
            <w:r w:rsidRPr="000A1C8E">
              <w:rPr>
                <w:rFonts w:ascii="Tahoma" w:hAnsi="Tahoma" w:cs="Tahoma"/>
                <w:sz w:val="13"/>
              </w:rPr>
              <w:t>LO/SA/</w:t>
            </w:r>
          </w:p>
          <w:p w:rsidR="00CC19FC" w:rsidRPr="000A1C8E" w:rsidRDefault="00CC19FC" w:rsidP="004B3534">
            <w:pPr>
              <w:pStyle w:val="TableText"/>
              <w:rPr>
                <w:rFonts w:ascii="Tahoma" w:hAnsi="Tahoma" w:cs="Tahoma"/>
                <w:sz w:val="13"/>
              </w:rPr>
            </w:pPr>
            <w:r w:rsidRPr="000A1C8E">
              <w:rPr>
                <w:rFonts w:ascii="Tahoma" w:hAnsi="Tahoma" w:cs="Tahoma"/>
                <w:sz w:val="13"/>
              </w:rPr>
              <w:t>OV</w:t>
            </w: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Heading2"/>
              <w:spacing w:beforeLines="20" w:before="48" w:afterLines="20" w:after="48"/>
              <w:ind w:left="0"/>
              <w:rPr>
                <w:rFonts w:ascii="Tahoma" w:hAnsi="Tahoma" w:cs="Tahoma"/>
                <w:b w:val="0"/>
                <w:sz w:val="14"/>
              </w:rPr>
            </w:pPr>
            <w:bookmarkStart w:id="103" w:name="_Toc336337891"/>
            <w:bookmarkStart w:id="104" w:name="_Toc361828994"/>
            <w:r w:rsidRPr="000A1C8E">
              <w:rPr>
                <w:rFonts w:ascii="Tahoma" w:hAnsi="Tahoma" w:cs="Tahoma"/>
                <w:b w:val="0"/>
                <w:sz w:val="14"/>
              </w:rPr>
              <w:t>Visual Studio</w:t>
            </w:r>
            <w:r w:rsidR="00C83286" w:rsidRPr="000A1C8E">
              <w:rPr>
                <w:rFonts w:ascii="Tahoma" w:hAnsi="Tahoma" w:cs="Tahoma"/>
                <w:sz w:val="14"/>
                <w:vertAlign w:val="superscript"/>
              </w:rPr>
              <w:t>®</w:t>
            </w:r>
            <w:r w:rsidRPr="000A1C8E">
              <w:rPr>
                <w:rFonts w:ascii="Tahoma" w:hAnsi="Tahoma" w:cs="Tahoma"/>
                <w:b w:val="0"/>
                <w:sz w:val="14"/>
              </w:rPr>
              <w:t xml:space="preserve"> Premium 2012 com MSDN</w:t>
            </w:r>
            <w:bookmarkEnd w:id="103"/>
            <w:bookmarkEnd w:id="104"/>
          </w:p>
        </w:tc>
        <w:tc>
          <w:tcPr>
            <w:tcW w:w="429" w:type="dxa"/>
            <w:tcBorders>
              <w:bottom w:val="single" w:sz="4" w:space="0" w:color="auto"/>
            </w:tcBorders>
            <w:shd w:val="clear" w:color="auto" w:fill="FABF8F"/>
            <w:vAlign w:val="center"/>
          </w:tcPr>
          <w:p w:rsidR="00CC19FC" w:rsidRPr="00DC1AC3" w:rsidRDefault="006C57E7" w:rsidP="009D43FB">
            <w:pPr>
              <w:pStyle w:val="TableText"/>
              <w:widowControl w:val="0"/>
              <w:rPr>
                <w:rFonts w:cs="Tahoma"/>
                <w:b/>
                <w:sz w:val="13"/>
                <w:szCs w:val="13"/>
                <w:u w:val="single"/>
              </w:rPr>
            </w:pPr>
            <w:hyperlink w:anchor="_21_Visual_Studio" w:history="1">
              <w:r w:rsidR="003D47E7" w:rsidRPr="00DC1AC3">
                <w:rPr>
                  <w:rStyle w:val="Hyperlink"/>
                  <w:rFonts w:cs="Tahoma"/>
                  <w:b/>
                  <w:sz w:val="13"/>
                  <w:szCs w:val="13"/>
                </w:rPr>
                <w:t>22</w:t>
              </w:r>
            </w:hyperlink>
          </w:p>
        </w:tc>
        <w:tc>
          <w:tcPr>
            <w:tcW w:w="429" w:type="dxa"/>
            <w:tcBorders>
              <w:bottom w:val="single" w:sz="4" w:space="0" w:color="auto"/>
            </w:tcBorders>
            <w:shd w:val="clear" w:color="auto" w:fill="FABF8F"/>
            <w:vAlign w:val="center"/>
          </w:tcPr>
          <w:p w:rsidR="00CC19FC" w:rsidRPr="000A1C8E" w:rsidRDefault="00CC19FC" w:rsidP="000C622E">
            <w:pPr>
              <w:pStyle w:val="TableText"/>
              <w:spacing w:before="60" w:after="60"/>
              <w:rPr>
                <w:rFonts w:ascii="Tahoma" w:hAnsi="Tahoma" w:cs="Tahoma"/>
                <w:sz w:val="13"/>
              </w:rPr>
            </w:pPr>
            <w:r w:rsidRPr="000A1C8E">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2B5C31" w:rsidP="000C622E">
            <w:pPr>
              <w:pStyle w:val="TableText"/>
              <w:spacing w:after="120"/>
              <w:rPr>
                <w:rFonts w:ascii="Tahoma" w:hAnsi="Tahoma" w:cs="Tahoma"/>
                <w:sz w:val="13"/>
              </w:rPr>
            </w:pPr>
            <w:r w:rsidRPr="000A1C8E">
              <w:rPr>
                <w:rFonts w:ascii="Tahoma" w:hAnsi="Tahoma" w:cs="Tahoma"/>
                <w:sz w:val="13"/>
              </w:rPr>
              <w:t>40</w:t>
            </w:r>
          </w:p>
        </w:tc>
        <w:tc>
          <w:tcPr>
            <w:tcW w:w="405" w:type="dxa"/>
            <w:tcBorders>
              <w:bottom w:val="single" w:sz="4" w:space="0" w:color="auto"/>
            </w:tcBorders>
            <w:shd w:val="clear" w:color="auto" w:fill="FABF8F"/>
            <w:vAlign w:val="center"/>
          </w:tcPr>
          <w:p w:rsidR="00CC19FC" w:rsidRPr="000A1C8E" w:rsidRDefault="002B5C31" w:rsidP="002B5C31">
            <w:pPr>
              <w:pStyle w:val="TableText"/>
              <w:spacing w:after="120"/>
              <w:rPr>
                <w:rFonts w:ascii="Tahoma" w:hAnsi="Tahoma" w:cs="Tahoma"/>
                <w:sz w:val="13"/>
              </w:rPr>
            </w:pPr>
            <w:r w:rsidRPr="000A1C8E">
              <w:rPr>
                <w:rFonts w:ascii="Tahoma" w:hAnsi="Tahoma" w:cs="Tahoma"/>
                <w:sz w:val="13"/>
              </w:rPr>
              <w:t>32</w:t>
            </w:r>
          </w:p>
        </w:tc>
        <w:tc>
          <w:tcPr>
            <w:tcW w:w="450" w:type="dxa"/>
            <w:tcBorders>
              <w:bottom w:val="single" w:sz="4" w:space="0" w:color="auto"/>
            </w:tcBorders>
            <w:shd w:val="clear" w:color="auto" w:fill="FABF8F"/>
            <w:vAlign w:val="center"/>
          </w:tcPr>
          <w:p w:rsidR="00CC19FC" w:rsidRPr="000A1C8E" w:rsidRDefault="002B5C31" w:rsidP="002B5C31">
            <w:pPr>
              <w:pStyle w:val="TableText"/>
              <w:spacing w:after="120"/>
              <w:rPr>
                <w:rFonts w:ascii="Tahoma" w:hAnsi="Tahoma" w:cs="Tahoma"/>
                <w:sz w:val="13"/>
              </w:rPr>
            </w:pPr>
            <w:r w:rsidRPr="000A1C8E">
              <w:rPr>
                <w:rFonts w:ascii="Tahoma" w:hAnsi="Tahoma" w:cs="Tahoma"/>
                <w:sz w:val="13"/>
              </w:rPr>
              <w:t>24</w:t>
            </w:r>
          </w:p>
        </w:tc>
        <w:tc>
          <w:tcPr>
            <w:tcW w:w="432" w:type="dxa"/>
            <w:tcBorders>
              <w:bottom w:val="single" w:sz="4" w:space="0" w:color="auto"/>
            </w:tcBorders>
            <w:shd w:val="clear" w:color="auto" w:fill="FABF8F"/>
            <w:vAlign w:val="center"/>
          </w:tcPr>
          <w:p w:rsidR="00CC19FC" w:rsidRPr="000A1C8E" w:rsidRDefault="002B5C31" w:rsidP="002B5C31">
            <w:pPr>
              <w:pStyle w:val="TableText"/>
              <w:spacing w:after="120"/>
              <w:rPr>
                <w:rFonts w:ascii="Tahoma" w:hAnsi="Tahoma" w:cs="Tahoma"/>
                <w:sz w:val="13"/>
              </w:rPr>
            </w:pPr>
            <w:r w:rsidRPr="000A1C8E">
              <w:rPr>
                <w:rFonts w:ascii="Tahoma" w:hAnsi="Tahoma" w:cs="Tahoma"/>
                <w:sz w:val="13"/>
              </w:rPr>
              <w:t>24</w:t>
            </w:r>
          </w:p>
        </w:tc>
        <w:tc>
          <w:tcPr>
            <w:tcW w:w="414" w:type="dxa"/>
            <w:tcBorders>
              <w:bottom w:val="single" w:sz="4" w:space="0" w:color="auto"/>
            </w:tcBorders>
            <w:shd w:val="clear" w:color="auto" w:fill="FABF8F"/>
            <w:vAlign w:val="center"/>
          </w:tcPr>
          <w:p w:rsidR="00CC19FC" w:rsidRPr="000A1C8E" w:rsidRDefault="002B5C31" w:rsidP="002B5C31">
            <w:pPr>
              <w:pStyle w:val="TableText"/>
              <w:spacing w:after="120"/>
              <w:rPr>
                <w:rFonts w:ascii="Tahoma" w:hAnsi="Tahoma" w:cs="Tahoma"/>
                <w:sz w:val="13"/>
              </w:rPr>
            </w:pPr>
            <w:r w:rsidRPr="000A1C8E">
              <w:rPr>
                <w:rFonts w:ascii="Tahoma" w:hAnsi="Tahoma" w:cs="Tahoma"/>
                <w:sz w:val="13"/>
              </w:rPr>
              <w:t>16</w:t>
            </w:r>
          </w:p>
        </w:tc>
        <w:tc>
          <w:tcPr>
            <w:tcW w:w="423" w:type="dxa"/>
            <w:tcBorders>
              <w:bottom w:val="single" w:sz="4" w:space="0" w:color="auto"/>
              <w:right w:val="single" w:sz="18" w:space="0" w:color="auto"/>
            </w:tcBorders>
            <w:shd w:val="clear" w:color="auto" w:fill="FABF8F"/>
            <w:vAlign w:val="center"/>
          </w:tcPr>
          <w:p w:rsidR="00CC19FC" w:rsidRPr="000A1C8E" w:rsidRDefault="00CC19FC" w:rsidP="000C622E">
            <w:pPr>
              <w:pStyle w:val="TableText"/>
              <w:spacing w:after="120"/>
              <w:rPr>
                <w:rFonts w:ascii="Tahoma" w:hAnsi="Tahoma" w:cs="Tahoma"/>
                <w:sz w:val="13"/>
              </w:rPr>
            </w:pPr>
            <w:r w:rsidRPr="000A1C8E">
              <w:rPr>
                <w:rFonts w:ascii="Tahoma" w:hAnsi="Tahoma" w:cs="Tahoma"/>
                <w:sz w:val="13"/>
              </w:rPr>
              <w:t>8</w:t>
            </w: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2B5C31" w:rsidP="002B5C31">
            <w:pPr>
              <w:pStyle w:val="TableText"/>
              <w:spacing w:after="120"/>
              <w:rPr>
                <w:rFonts w:ascii="Tahoma" w:hAnsi="Tahoma" w:cs="Tahoma"/>
                <w:sz w:val="13"/>
              </w:rPr>
            </w:pPr>
            <w:r w:rsidRPr="000A1C8E">
              <w:rPr>
                <w:rFonts w:ascii="Tahoma" w:hAnsi="Tahoma" w:cs="Tahoma"/>
                <w:sz w:val="13"/>
              </w:rPr>
              <w:t>32</w:t>
            </w:r>
          </w:p>
        </w:tc>
        <w:tc>
          <w:tcPr>
            <w:tcW w:w="396" w:type="dxa"/>
            <w:tcBorders>
              <w:bottom w:val="single" w:sz="4" w:space="0" w:color="auto"/>
              <w:right w:val="single" w:sz="18" w:space="0" w:color="auto"/>
            </w:tcBorders>
            <w:shd w:val="clear" w:color="auto" w:fill="FABF8F"/>
            <w:vAlign w:val="center"/>
          </w:tcPr>
          <w:p w:rsidR="00CC19FC" w:rsidRPr="000A1C8E" w:rsidRDefault="002B5C31" w:rsidP="002B5C31">
            <w:pPr>
              <w:pStyle w:val="TableText"/>
              <w:spacing w:after="120"/>
              <w:rPr>
                <w:rFonts w:ascii="Tahoma" w:hAnsi="Tahoma" w:cs="Tahoma"/>
                <w:sz w:val="13"/>
              </w:rPr>
            </w:pPr>
            <w:r w:rsidRPr="000A1C8E">
              <w:rPr>
                <w:rFonts w:ascii="Tahoma" w:hAnsi="Tahoma" w:cs="Tahoma"/>
                <w:sz w:val="13"/>
              </w:rPr>
              <w:t>16</w:t>
            </w: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r w:rsidRPr="000A1C8E">
              <w:rPr>
                <w:rFonts w:ascii="Tahoma" w:hAnsi="Tahoma" w:cs="Tahoma"/>
                <w:sz w:val="13"/>
              </w:rPr>
              <w:t>A</w:t>
            </w:r>
          </w:p>
        </w:tc>
        <w:tc>
          <w:tcPr>
            <w:tcW w:w="551" w:type="dxa"/>
            <w:tcBorders>
              <w:bottom w:val="single" w:sz="4" w:space="0" w:color="auto"/>
            </w:tcBorders>
            <w:shd w:val="clear" w:color="auto" w:fill="FABF8F"/>
            <w:vAlign w:val="center"/>
          </w:tcPr>
          <w:p w:rsidR="00CC19FC" w:rsidRPr="000A1C8E" w:rsidRDefault="00CC19FC" w:rsidP="00036150">
            <w:pPr>
              <w:pStyle w:val="TableText"/>
              <w:rPr>
                <w:rFonts w:ascii="Tahoma" w:hAnsi="Tahoma" w:cs="Tahoma"/>
              </w:rPr>
            </w:pPr>
            <w:r w:rsidRPr="000A1C8E">
              <w:rPr>
                <w:rFonts w:ascii="Tahoma" w:hAnsi="Tahoma" w:cs="Tahoma"/>
                <w:sz w:val="13"/>
              </w:rPr>
              <w:t>LO/SA/</w:t>
            </w:r>
          </w:p>
          <w:p w:rsidR="00CC19FC" w:rsidRPr="000A1C8E" w:rsidRDefault="00CC19FC" w:rsidP="00036150">
            <w:pPr>
              <w:pStyle w:val="TableText"/>
              <w:rPr>
                <w:rFonts w:ascii="Tahoma" w:hAnsi="Tahoma" w:cs="Tahoma"/>
                <w:sz w:val="13"/>
              </w:rPr>
            </w:pPr>
            <w:r w:rsidRPr="000A1C8E">
              <w:rPr>
                <w:rFonts w:ascii="Tahoma" w:hAnsi="Tahoma" w:cs="Tahoma"/>
                <w:sz w:val="13"/>
              </w:rPr>
              <w:t>OV</w:t>
            </w:r>
          </w:p>
        </w:tc>
      </w:tr>
      <w:tr w:rsidR="00761323" w:rsidRPr="000A1C8E" w:rsidTr="00E74A9E">
        <w:trPr>
          <w:cantSplit/>
          <w:trHeight w:val="145"/>
        </w:trPr>
        <w:tc>
          <w:tcPr>
            <w:tcW w:w="2638" w:type="dxa"/>
            <w:tcBorders>
              <w:bottom w:val="single" w:sz="4" w:space="0" w:color="auto"/>
            </w:tcBorders>
            <w:shd w:val="clear" w:color="auto" w:fill="auto"/>
          </w:tcPr>
          <w:p w:rsidR="00CC19FC" w:rsidRPr="000A1C8E" w:rsidRDefault="00CC19FC" w:rsidP="004F6A95">
            <w:pPr>
              <w:pStyle w:val="Heading2"/>
              <w:spacing w:beforeLines="20" w:before="48" w:afterLines="20" w:after="48"/>
              <w:ind w:left="0"/>
              <w:rPr>
                <w:rFonts w:ascii="Tahoma" w:hAnsi="Tahoma" w:cs="Tahoma"/>
                <w:b w:val="0"/>
                <w:sz w:val="14"/>
              </w:rPr>
            </w:pPr>
            <w:bookmarkStart w:id="105" w:name="_Toc336337892"/>
            <w:bookmarkStart w:id="106" w:name="_Toc361828995"/>
            <w:r w:rsidRPr="000A1C8E">
              <w:rPr>
                <w:rFonts w:ascii="Tahoma" w:hAnsi="Tahoma" w:cs="Tahoma"/>
                <w:b w:val="0"/>
                <w:sz w:val="14"/>
              </w:rPr>
              <w:t>Visual Studio</w:t>
            </w:r>
            <w:r w:rsidR="00C83286" w:rsidRPr="000A1C8E">
              <w:rPr>
                <w:rFonts w:ascii="Tahoma" w:hAnsi="Tahoma" w:cs="Tahoma"/>
                <w:sz w:val="14"/>
                <w:vertAlign w:val="superscript"/>
              </w:rPr>
              <w:t>®</w:t>
            </w:r>
            <w:r w:rsidRPr="000A1C8E">
              <w:rPr>
                <w:rFonts w:ascii="Tahoma" w:hAnsi="Tahoma" w:cs="Tahoma"/>
                <w:b w:val="0"/>
                <w:sz w:val="14"/>
              </w:rPr>
              <w:t xml:space="preserve"> Ultimate 2012 com MSDN</w:t>
            </w:r>
            <w:bookmarkEnd w:id="105"/>
            <w:bookmarkEnd w:id="106"/>
          </w:p>
        </w:tc>
        <w:tc>
          <w:tcPr>
            <w:tcW w:w="429" w:type="dxa"/>
            <w:tcBorders>
              <w:bottom w:val="single" w:sz="4" w:space="0" w:color="auto"/>
            </w:tcBorders>
            <w:shd w:val="clear" w:color="auto" w:fill="auto"/>
            <w:vAlign w:val="center"/>
          </w:tcPr>
          <w:p w:rsidR="00CC19FC" w:rsidRPr="00DC1AC3" w:rsidRDefault="006C57E7" w:rsidP="009D43FB">
            <w:pPr>
              <w:pStyle w:val="TableText"/>
              <w:widowControl w:val="0"/>
              <w:rPr>
                <w:rFonts w:cs="Tahoma"/>
                <w:b/>
                <w:sz w:val="13"/>
                <w:szCs w:val="13"/>
                <w:u w:val="single"/>
              </w:rPr>
            </w:pPr>
            <w:hyperlink w:anchor="_22_Visual_Studio" w:history="1">
              <w:r w:rsidR="003D47E7" w:rsidRPr="00DC1AC3">
                <w:rPr>
                  <w:rStyle w:val="Hyperlink"/>
                  <w:rFonts w:cs="Tahoma"/>
                  <w:b/>
                  <w:sz w:val="13"/>
                  <w:szCs w:val="13"/>
                </w:rPr>
                <w:t>23</w:t>
              </w:r>
            </w:hyperlink>
          </w:p>
        </w:tc>
        <w:tc>
          <w:tcPr>
            <w:tcW w:w="429" w:type="dxa"/>
            <w:tcBorders>
              <w:bottom w:val="single" w:sz="4" w:space="0" w:color="auto"/>
            </w:tcBorders>
            <w:shd w:val="clear" w:color="auto" w:fill="auto"/>
            <w:vAlign w:val="center"/>
          </w:tcPr>
          <w:p w:rsidR="00CC19FC" w:rsidRPr="000A1C8E" w:rsidRDefault="00CC19FC" w:rsidP="00E46F60">
            <w:pPr>
              <w:pStyle w:val="TableText"/>
              <w:spacing w:before="60" w:after="60"/>
              <w:rPr>
                <w:rFonts w:ascii="Tahoma" w:hAnsi="Tahoma" w:cs="Tahoma"/>
                <w:sz w:val="13"/>
              </w:rPr>
            </w:pPr>
            <w:r w:rsidRPr="000A1C8E">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70485B">
            <w:pPr>
              <w:pStyle w:val="TableText"/>
              <w:rPr>
                <w:rFonts w:ascii="Tahoma" w:hAnsi="Tahoma" w:cs="Tahoma"/>
                <w:sz w:val="13"/>
              </w:rPr>
            </w:pPr>
          </w:p>
        </w:tc>
        <w:tc>
          <w:tcPr>
            <w:tcW w:w="405" w:type="dxa"/>
            <w:tcBorders>
              <w:bottom w:val="single" w:sz="4" w:space="0" w:color="auto"/>
            </w:tcBorders>
            <w:shd w:val="clear" w:color="auto" w:fill="auto"/>
            <w:vAlign w:val="center"/>
          </w:tcPr>
          <w:p w:rsidR="00CC19FC" w:rsidRPr="000A1C8E" w:rsidRDefault="002B5C31" w:rsidP="0070485B">
            <w:pPr>
              <w:pStyle w:val="TableText"/>
              <w:rPr>
                <w:rFonts w:ascii="Tahoma" w:hAnsi="Tahoma" w:cs="Tahoma"/>
                <w:sz w:val="13"/>
              </w:rPr>
            </w:pPr>
            <w:r w:rsidRPr="000A1C8E">
              <w:rPr>
                <w:rFonts w:ascii="Tahoma" w:hAnsi="Tahoma" w:cs="Tahoma"/>
                <w:sz w:val="13"/>
              </w:rPr>
              <w:t>85</w:t>
            </w:r>
          </w:p>
        </w:tc>
        <w:tc>
          <w:tcPr>
            <w:tcW w:w="405" w:type="dxa"/>
            <w:tcBorders>
              <w:bottom w:val="single" w:sz="4" w:space="0" w:color="auto"/>
            </w:tcBorders>
            <w:shd w:val="clear" w:color="auto" w:fill="auto"/>
            <w:vAlign w:val="center"/>
          </w:tcPr>
          <w:p w:rsidR="00CC19FC" w:rsidRPr="000A1C8E" w:rsidRDefault="002B5C31" w:rsidP="0070485B">
            <w:pPr>
              <w:pStyle w:val="TableText"/>
              <w:rPr>
                <w:rFonts w:ascii="Tahoma" w:hAnsi="Tahoma" w:cs="Tahoma"/>
                <w:sz w:val="13"/>
              </w:rPr>
            </w:pPr>
            <w:r w:rsidRPr="000A1C8E">
              <w:rPr>
                <w:rFonts w:ascii="Tahoma" w:hAnsi="Tahoma" w:cs="Tahoma"/>
                <w:sz w:val="13"/>
              </w:rPr>
              <w:t>68</w:t>
            </w:r>
          </w:p>
        </w:tc>
        <w:tc>
          <w:tcPr>
            <w:tcW w:w="450" w:type="dxa"/>
            <w:tcBorders>
              <w:bottom w:val="single" w:sz="4" w:space="0" w:color="auto"/>
            </w:tcBorders>
            <w:shd w:val="clear" w:color="auto" w:fill="auto"/>
            <w:vAlign w:val="center"/>
          </w:tcPr>
          <w:p w:rsidR="00CC19FC" w:rsidRPr="000A1C8E" w:rsidRDefault="002B5C31" w:rsidP="002B5C31">
            <w:pPr>
              <w:pStyle w:val="TableText"/>
              <w:rPr>
                <w:rFonts w:ascii="Tahoma" w:hAnsi="Tahoma" w:cs="Tahoma"/>
                <w:sz w:val="13"/>
              </w:rPr>
            </w:pPr>
            <w:r w:rsidRPr="000A1C8E">
              <w:rPr>
                <w:rFonts w:ascii="Tahoma" w:hAnsi="Tahoma" w:cs="Tahoma"/>
                <w:sz w:val="13"/>
              </w:rPr>
              <w:t>51</w:t>
            </w:r>
          </w:p>
        </w:tc>
        <w:tc>
          <w:tcPr>
            <w:tcW w:w="432" w:type="dxa"/>
            <w:tcBorders>
              <w:bottom w:val="single" w:sz="4" w:space="0" w:color="auto"/>
            </w:tcBorders>
            <w:shd w:val="clear" w:color="auto" w:fill="auto"/>
            <w:vAlign w:val="center"/>
          </w:tcPr>
          <w:p w:rsidR="00CC19FC" w:rsidRPr="000A1C8E" w:rsidRDefault="002B5C31" w:rsidP="002B5C31">
            <w:pPr>
              <w:pStyle w:val="TableText"/>
              <w:rPr>
                <w:rFonts w:ascii="Tahoma" w:hAnsi="Tahoma" w:cs="Tahoma"/>
                <w:sz w:val="13"/>
              </w:rPr>
            </w:pPr>
            <w:r w:rsidRPr="000A1C8E">
              <w:rPr>
                <w:rFonts w:ascii="Tahoma" w:hAnsi="Tahoma" w:cs="Tahoma"/>
                <w:sz w:val="13"/>
              </w:rPr>
              <w:t>51</w:t>
            </w:r>
          </w:p>
        </w:tc>
        <w:tc>
          <w:tcPr>
            <w:tcW w:w="414" w:type="dxa"/>
            <w:tcBorders>
              <w:bottom w:val="single" w:sz="4" w:space="0" w:color="auto"/>
            </w:tcBorders>
            <w:shd w:val="clear" w:color="auto" w:fill="auto"/>
            <w:vAlign w:val="center"/>
          </w:tcPr>
          <w:p w:rsidR="00CC19FC" w:rsidRPr="000A1C8E" w:rsidRDefault="002B5C31" w:rsidP="002B5C31">
            <w:pPr>
              <w:pStyle w:val="TableText"/>
              <w:rPr>
                <w:rFonts w:ascii="Tahoma" w:hAnsi="Tahoma" w:cs="Tahoma"/>
                <w:sz w:val="13"/>
              </w:rPr>
            </w:pPr>
            <w:r w:rsidRPr="000A1C8E">
              <w:rPr>
                <w:rFonts w:ascii="Tahoma" w:hAnsi="Tahoma" w:cs="Tahoma"/>
                <w:sz w:val="13"/>
              </w:rPr>
              <w:t>34</w:t>
            </w:r>
          </w:p>
        </w:tc>
        <w:tc>
          <w:tcPr>
            <w:tcW w:w="423" w:type="dxa"/>
            <w:tcBorders>
              <w:bottom w:val="single" w:sz="4" w:space="0" w:color="auto"/>
              <w:right w:val="single" w:sz="18" w:space="0" w:color="auto"/>
            </w:tcBorders>
            <w:shd w:val="clear" w:color="auto" w:fill="auto"/>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17</w:t>
            </w:r>
          </w:p>
        </w:tc>
        <w:tc>
          <w:tcPr>
            <w:tcW w:w="360" w:type="dxa"/>
            <w:tcBorders>
              <w:left w:val="single" w:sz="18" w:space="0" w:color="auto"/>
              <w:bottom w:val="single" w:sz="4" w:space="0" w:color="auto"/>
            </w:tcBorders>
            <w:shd w:val="clear" w:color="auto" w:fill="auto"/>
            <w:vAlign w:val="center"/>
          </w:tcPr>
          <w:p w:rsidR="00CC19FC" w:rsidRPr="000A1C8E" w:rsidRDefault="00CC19FC" w:rsidP="0070485B">
            <w:pPr>
              <w:pStyle w:val="TableText"/>
              <w:rPr>
                <w:rFonts w:ascii="Tahoma" w:hAnsi="Tahoma" w:cs="Tahoma"/>
                <w:sz w:val="13"/>
              </w:rPr>
            </w:pPr>
          </w:p>
        </w:tc>
        <w:tc>
          <w:tcPr>
            <w:tcW w:w="450" w:type="dxa"/>
            <w:tcBorders>
              <w:bottom w:val="single" w:sz="4" w:space="0" w:color="auto"/>
            </w:tcBorders>
            <w:shd w:val="clear" w:color="auto" w:fill="auto"/>
            <w:vAlign w:val="center"/>
          </w:tcPr>
          <w:p w:rsidR="00CC19FC" w:rsidRPr="000A1C8E" w:rsidRDefault="002B5C31" w:rsidP="002B5C31">
            <w:pPr>
              <w:pStyle w:val="TableText"/>
              <w:rPr>
                <w:rFonts w:ascii="Tahoma" w:hAnsi="Tahoma" w:cs="Tahoma"/>
                <w:sz w:val="13"/>
              </w:rPr>
            </w:pPr>
            <w:r w:rsidRPr="000A1C8E">
              <w:rPr>
                <w:rFonts w:ascii="Tahoma" w:hAnsi="Tahoma" w:cs="Tahoma"/>
                <w:sz w:val="13"/>
              </w:rPr>
              <w:t>68</w:t>
            </w:r>
          </w:p>
        </w:tc>
        <w:tc>
          <w:tcPr>
            <w:tcW w:w="396" w:type="dxa"/>
            <w:tcBorders>
              <w:bottom w:val="single" w:sz="4" w:space="0" w:color="auto"/>
              <w:right w:val="single" w:sz="18" w:space="0" w:color="auto"/>
            </w:tcBorders>
            <w:shd w:val="clear" w:color="auto" w:fill="auto"/>
            <w:vAlign w:val="center"/>
          </w:tcPr>
          <w:p w:rsidR="00CC19FC" w:rsidRPr="000A1C8E" w:rsidRDefault="002B5C31" w:rsidP="002B5C31">
            <w:pPr>
              <w:pStyle w:val="TableText"/>
              <w:rPr>
                <w:rFonts w:ascii="Tahoma" w:hAnsi="Tahoma" w:cs="Tahoma"/>
                <w:sz w:val="13"/>
              </w:rPr>
            </w:pPr>
            <w:r w:rsidRPr="000A1C8E">
              <w:rPr>
                <w:rFonts w:ascii="Tahoma" w:hAnsi="Tahoma" w:cs="Tahoma"/>
                <w:sz w:val="13"/>
              </w:rPr>
              <w:t>34</w:t>
            </w:r>
          </w:p>
        </w:tc>
        <w:tc>
          <w:tcPr>
            <w:tcW w:w="459" w:type="dxa"/>
            <w:tcBorders>
              <w:left w:val="single" w:sz="18" w:space="0" w:color="auto"/>
              <w:bottom w:val="single" w:sz="4" w:space="0" w:color="auto"/>
            </w:tcBorders>
            <w:shd w:val="clear" w:color="auto" w:fill="auto"/>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A</w:t>
            </w:r>
          </w:p>
        </w:tc>
        <w:tc>
          <w:tcPr>
            <w:tcW w:w="551" w:type="dxa"/>
            <w:tcBorders>
              <w:bottom w:val="single" w:sz="4" w:space="0" w:color="auto"/>
            </w:tcBorders>
            <w:shd w:val="clear" w:color="auto" w:fill="auto"/>
            <w:vAlign w:val="center"/>
          </w:tcPr>
          <w:p w:rsidR="00CC19FC" w:rsidRPr="000A1C8E" w:rsidRDefault="00CC19FC" w:rsidP="0070485B">
            <w:pPr>
              <w:pStyle w:val="TableText"/>
              <w:rPr>
                <w:rFonts w:ascii="Tahoma" w:hAnsi="Tahoma" w:cs="Tahoma"/>
              </w:rPr>
            </w:pPr>
            <w:r w:rsidRPr="000A1C8E">
              <w:rPr>
                <w:rFonts w:ascii="Tahoma" w:hAnsi="Tahoma" w:cs="Tahoma"/>
                <w:sz w:val="13"/>
              </w:rPr>
              <w:t>LO/SA/</w:t>
            </w:r>
          </w:p>
          <w:p w:rsidR="00CC19FC" w:rsidRPr="000A1C8E" w:rsidRDefault="00CC19FC" w:rsidP="0070485B">
            <w:pPr>
              <w:pStyle w:val="TableText"/>
              <w:rPr>
                <w:rFonts w:ascii="Tahoma" w:hAnsi="Tahoma" w:cs="Tahoma"/>
                <w:sz w:val="13"/>
              </w:rPr>
            </w:pPr>
            <w:r w:rsidRPr="000A1C8E">
              <w:rPr>
                <w:rFonts w:ascii="Tahoma" w:hAnsi="Tahoma" w:cs="Tahoma"/>
                <w:sz w:val="13"/>
              </w:rPr>
              <w:t>OV</w:t>
            </w:r>
          </w:p>
        </w:tc>
      </w:tr>
      <w:tr w:rsidR="00761323" w:rsidRPr="000A1C8E" w:rsidTr="00E74A9E">
        <w:trPr>
          <w:cantSplit/>
          <w:trHeight w:val="145"/>
        </w:trPr>
        <w:tc>
          <w:tcPr>
            <w:tcW w:w="2638" w:type="dxa"/>
            <w:tcBorders>
              <w:bottom w:val="single" w:sz="4" w:space="0" w:color="auto"/>
            </w:tcBorders>
            <w:shd w:val="clear" w:color="auto" w:fill="FABF8F"/>
          </w:tcPr>
          <w:p w:rsidR="00CC19FC" w:rsidRPr="000A1C8E" w:rsidRDefault="00CC19FC" w:rsidP="004F6A95">
            <w:pPr>
              <w:pStyle w:val="Heading2"/>
              <w:spacing w:beforeLines="20" w:before="48" w:afterLines="20" w:after="48"/>
              <w:ind w:left="0"/>
              <w:rPr>
                <w:rFonts w:ascii="Tahoma" w:hAnsi="Tahoma" w:cs="Tahoma"/>
                <w:b w:val="0"/>
                <w:sz w:val="14"/>
              </w:rPr>
            </w:pPr>
            <w:bookmarkStart w:id="107" w:name="_Toc336337893"/>
            <w:bookmarkStart w:id="108" w:name="_Toc361828996"/>
            <w:r w:rsidRPr="000A1C8E">
              <w:rPr>
                <w:rFonts w:ascii="Tahoma" w:hAnsi="Tahoma" w:cs="Tahoma"/>
                <w:b w:val="0"/>
                <w:sz w:val="14"/>
              </w:rPr>
              <w:t>Visual Studio</w:t>
            </w:r>
            <w:r w:rsidR="00C83286" w:rsidRPr="000A1C8E">
              <w:rPr>
                <w:rFonts w:ascii="Tahoma" w:hAnsi="Tahoma" w:cs="Tahoma"/>
                <w:sz w:val="14"/>
                <w:vertAlign w:val="superscript"/>
              </w:rPr>
              <w:t>®</w:t>
            </w:r>
            <w:r w:rsidRPr="000A1C8E">
              <w:rPr>
                <w:rFonts w:ascii="Tahoma" w:hAnsi="Tahoma" w:cs="Tahoma"/>
                <w:b w:val="0"/>
                <w:sz w:val="14"/>
              </w:rPr>
              <w:t xml:space="preserve"> Test Professional 2012 com MSDN</w:t>
            </w:r>
            <w:bookmarkEnd w:id="107"/>
            <w:bookmarkEnd w:id="108"/>
          </w:p>
        </w:tc>
        <w:tc>
          <w:tcPr>
            <w:tcW w:w="429" w:type="dxa"/>
            <w:tcBorders>
              <w:bottom w:val="single" w:sz="4" w:space="0" w:color="auto"/>
            </w:tcBorders>
            <w:shd w:val="clear" w:color="auto" w:fill="FABF8F"/>
            <w:vAlign w:val="center"/>
          </w:tcPr>
          <w:p w:rsidR="00CC19FC" w:rsidRPr="00DC1AC3" w:rsidRDefault="006C57E7" w:rsidP="009D43FB">
            <w:pPr>
              <w:pStyle w:val="TableText"/>
              <w:widowControl w:val="0"/>
              <w:rPr>
                <w:rFonts w:cs="Tahoma"/>
                <w:b/>
                <w:sz w:val="13"/>
                <w:szCs w:val="13"/>
                <w:u w:val="single"/>
              </w:rPr>
            </w:pPr>
            <w:hyperlink w:anchor="_24_Visual_Studio" w:history="1">
              <w:r w:rsidR="003D47E7" w:rsidRPr="00DC1AC3">
                <w:rPr>
                  <w:rStyle w:val="Hyperlink"/>
                  <w:rFonts w:cs="Tahoma"/>
                  <w:b/>
                  <w:sz w:val="13"/>
                  <w:szCs w:val="13"/>
                </w:rPr>
                <w:t>24</w:t>
              </w:r>
            </w:hyperlink>
          </w:p>
        </w:tc>
        <w:tc>
          <w:tcPr>
            <w:tcW w:w="429" w:type="dxa"/>
            <w:tcBorders>
              <w:bottom w:val="single" w:sz="4" w:space="0" w:color="auto"/>
            </w:tcBorders>
            <w:shd w:val="clear" w:color="auto" w:fill="FABF8F"/>
            <w:vAlign w:val="center"/>
          </w:tcPr>
          <w:p w:rsidR="00CC19FC" w:rsidRPr="000A1C8E" w:rsidRDefault="00CC19FC" w:rsidP="00E46F60">
            <w:pPr>
              <w:pStyle w:val="TableText"/>
              <w:spacing w:before="60" w:after="60"/>
              <w:rPr>
                <w:rFonts w:ascii="Tahoma" w:hAnsi="Tahoma" w:cs="Tahoma"/>
                <w:sz w:val="13"/>
              </w:rPr>
            </w:pPr>
            <w:r w:rsidRPr="000A1C8E">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p>
        </w:tc>
        <w:tc>
          <w:tcPr>
            <w:tcW w:w="405"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15</w:t>
            </w:r>
          </w:p>
        </w:tc>
        <w:tc>
          <w:tcPr>
            <w:tcW w:w="405"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12</w:t>
            </w:r>
          </w:p>
        </w:tc>
        <w:tc>
          <w:tcPr>
            <w:tcW w:w="450"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9</w:t>
            </w:r>
          </w:p>
        </w:tc>
        <w:tc>
          <w:tcPr>
            <w:tcW w:w="432"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9</w:t>
            </w:r>
          </w:p>
        </w:tc>
        <w:tc>
          <w:tcPr>
            <w:tcW w:w="414"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6</w:t>
            </w:r>
          </w:p>
        </w:tc>
        <w:tc>
          <w:tcPr>
            <w:tcW w:w="423" w:type="dxa"/>
            <w:tcBorders>
              <w:bottom w:val="single" w:sz="4" w:space="0" w:color="auto"/>
              <w:right w:val="single" w:sz="18"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3</w:t>
            </w:r>
          </w:p>
        </w:tc>
        <w:tc>
          <w:tcPr>
            <w:tcW w:w="360" w:type="dxa"/>
            <w:tcBorders>
              <w:left w:val="single" w:sz="18" w:space="0" w:color="auto"/>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12</w:t>
            </w:r>
          </w:p>
        </w:tc>
        <w:tc>
          <w:tcPr>
            <w:tcW w:w="396" w:type="dxa"/>
            <w:tcBorders>
              <w:bottom w:val="single" w:sz="4" w:space="0" w:color="auto"/>
              <w:right w:val="single" w:sz="18"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6</w:t>
            </w:r>
          </w:p>
        </w:tc>
        <w:tc>
          <w:tcPr>
            <w:tcW w:w="459" w:type="dxa"/>
            <w:tcBorders>
              <w:left w:val="single" w:sz="18" w:space="0" w:color="auto"/>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sz w:val="13"/>
              </w:rPr>
            </w:pPr>
            <w:r w:rsidRPr="000A1C8E">
              <w:rPr>
                <w:rFonts w:ascii="Tahoma" w:hAnsi="Tahoma" w:cs="Tahoma"/>
                <w:sz w:val="13"/>
              </w:rPr>
              <w:t>A</w:t>
            </w:r>
          </w:p>
        </w:tc>
        <w:tc>
          <w:tcPr>
            <w:tcW w:w="551" w:type="dxa"/>
            <w:tcBorders>
              <w:bottom w:val="single" w:sz="4" w:space="0" w:color="auto"/>
            </w:tcBorders>
            <w:shd w:val="clear" w:color="auto" w:fill="FABF8F"/>
            <w:vAlign w:val="center"/>
          </w:tcPr>
          <w:p w:rsidR="00CC19FC" w:rsidRPr="000A1C8E" w:rsidRDefault="00CC19FC" w:rsidP="0070485B">
            <w:pPr>
              <w:pStyle w:val="TableText"/>
              <w:rPr>
                <w:rFonts w:ascii="Tahoma" w:hAnsi="Tahoma" w:cs="Tahoma"/>
              </w:rPr>
            </w:pPr>
            <w:r w:rsidRPr="000A1C8E">
              <w:rPr>
                <w:rFonts w:ascii="Tahoma" w:hAnsi="Tahoma" w:cs="Tahoma"/>
                <w:sz w:val="13"/>
              </w:rPr>
              <w:t>LO/SA/</w:t>
            </w:r>
          </w:p>
          <w:p w:rsidR="00CC19FC" w:rsidRPr="000A1C8E" w:rsidRDefault="00CC19FC" w:rsidP="0070485B">
            <w:pPr>
              <w:pStyle w:val="TableText"/>
              <w:rPr>
                <w:rFonts w:ascii="Tahoma" w:hAnsi="Tahoma" w:cs="Tahoma"/>
                <w:sz w:val="13"/>
              </w:rPr>
            </w:pPr>
            <w:r w:rsidRPr="000A1C8E">
              <w:rPr>
                <w:rFonts w:ascii="Tahoma" w:hAnsi="Tahoma" w:cs="Tahoma"/>
                <w:sz w:val="13"/>
              </w:rPr>
              <w:t>OV</w:t>
            </w:r>
          </w:p>
        </w:tc>
      </w:tr>
      <w:tr w:rsidR="00761323" w:rsidRPr="000A1C8E" w:rsidTr="00E74A9E">
        <w:trPr>
          <w:cantSplit/>
          <w:trHeight w:val="70"/>
        </w:trPr>
        <w:tc>
          <w:tcPr>
            <w:tcW w:w="2638" w:type="dxa"/>
            <w:tcBorders>
              <w:bottom w:val="single" w:sz="4" w:space="0" w:color="auto"/>
            </w:tcBorders>
            <w:shd w:val="clear" w:color="auto" w:fill="auto"/>
          </w:tcPr>
          <w:p w:rsidR="00CC19FC" w:rsidRPr="000A1C8E" w:rsidRDefault="00CC19FC" w:rsidP="004F6A95">
            <w:pPr>
              <w:pStyle w:val="Heading2"/>
              <w:spacing w:beforeLines="20" w:before="48" w:afterLines="20" w:after="48"/>
              <w:ind w:left="0"/>
              <w:rPr>
                <w:rFonts w:ascii="Tahoma" w:hAnsi="Tahoma" w:cs="Tahoma"/>
                <w:b w:val="0"/>
                <w:sz w:val="14"/>
              </w:rPr>
            </w:pPr>
            <w:bookmarkStart w:id="109" w:name="_Toc336337894"/>
            <w:bookmarkStart w:id="110" w:name="_Toc361828997"/>
            <w:r w:rsidRPr="000A1C8E">
              <w:rPr>
                <w:rFonts w:ascii="Tahoma" w:hAnsi="Tahoma" w:cs="Tahoma"/>
                <w:b w:val="0"/>
                <w:sz w:val="14"/>
              </w:rPr>
              <w:t xml:space="preserve">Word </w:t>
            </w:r>
            <w:bookmarkEnd w:id="109"/>
            <w:r w:rsidRPr="000A1C8E">
              <w:rPr>
                <w:rFonts w:ascii="Tahoma" w:hAnsi="Tahoma" w:cs="Tahoma"/>
                <w:b w:val="0"/>
                <w:sz w:val="14"/>
              </w:rPr>
              <w:t>2013</w:t>
            </w:r>
            <w:bookmarkEnd w:id="110"/>
          </w:p>
        </w:tc>
        <w:tc>
          <w:tcPr>
            <w:tcW w:w="429" w:type="dxa"/>
            <w:tcBorders>
              <w:bottom w:val="single" w:sz="4" w:space="0" w:color="auto"/>
            </w:tcBorders>
            <w:shd w:val="clear" w:color="auto" w:fill="auto"/>
            <w:vAlign w:val="center"/>
          </w:tcPr>
          <w:p w:rsidR="00CC19FC" w:rsidRPr="00DC1AC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A1C8E" w:rsidRDefault="00CC19FC" w:rsidP="004941B2">
            <w:pPr>
              <w:pStyle w:val="TableText"/>
              <w:spacing w:before="60" w:after="60"/>
              <w:rPr>
                <w:rFonts w:ascii="Tahoma" w:hAnsi="Tahoma" w:cs="Tahoma"/>
                <w:sz w:val="13"/>
              </w:rPr>
            </w:pPr>
            <w:r w:rsidRPr="000A1C8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auto"/>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auto"/>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auto"/>
            <w:vAlign w:val="center"/>
          </w:tcPr>
          <w:p w:rsidR="00CC19FC" w:rsidRPr="000A1C8E" w:rsidRDefault="00CC19FC" w:rsidP="004B3534">
            <w:pPr>
              <w:pStyle w:val="TableText"/>
              <w:rPr>
                <w:rFonts w:ascii="Tahoma" w:hAnsi="Tahoma" w:cs="Tahoma"/>
                <w:sz w:val="13"/>
              </w:rPr>
            </w:pPr>
          </w:p>
        </w:tc>
      </w:tr>
      <w:tr w:rsidR="00761323" w:rsidRPr="000A1C8E" w:rsidTr="00E74A9E">
        <w:trPr>
          <w:cantSplit/>
          <w:trHeight w:val="323"/>
        </w:trPr>
        <w:tc>
          <w:tcPr>
            <w:tcW w:w="2638" w:type="dxa"/>
            <w:tcBorders>
              <w:bottom w:val="single" w:sz="4" w:space="0" w:color="auto"/>
            </w:tcBorders>
            <w:shd w:val="clear" w:color="auto" w:fill="FABF8F"/>
          </w:tcPr>
          <w:p w:rsidR="00CC19FC" w:rsidRPr="000A1C8E" w:rsidRDefault="00CC19FC" w:rsidP="004F6A95">
            <w:pPr>
              <w:pStyle w:val="Heading2"/>
              <w:spacing w:beforeLines="20" w:before="48" w:afterLines="20" w:after="48"/>
              <w:ind w:left="0"/>
              <w:rPr>
                <w:rFonts w:ascii="Tahoma" w:hAnsi="Tahoma" w:cs="Tahoma"/>
                <w:b w:val="0"/>
                <w:sz w:val="14"/>
              </w:rPr>
            </w:pPr>
            <w:bookmarkStart w:id="111" w:name="_Toc336337895"/>
            <w:bookmarkStart w:id="112" w:name="_Toc361828998"/>
            <w:r w:rsidRPr="000A1C8E">
              <w:rPr>
                <w:rFonts w:ascii="Tahoma" w:hAnsi="Tahoma" w:cs="Tahoma"/>
                <w:b w:val="0"/>
                <w:sz w:val="14"/>
              </w:rPr>
              <w:t>Word para Mac 2011</w:t>
            </w:r>
            <w:bookmarkEnd w:id="111"/>
            <w:bookmarkEnd w:id="112"/>
          </w:p>
        </w:tc>
        <w:tc>
          <w:tcPr>
            <w:tcW w:w="429" w:type="dxa"/>
            <w:tcBorders>
              <w:bottom w:val="single" w:sz="4" w:space="0" w:color="auto"/>
            </w:tcBorders>
            <w:shd w:val="clear" w:color="auto" w:fill="FABF8F"/>
            <w:vAlign w:val="center"/>
          </w:tcPr>
          <w:p w:rsidR="00CC19FC" w:rsidRPr="00DC1AC3" w:rsidRDefault="00CC19FC" w:rsidP="00F62B9E">
            <w:pPr>
              <w:pStyle w:val="TableText"/>
              <w:widowControl w:val="0"/>
              <w:rPr>
                <w:rStyle w:val="EndnoteReference"/>
                <w:rFonts w:cs="Tahoma"/>
                <w:color w:val="0000FF"/>
                <w:sz w:val="14"/>
              </w:rPr>
            </w:pPr>
          </w:p>
        </w:tc>
        <w:tc>
          <w:tcPr>
            <w:tcW w:w="429" w:type="dxa"/>
            <w:tcBorders>
              <w:bottom w:val="single" w:sz="4" w:space="0" w:color="auto"/>
            </w:tcBorders>
            <w:shd w:val="clear" w:color="auto" w:fill="FABF8F"/>
            <w:vAlign w:val="center"/>
          </w:tcPr>
          <w:p w:rsidR="00CC19FC" w:rsidRPr="000A1C8E" w:rsidRDefault="00CC19FC" w:rsidP="004B3534">
            <w:pPr>
              <w:pStyle w:val="TableText"/>
              <w:spacing w:before="60" w:after="60"/>
              <w:rPr>
                <w:rFonts w:ascii="Tahoma" w:hAnsi="Tahoma" w:cs="Tahoma"/>
                <w:sz w:val="13"/>
              </w:rPr>
            </w:pPr>
            <w:r w:rsidRPr="000A1C8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DT</w:t>
            </w:r>
          </w:p>
        </w:tc>
        <w:tc>
          <w:tcPr>
            <w:tcW w:w="366"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spacing w:after="120"/>
              <w:rPr>
                <w:rFonts w:ascii="Tahoma" w:hAnsi="Tahoma" w:cs="Tahoma"/>
                <w:sz w:val="13"/>
              </w:rPr>
            </w:pPr>
            <w:r w:rsidRPr="000A1C8E">
              <w:rPr>
                <w:rFonts w:ascii="Tahoma" w:hAnsi="Tahoma" w:cs="Tahoma"/>
                <w:sz w:val="13"/>
              </w:rPr>
              <w:t>1</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3</w:t>
            </w:r>
          </w:p>
        </w:tc>
        <w:tc>
          <w:tcPr>
            <w:tcW w:w="405"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414"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1</w:t>
            </w:r>
          </w:p>
        </w:tc>
        <w:tc>
          <w:tcPr>
            <w:tcW w:w="459" w:type="dxa"/>
            <w:tcBorders>
              <w:left w:val="single" w:sz="18" w:space="0" w:color="auto"/>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0A1C8E" w:rsidRDefault="00CC19FC" w:rsidP="004B3534">
            <w:pPr>
              <w:pStyle w:val="TableText"/>
              <w:rPr>
                <w:rFonts w:ascii="Tahoma" w:hAnsi="Tahoma" w:cs="Tahoma"/>
                <w:sz w:val="13"/>
              </w:rPr>
            </w:pPr>
            <w:r w:rsidRPr="000A1C8E">
              <w:rPr>
                <w:rFonts w:ascii="Tahoma" w:hAnsi="Tahoma" w:cs="Tahoma"/>
                <w:sz w:val="13"/>
              </w:rPr>
              <w:t>P</w:t>
            </w:r>
          </w:p>
        </w:tc>
        <w:tc>
          <w:tcPr>
            <w:tcW w:w="720" w:type="dxa"/>
            <w:tcBorders>
              <w:bottom w:val="single" w:sz="4" w:space="0" w:color="auto"/>
            </w:tcBorders>
            <w:shd w:val="clear" w:color="auto" w:fill="FABF8F"/>
            <w:vAlign w:val="center"/>
          </w:tcPr>
          <w:p w:rsidR="00CC19FC" w:rsidRPr="000A1C8E" w:rsidRDefault="00CC19FC" w:rsidP="00080B33">
            <w:pPr>
              <w:pStyle w:val="TableText"/>
              <w:rPr>
                <w:rFonts w:ascii="Tahoma" w:hAnsi="Tahoma" w:cs="Tahoma"/>
                <w:sz w:val="13"/>
              </w:rPr>
            </w:pPr>
          </w:p>
        </w:tc>
        <w:tc>
          <w:tcPr>
            <w:tcW w:w="551" w:type="dxa"/>
            <w:tcBorders>
              <w:bottom w:val="single" w:sz="4" w:space="0" w:color="auto"/>
            </w:tcBorders>
            <w:shd w:val="clear" w:color="auto" w:fill="FABF8F"/>
            <w:vAlign w:val="center"/>
          </w:tcPr>
          <w:p w:rsidR="00CC19FC" w:rsidRPr="000A1C8E" w:rsidRDefault="00CC19FC" w:rsidP="004B3534">
            <w:pPr>
              <w:pStyle w:val="TableText"/>
              <w:rPr>
                <w:rFonts w:ascii="Tahoma" w:hAnsi="Tahoma" w:cs="Tahoma"/>
                <w:sz w:val="13"/>
              </w:rPr>
            </w:pPr>
          </w:p>
        </w:tc>
      </w:tr>
    </w:tbl>
    <w:p w:rsidR="00023FE7" w:rsidRPr="000A1C8E" w:rsidRDefault="005761A6">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0565" w:rsidRDefault="00140565">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140565" w:rsidRDefault="00140565">
                            <w:pPr>
                              <w:rPr>
                                <w:rFonts w:cs="Tahoma"/>
                                <w:i/>
                                <w:color w:val="000000"/>
                                <w:sz w:val="14"/>
                                <w:szCs w:val="14"/>
                              </w:rPr>
                            </w:pPr>
                            <w:r>
                              <w:rPr>
                                <w:rFonts w:cs="Tahoma"/>
                                <w:i/>
                                <w:color w:val="000000"/>
                                <w:sz w:val="14"/>
                                <w:szCs w:val="14"/>
                              </w:rPr>
                              <w:t>*Para Select Plus, serão usados apenas os valores de ‘L’ e três anos para ‘L&amp;SA’ / ’SA’.</w:t>
                            </w:r>
                          </w:p>
                          <w:p w:rsidR="00140565" w:rsidRDefault="0014056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140565" w:rsidRDefault="00140565">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140565" w:rsidRDefault="00140565">
                      <w:pPr>
                        <w:rPr>
                          <w:rFonts w:cs="Tahoma"/>
                          <w:i/>
                          <w:color w:val="000000"/>
                          <w:sz w:val="14"/>
                          <w:szCs w:val="14"/>
                        </w:rPr>
                      </w:pPr>
                      <w:r>
                        <w:rPr>
                          <w:rFonts w:cs="Tahoma"/>
                          <w:i/>
                          <w:color w:val="000000"/>
                          <w:sz w:val="14"/>
                          <w:szCs w:val="14"/>
                        </w:rPr>
                        <w:t>*Para Select Plus, serão usados apenas os valores de ‘L’ e três anos para ‘L&amp;SA’ / ’SA’.</w:t>
                      </w:r>
                    </w:p>
                    <w:p w:rsidR="00140565" w:rsidRDefault="00140565"/>
                  </w:txbxContent>
                </v:textbox>
              </v:shape>
            </w:pict>
          </mc:Fallback>
        </mc:AlternateContent>
      </w:r>
    </w:p>
    <w:p w:rsidR="00023FE7" w:rsidRPr="000A1C8E" w:rsidRDefault="00023FE7">
      <w:pPr>
        <w:pStyle w:val="ProductPool"/>
        <w:rPr>
          <w:rFonts w:ascii="Tahoma" w:hAnsi="Tahoma" w:cs="Tahoma"/>
        </w:rPr>
      </w:pPr>
    </w:p>
    <w:p w:rsidR="00E5334D" w:rsidRPr="000A1C8E" w:rsidRDefault="00E5334D">
      <w:pPr>
        <w:rPr>
          <w:rFonts w:cs="Tahoma"/>
        </w:rPr>
      </w:pPr>
      <w:r w:rsidRPr="000A1C8E">
        <w:rPr>
          <w:rFonts w:cs="Tahoma"/>
        </w:rPr>
        <w:br w:type="page"/>
      </w:r>
    </w:p>
    <w:p w:rsidR="00023FE7" w:rsidRPr="000A1C8E" w:rsidRDefault="00023FE7" w:rsidP="004E292A">
      <w:pPr>
        <w:pStyle w:val="Heading3"/>
        <w:rPr>
          <w:rFonts w:ascii="Tahoma" w:hAnsi="Tahoma" w:cs="Tahoma"/>
        </w:rPr>
      </w:pPr>
      <w:bookmarkStart w:id="113" w:name="_Toc336337896"/>
      <w:bookmarkStart w:id="114" w:name="_Toc361828999"/>
      <w:r w:rsidRPr="000A1C8E">
        <w:rPr>
          <w:rFonts w:ascii="Tahoma" w:hAnsi="Tahoma" w:cs="Tahoma"/>
          <w:sz w:val="22"/>
        </w:rPr>
        <w:lastRenderedPageBreak/>
        <w:t>POOL DE SISTEMAS</w:t>
      </w:r>
      <w:bookmarkEnd w:id="113"/>
      <w:bookmarkEnd w:id="114"/>
    </w:p>
    <w:p w:rsidR="00023FE7" w:rsidRPr="000A1C8E"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369"/>
        <w:gridCol w:w="387"/>
        <w:gridCol w:w="414"/>
        <w:gridCol w:w="387"/>
        <w:gridCol w:w="441"/>
        <w:gridCol w:w="387"/>
        <w:gridCol w:w="405"/>
        <w:gridCol w:w="405"/>
        <w:gridCol w:w="432"/>
        <w:gridCol w:w="396"/>
        <w:gridCol w:w="585"/>
        <w:gridCol w:w="432"/>
        <w:gridCol w:w="450"/>
        <w:gridCol w:w="639"/>
        <w:gridCol w:w="621"/>
      </w:tblGrid>
      <w:tr w:rsidR="00AF4B30" w:rsidRPr="000A1C8E" w:rsidTr="00D21781">
        <w:trPr>
          <w:cantSplit/>
          <w:trHeight w:val="389"/>
          <w:tblHeader/>
        </w:trPr>
        <w:tc>
          <w:tcPr>
            <w:tcW w:w="2610" w:type="dxa"/>
            <w:vMerge w:val="restart"/>
            <w:tcBorders>
              <w:top w:val="single" w:sz="4" w:space="0" w:color="FFFFFF"/>
              <w:left w:val="single" w:sz="4" w:space="0" w:color="FFFFFF"/>
            </w:tcBorders>
          </w:tcPr>
          <w:p w:rsidR="00B27742" w:rsidRPr="000A1C8E" w:rsidRDefault="005761A6">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1558925</wp:posOffset>
                      </wp:positionH>
                      <wp:positionV relativeFrom="paragraph">
                        <wp:posOffset>811530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0565" w:rsidRDefault="00140565">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2.75pt;margin-top:63.9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" filled="f" stroked="f">
                      <v:textbox style="mso-fit-shape-to-text:t">
                        <w:txbxContent>
                          <w:p w:rsidR="00140565" w:rsidRDefault="00140565">
                            <w:pPr>
                              <w:rPr>
                                <w:color w:val="0000FF"/>
                                <w:sz w:val="20"/>
                              </w:rPr>
                            </w:pPr>
                            <w:r>
                              <w:rPr>
                                <w:rFonts w:cs="Tahoma"/>
                                <w:b/>
                                <w:color w:val="0000FF"/>
                                <w:sz w:val="8"/>
                              </w:rPr>
                              <w:t>(Ctrl + clique)</w:t>
                            </w:r>
                          </w:p>
                        </w:txbxContent>
                      </v:textbox>
                    </v:shape>
                  </w:pict>
                </mc:Fallback>
              </mc:AlternateContent>
            </w:r>
          </w:p>
        </w:tc>
        <w:tc>
          <w:tcPr>
            <w:tcW w:w="360" w:type="dxa"/>
            <w:vMerge w:val="restart"/>
            <w:tcBorders>
              <w:top w:val="single" w:sz="12" w:space="0" w:color="auto"/>
            </w:tcBorders>
            <w:textDirection w:val="btLr"/>
            <w:vAlign w:val="center"/>
          </w:tcPr>
          <w:p w:rsidR="00B27742" w:rsidRPr="000A1C8E" w:rsidRDefault="00B27742" w:rsidP="00AF3714">
            <w:pPr>
              <w:pStyle w:val="TableVerticalText"/>
              <w:rPr>
                <w:rFonts w:ascii="Tahoma" w:hAnsi="Tahoma" w:cs="Tahoma"/>
                <w:sz w:val="9"/>
              </w:rPr>
            </w:pPr>
            <w:r w:rsidRPr="000A1C8E">
              <w:rPr>
                <w:rFonts w:ascii="Tahoma" w:hAnsi="Tahoma" w:cs="Tahoma"/>
                <w:sz w:val="9"/>
              </w:rPr>
              <w:t>Notas do Produto</w:t>
            </w:r>
          </w:p>
        </w:tc>
        <w:tc>
          <w:tcPr>
            <w:tcW w:w="450" w:type="dxa"/>
            <w:vMerge w:val="restart"/>
            <w:tcBorders>
              <w:top w:val="single" w:sz="12" w:space="0" w:color="auto"/>
            </w:tcBorders>
            <w:textDirection w:val="btLr"/>
          </w:tcPr>
          <w:p w:rsidR="00B27742" w:rsidRPr="000A1C8E" w:rsidRDefault="00B27742" w:rsidP="0019788A">
            <w:pPr>
              <w:pStyle w:val="TableVerticalText"/>
              <w:spacing w:before="120"/>
              <w:rPr>
                <w:rFonts w:ascii="Tahoma" w:hAnsi="Tahoma" w:cs="Tahoma"/>
                <w:sz w:val="9"/>
              </w:rPr>
            </w:pPr>
            <w:r w:rsidRPr="000A1C8E">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rsidR="00B27742" w:rsidRPr="000A1C8E" w:rsidRDefault="00B27742">
            <w:pPr>
              <w:pStyle w:val="TableVerticalText"/>
              <w:rPr>
                <w:rFonts w:ascii="Tahoma" w:hAnsi="Tahoma" w:cs="Tahoma"/>
                <w:sz w:val="9"/>
              </w:rPr>
            </w:pPr>
            <w:r w:rsidRPr="000A1C8E">
              <w:rPr>
                <w:rFonts w:ascii="Tahoma" w:hAnsi="Tahoma" w:cs="Tahoma"/>
                <w:sz w:val="9"/>
              </w:rPr>
              <w:t>SAB</w:t>
            </w:r>
          </w:p>
        </w:tc>
        <w:tc>
          <w:tcPr>
            <w:tcW w:w="2790" w:type="dxa"/>
            <w:gridSpan w:val="7"/>
            <w:tcBorders>
              <w:top w:val="single" w:sz="12" w:space="0" w:color="auto"/>
              <w:left w:val="single" w:sz="18" w:space="0" w:color="auto"/>
              <w:right w:val="single" w:sz="18" w:space="0" w:color="auto"/>
            </w:tcBorders>
            <w:vAlign w:val="center"/>
          </w:tcPr>
          <w:p w:rsidR="00B27742" w:rsidRPr="000A1C8E" w:rsidRDefault="00B27742">
            <w:pPr>
              <w:pStyle w:val="TableHeadingsBlack"/>
              <w:rPr>
                <w:rFonts w:ascii="Tahoma" w:hAnsi="Tahoma" w:cs="Tahoma"/>
                <w:sz w:val="9"/>
              </w:rPr>
            </w:pPr>
            <w:r w:rsidRPr="000A1C8E">
              <w:rPr>
                <w:rFonts w:ascii="Tahoma" w:hAnsi="Tahoma" w:cs="Tahoma"/>
                <w:sz w:val="9"/>
              </w:rPr>
              <w:t>Select</w:t>
            </w:r>
          </w:p>
        </w:tc>
        <w:tc>
          <w:tcPr>
            <w:tcW w:w="1233" w:type="dxa"/>
            <w:gridSpan w:val="3"/>
            <w:tcBorders>
              <w:top w:val="single" w:sz="12" w:space="0" w:color="auto"/>
              <w:left w:val="single" w:sz="18" w:space="0" w:color="auto"/>
              <w:right w:val="single" w:sz="18" w:space="0" w:color="auto"/>
            </w:tcBorders>
            <w:vAlign w:val="center"/>
          </w:tcPr>
          <w:p w:rsidR="00B27742" w:rsidRPr="000A1C8E" w:rsidRDefault="00B27742">
            <w:pPr>
              <w:pStyle w:val="TableHeadingsBlack"/>
              <w:rPr>
                <w:rFonts w:ascii="Tahoma" w:hAnsi="Tahoma" w:cs="Tahoma"/>
                <w:sz w:val="9"/>
              </w:rPr>
            </w:pPr>
            <w:r w:rsidRPr="000A1C8E">
              <w:rPr>
                <w:rFonts w:ascii="Tahoma" w:hAnsi="Tahoma" w:cs="Tahoma"/>
                <w:sz w:val="9"/>
              </w:rPr>
              <w:t>Licença Open</w:t>
            </w:r>
          </w:p>
        </w:tc>
        <w:tc>
          <w:tcPr>
            <w:tcW w:w="585" w:type="dxa"/>
            <w:vMerge w:val="restart"/>
            <w:tcBorders>
              <w:top w:val="single" w:sz="12" w:space="0" w:color="auto"/>
              <w:left w:val="single" w:sz="18" w:space="0" w:color="auto"/>
            </w:tcBorders>
            <w:textDirection w:val="btLr"/>
            <w:vAlign w:val="center"/>
          </w:tcPr>
          <w:p w:rsidR="00B27742" w:rsidRPr="000A1C8E" w:rsidRDefault="00B27742">
            <w:pPr>
              <w:pStyle w:val="TableVerticalText"/>
              <w:rPr>
                <w:rFonts w:ascii="Tahoma" w:hAnsi="Tahoma" w:cs="Tahoma"/>
                <w:sz w:val="9"/>
              </w:rPr>
            </w:pPr>
            <w:r w:rsidRPr="000A1C8E">
              <w:rPr>
                <w:rFonts w:ascii="Tahoma" w:hAnsi="Tahoma" w:cs="Tahoma"/>
                <w:sz w:val="9"/>
              </w:rPr>
              <w:t>Unidades Campus e School</w:t>
            </w:r>
          </w:p>
        </w:tc>
        <w:tc>
          <w:tcPr>
            <w:tcW w:w="432" w:type="dxa"/>
            <w:vMerge w:val="restart"/>
            <w:tcBorders>
              <w:top w:val="single" w:sz="12" w:space="0" w:color="auto"/>
              <w:right w:val="single" w:sz="18" w:space="0" w:color="auto"/>
            </w:tcBorders>
            <w:textDirection w:val="btLr"/>
            <w:vAlign w:val="center"/>
          </w:tcPr>
          <w:p w:rsidR="00B27742" w:rsidRPr="000A1C8E" w:rsidRDefault="00B27742" w:rsidP="00D21781">
            <w:pPr>
              <w:pStyle w:val="TableVerticalText"/>
              <w:rPr>
                <w:rFonts w:ascii="Tahoma" w:hAnsi="Tahoma" w:cs="Tahoma"/>
                <w:sz w:val="9"/>
              </w:rPr>
            </w:pPr>
            <w:r w:rsidRPr="000A1C8E">
              <w:rPr>
                <w:rFonts w:ascii="Tahoma" w:hAnsi="Tahoma" w:cs="Tahoma"/>
                <w:sz w:val="9"/>
              </w:rPr>
              <w:t>EA e</w:t>
            </w:r>
            <w:r w:rsidR="000A1C8E">
              <w:rPr>
                <w:rFonts w:ascii="Tahoma" w:hAnsi="Tahoma" w:cs="Tahoma"/>
                <w:sz w:val="9"/>
              </w:rPr>
              <w:t xml:space="preserve"> </w:t>
            </w:r>
            <w:r w:rsidRPr="000A1C8E">
              <w:rPr>
                <w:rFonts w:ascii="Tahoma" w:hAnsi="Tahoma" w:cs="Tahoma"/>
                <w:sz w:val="9"/>
              </w:rP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0A1C8E" w:rsidRDefault="00B27742">
            <w:pPr>
              <w:pStyle w:val="TableVerticalText"/>
              <w:rPr>
                <w:rFonts w:ascii="Tahoma" w:hAnsi="Tahoma" w:cs="Tahoma"/>
                <w:sz w:val="9"/>
              </w:rPr>
            </w:pPr>
            <w:r w:rsidRPr="000A1C8E">
              <w:rPr>
                <w:rFonts w:ascii="Tahoma" w:hAnsi="Tahoma" w:cs="Tahoma"/>
                <w:sz w:val="9"/>
              </w:rPr>
              <w:t>OV / OVS</w:t>
            </w:r>
          </w:p>
        </w:tc>
        <w:tc>
          <w:tcPr>
            <w:tcW w:w="639" w:type="dxa"/>
            <w:vMerge w:val="restart"/>
            <w:tcBorders>
              <w:top w:val="single" w:sz="12" w:space="0" w:color="auto"/>
            </w:tcBorders>
            <w:textDirection w:val="btLr"/>
            <w:vAlign w:val="center"/>
          </w:tcPr>
          <w:p w:rsidR="00B27742" w:rsidRPr="000A1C8E" w:rsidRDefault="00B0036E" w:rsidP="00D21781">
            <w:pPr>
              <w:pStyle w:val="TableVerticalText"/>
              <w:spacing w:before="120"/>
              <w:rPr>
                <w:rFonts w:ascii="Tahoma" w:hAnsi="Tahoma" w:cs="Tahoma"/>
                <w:sz w:val="9"/>
              </w:rPr>
            </w:pPr>
            <w:r w:rsidRPr="000A1C8E">
              <w:rPr>
                <w:rFonts w:ascii="Tahoma" w:hAnsi="Tahoma" w:cs="Tahoma"/>
                <w:sz w:val="9"/>
              </w:rPr>
              <w:t>EES / OVS</w:t>
            </w:r>
            <w:r w:rsidR="00DC6D8B" w:rsidRPr="000A1C8E">
              <w:rPr>
                <w:rFonts w:ascii="Tahoma" w:hAnsi="Tahoma" w:cs="Tahoma"/>
                <w:sz w:val="9"/>
              </w:rPr>
              <w:t xml:space="preserve"> </w:t>
            </w:r>
            <w:r w:rsidRPr="000A1C8E">
              <w:rPr>
                <w:rFonts w:ascii="Tahoma" w:hAnsi="Tahoma" w:cs="Tahoma"/>
                <w:sz w:val="9"/>
              </w:rPr>
              <w:t>ES</w:t>
            </w:r>
          </w:p>
        </w:tc>
        <w:tc>
          <w:tcPr>
            <w:tcW w:w="621" w:type="dxa"/>
            <w:vMerge w:val="restart"/>
            <w:tcBorders>
              <w:top w:val="single" w:sz="12" w:space="0" w:color="auto"/>
            </w:tcBorders>
            <w:textDirection w:val="btLr"/>
            <w:vAlign w:val="center"/>
          </w:tcPr>
          <w:p w:rsidR="00B27742" w:rsidRPr="000A1C8E" w:rsidRDefault="00B27742" w:rsidP="00456002">
            <w:pPr>
              <w:pStyle w:val="TableVerticalText"/>
              <w:rPr>
                <w:rFonts w:ascii="Tahoma" w:hAnsi="Tahoma" w:cs="Tahoma"/>
                <w:sz w:val="9"/>
              </w:rPr>
            </w:pPr>
            <w:r w:rsidRPr="000A1C8E">
              <w:rPr>
                <w:rFonts w:ascii="Tahoma" w:hAnsi="Tahoma" w:cs="Tahoma"/>
                <w:sz w:val="9"/>
              </w:rPr>
              <w:t>Mínimo de Licenças Open</w:t>
            </w:r>
          </w:p>
        </w:tc>
      </w:tr>
      <w:tr w:rsidR="00CE5AB1" w:rsidRPr="000A1C8E" w:rsidTr="00C0392A">
        <w:trPr>
          <w:cantSplit/>
          <w:trHeight w:val="262"/>
          <w:tblHeader/>
        </w:trPr>
        <w:tc>
          <w:tcPr>
            <w:tcW w:w="2610" w:type="dxa"/>
            <w:vMerge/>
            <w:tcBorders>
              <w:left w:val="single" w:sz="4" w:space="0" w:color="FFFFFF"/>
            </w:tcBorders>
          </w:tcPr>
          <w:p w:rsidR="00B27742" w:rsidRPr="000A1C8E" w:rsidRDefault="00B27742">
            <w:pPr>
              <w:rPr>
                <w:rFonts w:cs="Tahoma"/>
                <w:sz w:val="20"/>
              </w:rPr>
            </w:pPr>
          </w:p>
        </w:tc>
        <w:tc>
          <w:tcPr>
            <w:tcW w:w="360" w:type="dxa"/>
            <w:vMerge/>
          </w:tcPr>
          <w:p w:rsidR="00B27742" w:rsidRPr="000A1C8E" w:rsidRDefault="00B27742">
            <w:pPr>
              <w:rPr>
                <w:rFonts w:cs="Tahoma"/>
                <w:b/>
                <w:sz w:val="20"/>
              </w:rPr>
            </w:pPr>
          </w:p>
        </w:tc>
        <w:tc>
          <w:tcPr>
            <w:tcW w:w="450" w:type="dxa"/>
            <w:vMerge/>
          </w:tcPr>
          <w:p w:rsidR="00B27742" w:rsidRPr="000A1C8E" w:rsidRDefault="00B27742">
            <w:pPr>
              <w:rPr>
                <w:rFonts w:cs="Tahoma"/>
                <w:sz w:val="20"/>
              </w:rPr>
            </w:pPr>
          </w:p>
        </w:tc>
        <w:tc>
          <w:tcPr>
            <w:tcW w:w="360" w:type="dxa"/>
            <w:vMerge/>
            <w:tcBorders>
              <w:right w:val="single" w:sz="18" w:space="0" w:color="auto"/>
            </w:tcBorders>
          </w:tcPr>
          <w:p w:rsidR="00B27742" w:rsidRPr="000A1C8E" w:rsidRDefault="00B27742">
            <w:pPr>
              <w:rPr>
                <w:rFonts w:cs="Tahoma"/>
                <w:sz w:val="20"/>
              </w:rPr>
            </w:pPr>
          </w:p>
        </w:tc>
        <w:tc>
          <w:tcPr>
            <w:tcW w:w="369" w:type="dxa"/>
            <w:vMerge w:val="restart"/>
            <w:tcBorders>
              <w:left w:val="single" w:sz="18" w:space="0" w:color="auto"/>
            </w:tcBorders>
            <w:vAlign w:val="center"/>
          </w:tcPr>
          <w:p w:rsidR="00B27742" w:rsidRPr="000A1C8E" w:rsidRDefault="00B27742">
            <w:pPr>
              <w:pStyle w:val="TableHeadingsRed"/>
              <w:rPr>
                <w:rFonts w:ascii="Tahoma" w:hAnsi="Tahoma" w:cs="Tahoma"/>
                <w:sz w:val="9"/>
              </w:rPr>
            </w:pPr>
            <w:r w:rsidRPr="000A1C8E">
              <w:rPr>
                <w:rFonts w:ascii="Tahoma" w:hAnsi="Tahoma" w:cs="Tahoma"/>
                <w:sz w:val="9"/>
              </w:rPr>
              <w:t>L</w:t>
            </w:r>
          </w:p>
        </w:tc>
        <w:tc>
          <w:tcPr>
            <w:tcW w:w="1188" w:type="dxa"/>
            <w:gridSpan w:val="3"/>
            <w:vAlign w:val="center"/>
          </w:tcPr>
          <w:p w:rsidR="00B27742" w:rsidRPr="000A1C8E" w:rsidRDefault="00B27742">
            <w:pPr>
              <w:pStyle w:val="TableHeadingsGreen"/>
              <w:rPr>
                <w:rFonts w:ascii="Tahoma" w:hAnsi="Tahoma" w:cs="Tahoma"/>
                <w:sz w:val="9"/>
              </w:rPr>
            </w:pPr>
            <w:r w:rsidRPr="000A1C8E">
              <w:rPr>
                <w:rFonts w:ascii="Tahoma" w:hAnsi="Tahoma" w:cs="Tahoma"/>
                <w:sz w:val="9"/>
              </w:rPr>
              <w:t>L&amp;SA</w:t>
            </w:r>
          </w:p>
        </w:tc>
        <w:tc>
          <w:tcPr>
            <w:tcW w:w="1233" w:type="dxa"/>
            <w:gridSpan w:val="3"/>
            <w:tcBorders>
              <w:right w:val="single" w:sz="18" w:space="0" w:color="auto"/>
            </w:tcBorders>
            <w:vAlign w:val="center"/>
          </w:tcPr>
          <w:p w:rsidR="00B27742" w:rsidRPr="000A1C8E" w:rsidRDefault="00B27742">
            <w:pPr>
              <w:pStyle w:val="TableHeadingsBlue"/>
              <w:rPr>
                <w:rFonts w:ascii="Tahoma" w:hAnsi="Tahoma" w:cs="Tahoma"/>
                <w:sz w:val="9"/>
              </w:rPr>
            </w:pPr>
            <w:r w:rsidRPr="000A1C8E">
              <w:rPr>
                <w:rFonts w:ascii="Tahoma" w:hAnsi="Tahoma" w:cs="Tahoma"/>
                <w:sz w:val="9"/>
              </w:rPr>
              <w:t>SA</w:t>
            </w:r>
          </w:p>
        </w:tc>
        <w:tc>
          <w:tcPr>
            <w:tcW w:w="405" w:type="dxa"/>
            <w:vMerge w:val="restart"/>
            <w:tcBorders>
              <w:left w:val="single" w:sz="18" w:space="0" w:color="auto"/>
            </w:tcBorders>
            <w:vAlign w:val="center"/>
          </w:tcPr>
          <w:p w:rsidR="00B27742" w:rsidRPr="000A1C8E" w:rsidRDefault="00B27742">
            <w:pPr>
              <w:pStyle w:val="TableHeadingsRed"/>
              <w:rPr>
                <w:rFonts w:ascii="Tahoma" w:hAnsi="Tahoma" w:cs="Tahoma"/>
                <w:sz w:val="9"/>
              </w:rPr>
            </w:pPr>
            <w:r w:rsidRPr="000A1C8E">
              <w:rPr>
                <w:rFonts w:ascii="Tahoma" w:hAnsi="Tahoma" w:cs="Tahoma"/>
                <w:sz w:val="9"/>
              </w:rPr>
              <w:t>L</w:t>
            </w:r>
          </w:p>
        </w:tc>
        <w:tc>
          <w:tcPr>
            <w:tcW w:w="432" w:type="dxa"/>
            <w:vAlign w:val="center"/>
          </w:tcPr>
          <w:p w:rsidR="00B27742" w:rsidRPr="000A1C8E" w:rsidRDefault="00B27742">
            <w:pPr>
              <w:pStyle w:val="TableHeadingsGreen"/>
              <w:rPr>
                <w:rFonts w:ascii="Tahoma" w:hAnsi="Tahoma" w:cs="Tahoma"/>
                <w:sz w:val="9"/>
              </w:rPr>
            </w:pPr>
            <w:r w:rsidRPr="000A1C8E">
              <w:rPr>
                <w:rFonts w:ascii="Tahoma" w:hAnsi="Tahoma" w:cs="Tahoma"/>
                <w:sz w:val="9"/>
              </w:rPr>
              <w:t>L&amp;SA</w:t>
            </w:r>
          </w:p>
        </w:tc>
        <w:tc>
          <w:tcPr>
            <w:tcW w:w="396" w:type="dxa"/>
            <w:vMerge w:val="restart"/>
            <w:tcBorders>
              <w:right w:val="single" w:sz="18" w:space="0" w:color="auto"/>
            </w:tcBorders>
            <w:vAlign w:val="center"/>
          </w:tcPr>
          <w:p w:rsidR="00B27742" w:rsidRPr="000A1C8E" w:rsidRDefault="00B27742">
            <w:pPr>
              <w:pStyle w:val="TableHeadingsBlue"/>
              <w:rPr>
                <w:rFonts w:ascii="Tahoma" w:hAnsi="Tahoma" w:cs="Tahoma"/>
                <w:sz w:val="9"/>
              </w:rPr>
            </w:pPr>
            <w:r w:rsidRPr="000A1C8E">
              <w:rPr>
                <w:rFonts w:ascii="Tahoma" w:hAnsi="Tahoma" w:cs="Tahoma"/>
                <w:sz w:val="9"/>
              </w:rPr>
              <w:t>SA</w:t>
            </w:r>
          </w:p>
        </w:tc>
        <w:tc>
          <w:tcPr>
            <w:tcW w:w="585" w:type="dxa"/>
            <w:vMerge/>
            <w:tcBorders>
              <w:left w:val="single" w:sz="18" w:space="0" w:color="auto"/>
            </w:tcBorders>
          </w:tcPr>
          <w:p w:rsidR="00B27742" w:rsidRPr="000A1C8E" w:rsidRDefault="00B27742">
            <w:pPr>
              <w:rPr>
                <w:rFonts w:cs="Tahoma"/>
                <w:sz w:val="20"/>
              </w:rPr>
            </w:pPr>
          </w:p>
        </w:tc>
        <w:tc>
          <w:tcPr>
            <w:tcW w:w="432" w:type="dxa"/>
            <w:vMerge/>
            <w:tcBorders>
              <w:right w:val="single" w:sz="18" w:space="0" w:color="auto"/>
            </w:tcBorders>
          </w:tcPr>
          <w:p w:rsidR="00B27742" w:rsidRPr="000A1C8E" w:rsidRDefault="00B27742">
            <w:pPr>
              <w:rPr>
                <w:rFonts w:cs="Tahoma"/>
                <w:sz w:val="20"/>
              </w:rPr>
            </w:pPr>
          </w:p>
        </w:tc>
        <w:tc>
          <w:tcPr>
            <w:tcW w:w="450" w:type="dxa"/>
            <w:vMerge/>
            <w:tcBorders>
              <w:left w:val="single" w:sz="18" w:space="0" w:color="auto"/>
              <w:right w:val="single" w:sz="18" w:space="0" w:color="auto"/>
            </w:tcBorders>
          </w:tcPr>
          <w:p w:rsidR="00B27742" w:rsidRPr="000A1C8E" w:rsidRDefault="00B27742">
            <w:pPr>
              <w:rPr>
                <w:rFonts w:cs="Tahoma"/>
                <w:sz w:val="20"/>
              </w:rPr>
            </w:pPr>
          </w:p>
        </w:tc>
        <w:tc>
          <w:tcPr>
            <w:tcW w:w="639" w:type="dxa"/>
            <w:vMerge/>
          </w:tcPr>
          <w:p w:rsidR="00B27742" w:rsidRPr="000A1C8E" w:rsidRDefault="00B27742">
            <w:pPr>
              <w:rPr>
                <w:rFonts w:cs="Tahoma"/>
                <w:sz w:val="20"/>
              </w:rPr>
            </w:pPr>
          </w:p>
        </w:tc>
        <w:tc>
          <w:tcPr>
            <w:tcW w:w="621" w:type="dxa"/>
            <w:vMerge/>
          </w:tcPr>
          <w:p w:rsidR="00B27742" w:rsidRPr="000A1C8E" w:rsidRDefault="00B27742">
            <w:pPr>
              <w:rPr>
                <w:rFonts w:cs="Tahoma"/>
                <w:sz w:val="20"/>
              </w:rPr>
            </w:pPr>
          </w:p>
        </w:tc>
      </w:tr>
      <w:tr w:rsidR="00C0392A" w:rsidRPr="000A1C8E" w:rsidTr="00D21781">
        <w:trPr>
          <w:cantSplit/>
          <w:trHeight w:val="998"/>
          <w:tblHeader/>
        </w:trPr>
        <w:tc>
          <w:tcPr>
            <w:tcW w:w="2610" w:type="dxa"/>
            <w:vMerge/>
            <w:tcBorders>
              <w:left w:val="single" w:sz="4" w:space="0" w:color="FFFFFF"/>
              <w:bottom w:val="single" w:sz="4" w:space="0" w:color="auto"/>
            </w:tcBorders>
          </w:tcPr>
          <w:p w:rsidR="00B27742" w:rsidRPr="000A1C8E" w:rsidRDefault="00B27742">
            <w:pPr>
              <w:rPr>
                <w:rFonts w:cs="Tahoma"/>
                <w:sz w:val="20"/>
              </w:rPr>
            </w:pPr>
          </w:p>
        </w:tc>
        <w:tc>
          <w:tcPr>
            <w:tcW w:w="360" w:type="dxa"/>
            <w:vMerge/>
            <w:tcBorders>
              <w:bottom w:val="single" w:sz="4" w:space="0" w:color="auto"/>
            </w:tcBorders>
          </w:tcPr>
          <w:p w:rsidR="00B27742" w:rsidRPr="000A1C8E" w:rsidRDefault="00B27742">
            <w:pPr>
              <w:rPr>
                <w:rFonts w:cs="Tahoma"/>
                <w:b/>
                <w:sz w:val="20"/>
              </w:rPr>
            </w:pPr>
          </w:p>
        </w:tc>
        <w:tc>
          <w:tcPr>
            <w:tcW w:w="450" w:type="dxa"/>
            <w:vMerge/>
            <w:tcBorders>
              <w:bottom w:val="single" w:sz="4" w:space="0" w:color="auto"/>
            </w:tcBorders>
          </w:tcPr>
          <w:p w:rsidR="00B27742" w:rsidRPr="000A1C8E" w:rsidRDefault="00B27742">
            <w:pPr>
              <w:rPr>
                <w:rFonts w:cs="Tahoma"/>
                <w:sz w:val="20"/>
              </w:rPr>
            </w:pPr>
          </w:p>
        </w:tc>
        <w:tc>
          <w:tcPr>
            <w:tcW w:w="360" w:type="dxa"/>
            <w:vMerge/>
            <w:tcBorders>
              <w:bottom w:val="single" w:sz="4" w:space="0" w:color="auto"/>
              <w:right w:val="single" w:sz="18" w:space="0" w:color="auto"/>
            </w:tcBorders>
          </w:tcPr>
          <w:p w:rsidR="00B27742" w:rsidRPr="000A1C8E" w:rsidRDefault="00B27742">
            <w:pPr>
              <w:rPr>
                <w:rFonts w:cs="Tahoma"/>
                <w:sz w:val="20"/>
              </w:rPr>
            </w:pPr>
          </w:p>
        </w:tc>
        <w:tc>
          <w:tcPr>
            <w:tcW w:w="369" w:type="dxa"/>
            <w:vMerge/>
            <w:tcBorders>
              <w:left w:val="single" w:sz="18" w:space="0" w:color="auto"/>
              <w:bottom w:val="single" w:sz="4" w:space="0" w:color="auto"/>
            </w:tcBorders>
            <w:vAlign w:val="center"/>
          </w:tcPr>
          <w:p w:rsidR="00B27742" w:rsidRPr="000A1C8E" w:rsidRDefault="00B27742">
            <w:pPr>
              <w:jc w:val="center"/>
              <w:rPr>
                <w:rFonts w:cs="Tahoma"/>
                <w:sz w:val="20"/>
              </w:rPr>
            </w:pPr>
          </w:p>
        </w:tc>
        <w:tc>
          <w:tcPr>
            <w:tcW w:w="387" w:type="dxa"/>
            <w:tcBorders>
              <w:bottom w:val="single" w:sz="4" w:space="0" w:color="auto"/>
            </w:tcBorders>
            <w:vAlign w:val="center"/>
          </w:tcPr>
          <w:p w:rsidR="00B27742" w:rsidRPr="000A1C8E" w:rsidRDefault="00B27742">
            <w:pPr>
              <w:pStyle w:val="TableHeadingsGreen"/>
              <w:rPr>
                <w:rFonts w:ascii="Tahoma" w:hAnsi="Tahoma" w:cs="Tahoma"/>
                <w:sz w:val="9"/>
              </w:rPr>
            </w:pPr>
            <w:r w:rsidRPr="000A1C8E">
              <w:rPr>
                <w:rFonts w:ascii="Tahoma" w:hAnsi="Tahoma" w:cs="Tahoma"/>
                <w:sz w:val="9"/>
              </w:rPr>
              <w:t>3An</w:t>
            </w:r>
          </w:p>
        </w:tc>
        <w:tc>
          <w:tcPr>
            <w:tcW w:w="414" w:type="dxa"/>
            <w:tcBorders>
              <w:bottom w:val="single" w:sz="4" w:space="0" w:color="auto"/>
            </w:tcBorders>
            <w:vAlign w:val="center"/>
          </w:tcPr>
          <w:p w:rsidR="00B27742" w:rsidRPr="000A1C8E" w:rsidRDefault="00B27742">
            <w:pPr>
              <w:pStyle w:val="TableHeadingsGreen"/>
              <w:rPr>
                <w:rFonts w:ascii="Tahoma" w:hAnsi="Tahoma" w:cs="Tahoma"/>
                <w:sz w:val="9"/>
              </w:rPr>
            </w:pPr>
            <w:r w:rsidRPr="000A1C8E">
              <w:rPr>
                <w:rFonts w:ascii="Tahoma" w:hAnsi="Tahoma" w:cs="Tahoma"/>
                <w:sz w:val="9"/>
              </w:rPr>
              <w:t>2An</w:t>
            </w:r>
          </w:p>
        </w:tc>
        <w:tc>
          <w:tcPr>
            <w:tcW w:w="387" w:type="dxa"/>
            <w:tcBorders>
              <w:bottom w:val="single" w:sz="4" w:space="0" w:color="auto"/>
            </w:tcBorders>
            <w:vAlign w:val="center"/>
          </w:tcPr>
          <w:p w:rsidR="00B27742" w:rsidRPr="000A1C8E" w:rsidRDefault="00B27742">
            <w:pPr>
              <w:pStyle w:val="TableHeadingsGreen"/>
              <w:rPr>
                <w:rFonts w:ascii="Tahoma" w:hAnsi="Tahoma" w:cs="Tahoma"/>
                <w:sz w:val="9"/>
              </w:rPr>
            </w:pPr>
            <w:r w:rsidRPr="000A1C8E">
              <w:rPr>
                <w:rFonts w:ascii="Tahoma" w:hAnsi="Tahoma" w:cs="Tahoma"/>
                <w:sz w:val="9"/>
              </w:rPr>
              <w:t>1An</w:t>
            </w:r>
          </w:p>
        </w:tc>
        <w:tc>
          <w:tcPr>
            <w:tcW w:w="441" w:type="dxa"/>
            <w:tcBorders>
              <w:bottom w:val="single" w:sz="4" w:space="0" w:color="auto"/>
            </w:tcBorders>
            <w:vAlign w:val="center"/>
          </w:tcPr>
          <w:p w:rsidR="00B27742" w:rsidRPr="000A1C8E" w:rsidRDefault="00B27742">
            <w:pPr>
              <w:pStyle w:val="TableHeadingsBlue"/>
              <w:rPr>
                <w:rFonts w:ascii="Tahoma" w:hAnsi="Tahoma" w:cs="Tahoma"/>
                <w:sz w:val="9"/>
              </w:rPr>
            </w:pPr>
            <w:r w:rsidRPr="000A1C8E">
              <w:rPr>
                <w:rFonts w:ascii="Tahoma" w:hAnsi="Tahoma" w:cs="Tahoma"/>
                <w:sz w:val="9"/>
              </w:rPr>
              <w:t>3An</w:t>
            </w:r>
          </w:p>
        </w:tc>
        <w:tc>
          <w:tcPr>
            <w:tcW w:w="387" w:type="dxa"/>
            <w:tcBorders>
              <w:bottom w:val="single" w:sz="4" w:space="0" w:color="auto"/>
            </w:tcBorders>
            <w:vAlign w:val="center"/>
          </w:tcPr>
          <w:p w:rsidR="00B27742" w:rsidRPr="000A1C8E" w:rsidRDefault="00B27742">
            <w:pPr>
              <w:pStyle w:val="TableHeadingsBlue"/>
              <w:rPr>
                <w:rFonts w:ascii="Tahoma" w:hAnsi="Tahoma" w:cs="Tahoma"/>
                <w:sz w:val="9"/>
              </w:rPr>
            </w:pPr>
            <w:r w:rsidRPr="000A1C8E">
              <w:rPr>
                <w:rFonts w:ascii="Tahoma" w:hAnsi="Tahoma" w:cs="Tahoma"/>
                <w:sz w:val="9"/>
              </w:rPr>
              <w:t>2An</w:t>
            </w:r>
          </w:p>
        </w:tc>
        <w:tc>
          <w:tcPr>
            <w:tcW w:w="405" w:type="dxa"/>
            <w:tcBorders>
              <w:bottom w:val="single" w:sz="4" w:space="0" w:color="auto"/>
              <w:right w:val="single" w:sz="18" w:space="0" w:color="auto"/>
            </w:tcBorders>
            <w:vAlign w:val="center"/>
          </w:tcPr>
          <w:p w:rsidR="00B27742" w:rsidRPr="000A1C8E" w:rsidRDefault="00B27742">
            <w:pPr>
              <w:pStyle w:val="TableHeadingsBlue"/>
              <w:rPr>
                <w:rFonts w:ascii="Tahoma" w:hAnsi="Tahoma" w:cs="Tahoma"/>
                <w:sz w:val="9"/>
              </w:rPr>
            </w:pPr>
            <w:r w:rsidRPr="000A1C8E">
              <w:rPr>
                <w:rFonts w:ascii="Tahoma" w:hAnsi="Tahoma" w:cs="Tahoma"/>
                <w:sz w:val="9"/>
              </w:rPr>
              <w:t>1An</w:t>
            </w:r>
          </w:p>
        </w:tc>
        <w:tc>
          <w:tcPr>
            <w:tcW w:w="405" w:type="dxa"/>
            <w:vMerge/>
            <w:tcBorders>
              <w:left w:val="single" w:sz="18" w:space="0" w:color="auto"/>
              <w:bottom w:val="single" w:sz="4" w:space="0" w:color="auto"/>
            </w:tcBorders>
            <w:vAlign w:val="center"/>
          </w:tcPr>
          <w:p w:rsidR="00B27742" w:rsidRPr="000A1C8E" w:rsidRDefault="00B27742">
            <w:pPr>
              <w:jc w:val="center"/>
              <w:rPr>
                <w:rFonts w:cs="Tahoma"/>
                <w:sz w:val="20"/>
              </w:rPr>
            </w:pPr>
          </w:p>
        </w:tc>
        <w:tc>
          <w:tcPr>
            <w:tcW w:w="432" w:type="dxa"/>
            <w:tcBorders>
              <w:bottom w:val="single" w:sz="4" w:space="0" w:color="auto"/>
            </w:tcBorders>
            <w:vAlign w:val="center"/>
          </w:tcPr>
          <w:p w:rsidR="00B27742" w:rsidRPr="000A1C8E" w:rsidRDefault="00B27742">
            <w:pPr>
              <w:pStyle w:val="TableHeadingsGreen"/>
              <w:rPr>
                <w:rFonts w:ascii="Tahoma" w:hAnsi="Tahoma" w:cs="Tahoma"/>
                <w:sz w:val="9"/>
              </w:rPr>
            </w:pPr>
            <w:r w:rsidRPr="000A1C8E">
              <w:rPr>
                <w:rFonts w:ascii="Tahoma" w:hAnsi="Tahoma" w:cs="Tahoma"/>
                <w:sz w:val="9"/>
              </w:rPr>
              <w:t>P</w:t>
            </w:r>
          </w:p>
        </w:tc>
        <w:tc>
          <w:tcPr>
            <w:tcW w:w="396" w:type="dxa"/>
            <w:vMerge/>
            <w:tcBorders>
              <w:bottom w:val="single" w:sz="4" w:space="0" w:color="auto"/>
              <w:right w:val="single" w:sz="18" w:space="0" w:color="auto"/>
            </w:tcBorders>
            <w:vAlign w:val="center"/>
          </w:tcPr>
          <w:p w:rsidR="00B27742" w:rsidRPr="000A1C8E" w:rsidRDefault="00B27742">
            <w:pPr>
              <w:jc w:val="center"/>
              <w:rPr>
                <w:rFonts w:cs="Tahoma"/>
                <w:sz w:val="20"/>
              </w:rPr>
            </w:pPr>
          </w:p>
        </w:tc>
        <w:tc>
          <w:tcPr>
            <w:tcW w:w="585" w:type="dxa"/>
            <w:vMerge/>
            <w:tcBorders>
              <w:left w:val="single" w:sz="18" w:space="0" w:color="auto"/>
              <w:bottom w:val="single" w:sz="4" w:space="0" w:color="auto"/>
            </w:tcBorders>
          </w:tcPr>
          <w:p w:rsidR="00B27742" w:rsidRPr="000A1C8E" w:rsidRDefault="00B27742">
            <w:pPr>
              <w:rPr>
                <w:rFonts w:cs="Tahoma"/>
                <w:sz w:val="20"/>
              </w:rPr>
            </w:pPr>
          </w:p>
        </w:tc>
        <w:tc>
          <w:tcPr>
            <w:tcW w:w="432" w:type="dxa"/>
            <w:vMerge/>
            <w:tcBorders>
              <w:bottom w:val="single" w:sz="4" w:space="0" w:color="auto"/>
              <w:right w:val="single" w:sz="18" w:space="0" w:color="auto"/>
            </w:tcBorders>
          </w:tcPr>
          <w:p w:rsidR="00B27742" w:rsidRPr="000A1C8E"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0A1C8E" w:rsidRDefault="00B27742">
            <w:pPr>
              <w:rPr>
                <w:rFonts w:cs="Tahoma"/>
                <w:sz w:val="20"/>
              </w:rPr>
            </w:pPr>
          </w:p>
        </w:tc>
        <w:tc>
          <w:tcPr>
            <w:tcW w:w="639" w:type="dxa"/>
            <w:vMerge/>
            <w:tcBorders>
              <w:bottom w:val="single" w:sz="4" w:space="0" w:color="auto"/>
            </w:tcBorders>
          </w:tcPr>
          <w:p w:rsidR="00B27742" w:rsidRPr="000A1C8E" w:rsidRDefault="00B27742">
            <w:pPr>
              <w:rPr>
                <w:rFonts w:cs="Tahoma"/>
                <w:sz w:val="20"/>
              </w:rPr>
            </w:pPr>
          </w:p>
        </w:tc>
        <w:tc>
          <w:tcPr>
            <w:tcW w:w="621" w:type="dxa"/>
            <w:vMerge/>
            <w:tcBorders>
              <w:bottom w:val="single" w:sz="4" w:space="0" w:color="auto"/>
            </w:tcBorders>
          </w:tcPr>
          <w:p w:rsidR="00B27742" w:rsidRPr="000A1C8E" w:rsidRDefault="00B27742">
            <w:pPr>
              <w:rPr>
                <w:rFonts w:cs="Tahoma"/>
                <w:sz w:val="20"/>
              </w:rPr>
            </w:pPr>
          </w:p>
        </w:tc>
      </w:tr>
      <w:tr w:rsidR="001A63C6" w:rsidRPr="000A1C8E" w:rsidTr="00C0392A">
        <w:trPr>
          <w:trHeight w:val="145"/>
        </w:trPr>
        <w:tc>
          <w:tcPr>
            <w:tcW w:w="2610" w:type="dxa"/>
            <w:tcBorders>
              <w:bottom w:val="single" w:sz="4" w:space="0" w:color="auto"/>
            </w:tcBorders>
            <w:shd w:val="clear" w:color="auto" w:fill="FABF8F"/>
          </w:tcPr>
          <w:p w:rsidR="001A63C6" w:rsidRPr="000A1C8E" w:rsidRDefault="001A63C6" w:rsidP="00F70479">
            <w:pPr>
              <w:pStyle w:val="ProductNames"/>
              <w:rPr>
                <w:rFonts w:ascii="Tahoma" w:hAnsi="Tahoma" w:cs="Tahoma"/>
                <w:sz w:val="14"/>
              </w:rPr>
            </w:pPr>
            <w:bookmarkStart w:id="115" w:name="_Toc361829000"/>
            <w:r w:rsidRPr="000A1C8E">
              <w:rPr>
                <w:rFonts w:ascii="Tahoma" w:hAnsi="Tahoma" w:cs="Tahoma"/>
                <w:sz w:val="14"/>
              </w:rPr>
              <w:t>Microsoft Desktop Optimization Pack para Software Assurance</w:t>
            </w:r>
            <w:bookmarkEnd w:id="115"/>
          </w:p>
        </w:tc>
        <w:tc>
          <w:tcPr>
            <w:tcW w:w="360" w:type="dxa"/>
            <w:tcBorders>
              <w:bottom w:val="single" w:sz="4" w:space="0" w:color="auto"/>
            </w:tcBorders>
            <w:shd w:val="clear" w:color="auto" w:fill="FABF8F"/>
            <w:vAlign w:val="center"/>
          </w:tcPr>
          <w:p w:rsidR="001A63C6" w:rsidRPr="00DC1AC3" w:rsidRDefault="006C57E7" w:rsidP="009D43FB">
            <w:pPr>
              <w:pStyle w:val="TableText"/>
              <w:widowControl w:val="0"/>
              <w:rPr>
                <w:rFonts w:cs="Tahoma"/>
                <w:b/>
                <w:color w:val="0000FF"/>
                <w:sz w:val="13"/>
                <w:szCs w:val="13"/>
                <w:u w:val="single"/>
              </w:rPr>
            </w:pPr>
            <w:hyperlink w:anchor="_25_Microsoft_Desktop" w:history="1">
              <w:r w:rsidR="003D47E7" w:rsidRPr="00DC1AC3">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0A1C8E" w:rsidRDefault="004D199A" w:rsidP="004D199A">
            <w:pPr>
              <w:pStyle w:val="TableText"/>
              <w:rPr>
                <w:rFonts w:ascii="Tahoma" w:hAnsi="Tahoma" w:cs="Tahoma"/>
                <w:sz w:val="13"/>
              </w:rPr>
            </w:pPr>
            <w:r w:rsidRPr="000A1C8E">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0A1C8E" w:rsidRDefault="001A63C6">
            <w:pPr>
              <w:pStyle w:val="TableText"/>
              <w:rPr>
                <w:rFonts w:ascii="Tahoma" w:hAnsi="Tahoma" w:cs="Tahoma"/>
                <w:sz w:val="13"/>
              </w:rPr>
            </w:pPr>
          </w:p>
        </w:tc>
        <w:tc>
          <w:tcPr>
            <w:tcW w:w="279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9A015E">
            <w:pPr>
              <w:pStyle w:val="TableText"/>
              <w:rPr>
                <w:rFonts w:ascii="Tahoma" w:hAnsi="Tahoma" w:cs="Tahoma"/>
                <w:sz w:val="13"/>
              </w:rPr>
            </w:pPr>
            <w:r w:rsidRPr="000A1C8E">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1A63C6" w:rsidRPr="000A1C8E" w:rsidRDefault="001A63C6">
            <w:pPr>
              <w:pStyle w:val="TableText"/>
              <w:rPr>
                <w:rFonts w:ascii="Tahoma" w:hAnsi="Tahoma" w:cs="Tahoma"/>
                <w:sz w:val="13"/>
              </w:rPr>
            </w:pPr>
          </w:p>
        </w:tc>
        <w:tc>
          <w:tcPr>
            <w:tcW w:w="432" w:type="dxa"/>
            <w:tcBorders>
              <w:bottom w:val="single" w:sz="4" w:space="0" w:color="auto"/>
            </w:tcBorders>
            <w:shd w:val="clear" w:color="auto" w:fill="FABF8F"/>
            <w:vAlign w:val="center"/>
          </w:tcPr>
          <w:p w:rsidR="001A63C6" w:rsidRPr="000A1C8E" w:rsidRDefault="001A63C6">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pPr>
              <w:pStyle w:val="TableText"/>
              <w:rPr>
                <w:rFonts w:ascii="Tahoma" w:hAnsi="Tahoma" w:cs="Tahoma"/>
                <w:sz w:val="13"/>
              </w:rPr>
            </w:pPr>
          </w:p>
        </w:tc>
        <w:tc>
          <w:tcPr>
            <w:tcW w:w="585" w:type="dxa"/>
            <w:tcBorders>
              <w:left w:val="single" w:sz="18" w:space="0" w:color="auto"/>
              <w:bottom w:val="single" w:sz="4" w:space="0" w:color="auto"/>
            </w:tcBorders>
            <w:shd w:val="clear" w:color="auto" w:fill="FABF8F"/>
            <w:vAlign w:val="center"/>
          </w:tcPr>
          <w:p w:rsidR="001A63C6" w:rsidRPr="000A1C8E" w:rsidRDefault="004D199A" w:rsidP="004479EA">
            <w:pPr>
              <w:pStyle w:val="TableText"/>
              <w:rPr>
                <w:rFonts w:ascii="Tahoma" w:hAnsi="Tahoma" w:cs="Tahoma"/>
                <w:sz w:val="13"/>
              </w:rPr>
            </w:pPr>
            <w:r w:rsidRPr="000A1C8E">
              <w:rPr>
                <w:rFonts w:ascii="Tahoma" w:hAnsi="Tahoma" w:cs="Tahoma"/>
                <w:sz w:val="13"/>
              </w:rPr>
              <w:t>1,E</w:t>
            </w:r>
          </w:p>
        </w:tc>
        <w:tc>
          <w:tcPr>
            <w:tcW w:w="432" w:type="dxa"/>
            <w:tcBorders>
              <w:bottom w:val="single" w:sz="4" w:space="0" w:color="auto"/>
              <w:right w:val="single" w:sz="18" w:space="0" w:color="auto"/>
            </w:tcBorders>
            <w:shd w:val="clear" w:color="auto" w:fill="FABF8F"/>
            <w:vAlign w:val="center"/>
          </w:tcPr>
          <w:p w:rsidR="001A63C6" w:rsidRPr="000A1C8E" w:rsidRDefault="004D199A" w:rsidP="008925CF">
            <w:pPr>
              <w:pStyle w:val="TableText"/>
              <w:rPr>
                <w:rFonts w:ascii="Tahoma" w:hAnsi="Tahoma" w:cs="Tahoma"/>
                <w:sz w:val="13"/>
              </w:rPr>
            </w:pPr>
            <w:r w:rsidRPr="000A1C8E">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A1C8E" w:rsidRDefault="004D199A">
            <w:pPr>
              <w:pStyle w:val="TableText"/>
              <w:rPr>
                <w:rFonts w:ascii="Tahoma" w:hAnsi="Tahoma" w:cs="Tahoma"/>
                <w:sz w:val="13"/>
              </w:rPr>
            </w:pPr>
            <w:r w:rsidRPr="000A1C8E">
              <w:rPr>
                <w:rFonts w:ascii="Tahoma" w:hAnsi="Tahoma" w:cs="Tahoma"/>
                <w:sz w:val="13"/>
              </w:rPr>
              <w:t>P</w:t>
            </w:r>
          </w:p>
        </w:tc>
        <w:tc>
          <w:tcPr>
            <w:tcW w:w="639" w:type="dxa"/>
            <w:tcBorders>
              <w:bottom w:val="single" w:sz="4" w:space="0" w:color="auto"/>
            </w:tcBorders>
            <w:shd w:val="clear" w:color="auto" w:fill="FABF8F"/>
            <w:vAlign w:val="center"/>
          </w:tcPr>
          <w:p w:rsidR="001A63C6" w:rsidRPr="000A1C8E" w:rsidRDefault="009A015E" w:rsidP="009A015E">
            <w:pPr>
              <w:pStyle w:val="TableText"/>
              <w:rPr>
                <w:rFonts w:ascii="Tahoma" w:hAnsi="Tahoma" w:cs="Tahoma"/>
                <w:sz w:val="13"/>
              </w:rPr>
            </w:pPr>
            <w:r w:rsidRPr="000A1C8E">
              <w:rPr>
                <w:rFonts w:ascii="Tahoma" w:hAnsi="Tahoma" w:cs="Tahoma"/>
                <w:sz w:val="13"/>
              </w:rPr>
              <w:t>A,ST</w:t>
            </w:r>
          </w:p>
        </w:tc>
        <w:tc>
          <w:tcPr>
            <w:tcW w:w="621" w:type="dxa"/>
            <w:tcBorders>
              <w:bottom w:val="single" w:sz="4" w:space="0" w:color="auto"/>
            </w:tcBorders>
            <w:shd w:val="clear" w:color="auto" w:fill="FABF8F"/>
            <w:vAlign w:val="center"/>
          </w:tcPr>
          <w:p w:rsidR="001A63C6" w:rsidRPr="000A1C8E" w:rsidRDefault="001A63C6">
            <w:pPr>
              <w:pStyle w:val="TableText"/>
              <w:rPr>
                <w:rFonts w:ascii="Tahoma" w:hAnsi="Tahoma" w:cs="Tahoma"/>
                <w:sz w:val="13"/>
              </w:rPr>
            </w:pPr>
          </w:p>
        </w:tc>
      </w:tr>
      <w:tr w:rsidR="002854D4" w:rsidRPr="000A1C8E" w:rsidTr="00C0392A">
        <w:trPr>
          <w:trHeight w:val="145"/>
        </w:trPr>
        <w:tc>
          <w:tcPr>
            <w:tcW w:w="2610" w:type="dxa"/>
            <w:tcBorders>
              <w:bottom w:val="single" w:sz="4" w:space="0" w:color="auto"/>
            </w:tcBorders>
            <w:shd w:val="clear" w:color="auto" w:fill="auto"/>
          </w:tcPr>
          <w:p w:rsidR="002854D4" w:rsidRPr="000A1C8E" w:rsidRDefault="002854D4" w:rsidP="00F70479">
            <w:pPr>
              <w:pStyle w:val="ProductNames"/>
              <w:rPr>
                <w:rFonts w:ascii="Tahoma" w:hAnsi="Tahoma" w:cs="Tahoma"/>
                <w:sz w:val="14"/>
              </w:rPr>
            </w:pPr>
            <w:bookmarkStart w:id="116" w:name="_Toc336337897"/>
            <w:bookmarkStart w:id="117" w:name="_Toc361829001"/>
            <w:r w:rsidRPr="000A1C8E">
              <w:rPr>
                <w:rFonts w:ascii="Tahoma" w:hAnsi="Tahoma" w:cs="Tahoma"/>
                <w:sz w:val="14"/>
              </w:rPr>
              <w:t>Licença de Assinatura do Windows Companion</w:t>
            </w:r>
            <w:bookmarkEnd w:id="116"/>
            <w:bookmarkEnd w:id="117"/>
          </w:p>
        </w:tc>
        <w:tc>
          <w:tcPr>
            <w:tcW w:w="360" w:type="dxa"/>
            <w:tcBorders>
              <w:bottom w:val="single" w:sz="4" w:space="0" w:color="auto"/>
            </w:tcBorders>
            <w:shd w:val="clear" w:color="auto" w:fill="auto"/>
            <w:vAlign w:val="center"/>
          </w:tcPr>
          <w:p w:rsidR="002854D4" w:rsidRPr="00DC1AC3" w:rsidRDefault="006C57E7" w:rsidP="006D5161">
            <w:pPr>
              <w:pStyle w:val="TableText"/>
              <w:widowControl w:val="0"/>
              <w:rPr>
                <w:rFonts w:cs="Tahoma"/>
                <w:b/>
                <w:color w:val="0000FF"/>
                <w:sz w:val="13"/>
                <w:szCs w:val="13"/>
                <w:u w:val="single"/>
              </w:rPr>
            </w:pPr>
            <w:hyperlink w:anchor="_29_Licença_de" w:history="1">
              <w:r w:rsidR="003D47E7" w:rsidRPr="00DC1AC3">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0A1C8E" w:rsidRDefault="002854D4" w:rsidP="004D199A">
            <w:pPr>
              <w:pStyle w:val="TableText"/>
              <w:rPr>
                <w:rFonts w:ascii="Tahoma" w:hAnsi="Tahoma" w:cs="Tahoma"/>
                <w:sz w:val="13"/>
              </w:rPr>
            </w:pPr>
            <w:r w:rsidRPr="000A1C8E">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0A1C8E" w:rsidRDefault="002854D4">
            <w:pPr>
              <w:pStyle w:val="TableText"/>
              <w:rPr>
                <w:rFonts w:ascii="Tahoma" w:hAnsi="Tahoma" w:cs="Tahoma"/>
                <w:sz w:val="13"/>
              </w:rPr>
            </w:pPr>
          </w:p>
        </w:tc>
        <w:tc>
          <w:tcPr>
            <w:tcW w:w="2790" w:type="dxa"/>
            <w:gridSpan w:val="7"/>
            <w:tcBorders>
              <w:left w:val="single" w:sz="18" w:space="0" w:color="auto"/>
              <w:bottom w:val="single" w:sz="4" w:space="0" w:color="auto"/>
              <w:right w:val="single" w:sz="18" w:space="0" w:color="auto"/>
            </w:tcBorders>
            <w:shd w:val="clear" w:color="auto" w:fill="auto"/>
            <w:vAlign w:val="center"/>
          </w:tcPr>
          <w:p w:rsidR="002854D4" w:rsidRPr="000A1C8E" w:rsidRDefault="002854D4">
            <w:pPr>
              <w:pStyle w:val="TableText"/>
              <w:rPr>
                <w:rFonts w:ascii="Tahoma" w:hAnsi="Tahoma" w:cs="Tahoma"/>
                <w:sz w:val="13"/>
              </w:rPr>
            </w:pPr>
            <w:r w:rsidRPr="000A1C8E">
              <w:rPr>
                <w:rFonts w:ascii="Tahoma" w:hAnsi="Tahoma" w:cs="Tahoma"/>
                <w:sz w:val="13"/>
              </w:rPr>
              <w:t>2</w:t>
            </w:r>
          </w:p>
        </w:tc>
        <w:tc>
          <w:tcPr>
            <w:tcW w:w="405" w:type="dxa"/>
            <w:tcBorders>
              <w:left w:val="single" w:sz="18" w:space="0" w:color="auto"/>
              <w:bottom w:val="single" w:sz="4" w:space="0" w:color="auto"/>
            </w:tcBorders>
            <w:shd w:val="clear" w:color="auto" w:fill="auto"/>
            <w:vAlign w:val="center"/>
          </w:tcPr>
          <w:p w:rsidR="002854D4" w:rsidRPr="000A1C8E" w:rsidRDefault="002854D4">
            <w:pPr>
              <w:pStyle w:val="TableText"/>
              <w:rPr>
                <w:rFonts w:ascii="Tahoma" w:hAnsi="Tahoma" w:cs="Tahoma"/>
                <w:sz w:val="13"/>
              </w:rPr>
            </w:pPr>
          </w:p>
        </w:tc>
        <w:tc>
          <w:tcPr>
            <w:tcW w:w="432" w:type="dxa"/>
            <w:tcBorders>
              <w:bottom w:val="single" w:sz="4" w:space="0" w:color="auto"/>
            </w:tcBorders>
            <w:shd w:val="clear" w:color="auto" w:fill="auto"/>
            <w:vAlign w:val="center"/>
          </w:tcPr>
          <w:p w:rsidR="002854D4" w:rsidRPr="000A1C8E" w:rsidRDefault="002854D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2854D4" w:rsidRPr="000A1C8E" w:rsidRDefault="002854D4">
            <w:pPr>
              <w:pStyle w:val="TableText"/>
              <w:rPr>
                <w:rFonts w:ascii="Tahoma" w:hAnsi="Tahoma" w:cs="Tahoma"/>
                <w:sz w:val="13"/>
              </w:rPr>
            </w:pPr>
          </w:p>
        </w:tc>
        <w:tc>
          <w:tcPr>
            <w:tcW w:w="585" w:type="dxa"/>
            <w:tcBorders>
              <w:left w:val="single" w:sz="18" w:space="0" w:color="auto"/>
              <w:bottom w:val="single" w:sz="4" w:space="0" w:color="auto"/>
            </w:tcBorders>
            <w:shd w:val="clear" w:color="auto" w:fill="auto"/>
            <w:vAlign w:val="center"/>
          </w:tcPr>
          <w:p w:rsidR="002854D4" w:rsidRPr="000A1C8E" w:rsidRDefault="002854D4" w:rsidP="004479EA">
            <w:pPr>
              <w:pStyle w:val="TableText"/>
              <w:rPr>
                <w:rFonts w:ascii="Tahoma" w:hAnsi="Tahoma" w:cs="Tahoma"/>
                <w:sz w:val="13"/>
              </w:rPr>
            </w:pPr>
            <w:r w:rsidRPr="000A1C8E">
              <w:rPr>
                <w:rFonts w:ascii="Tahoma" w:hAnsi="Tahoma" w:cs="Tahoma"/>
                <w:sz w:val="13"/>
              </w:rPr>
              <w:t>1</w:t>
            </w:r>
          </w:p>
        </w:tc>
        <w:tc>
          <w:tcPr>
            <w:tcW w:w="432" w:type="dxa"/>
            <w:tcBorders>
              <w:bottom w:val="single" w:sz="4" w:space="0" w:color="auto"/>
              <w:right w:val="single" w:sz="18" w:space="0" w:color="auto"/>
            </w:tcBorders>
            <w:shd w:val="clear" w:color="auto" w:fill="auto"/>
            <w:vAlign w:val="center"/>
          </w:tcPr>
          <w:p w:rsidR="002854D4" w:rsidRPr="000A1C8E" w:rsidRDefault="002854D4" w:rsidP="008925CF">
            <w:pPr>
              <w:pStyle w:val="TableText"/>
              <w:rPr>
                <w:rFonts w:ascii="Tahoma" w:hAnsi="Tahoma" w:cs="Tahoma"/>
                <w:sz w:val="13"/>
              </w:rPr>
            </w:pPr>
            <w:r w:rsidRPr="000A1C8E">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0A1C8E" w:rsidRDefault="002854D4">
            <w:pPr>
              <w:pStyle w:val="TableText"/>
              <w:rPr>
                <w:rFonts w:ascii="Tahoma" w:hAnsi="Tahoma" w:cs="Tahoma"/>
                <w:sz w:val="13"/>
              </w:rPr>
            </w:pPr>
          </w:p>
        </w:tc>
        <w:tc>
          <w:tcPr>
            <w:tcW w:w="639" w:type="dxa"/>
            <w:tcBorders>
              <w:bottom w:val="single" w:sz="4" w:space="0" w:color="auto"/>
            </w:tcBorders>
            <w:shd w:val="clear" w:color="auto" w:fill="auto"/>
          </w:tcPr>
          <w:p w:rsidR="002854D4" w:rsidRPr="000A1C8E" w:rsidRDefault="002854D4">
            <w:pPr>
              <w:pStyle w:val="TableText"/>
              <w:rPr>
                <w:rFonts w:ascii="Tahoma" w:hAnsi="Tahoma" w:cs="Tahoma"/>
                <w:sz w:val="13"/>
              </w:rPr>
            </w:pPr>
            <w:r w:rsidRPr="000A1C8E">
              <w:rPr>
                <w:rFonts w:ascii="Tahoma" w:hAnsi="Tahoma" w:cs="Tahoma"/>
                <w:sz w:val="13"/>
              </w:rPr>
              <w:t>A, (somente EES)</w:t>
            </w:r>
          </w:p>
        </w:tc>
        <w:tc>
          <w:tcPr>
            <w:tcW w:w="621" w:type="dxa"/>
            <w:tcBorders>
              <w:bottom w:val="single" w:sz="4" w:space="0" w:color="auto"/>
            </w:tcBorders>
            <w:shd w:val="clear" w:color="auto" w:fill="auto"/>
            <w:vAlign w:val="center"/>
          </w:tcPr>
          <w:p w:rsidR="002854D4" w:rsidRPr="000A1C8E" w:rsidRDefault="002854D4">
            <w:pPr>
              <w:pStyle w:val="TableText"/>
              <w:rPr>
                <w:rFonts w:ascii="Tahoma" w:hAnsi="Tahoma" w:cs="Tahoma"/>
                <w:sz w:val="13"/>
              </w:rPr>
            </w:pPr>
          </w:p>
        </w:tc>
      </w:tr>
      <w:tr w:rsidR="00C0392A" w:rsidRPr="000A1C8E" w:rsidTr="00C0392A">
        <w:trPr>
          <w:trHeight w:val="145"/>
        </w:trPr>
        <w:tc>
          <w:tcPr>
            <w:tcW w:w="2610" w:type="dxa"/>
            <w:tcBorders>
              <w:bottom w:val="single" w:sz="4" w:space="0" w:color="auto"/>
            </w:tcBorders>
            <w:shd w:val="clear" w:color="auto" w:fill="FABF8F"/>
          </w:tcPr>
          <w:p w:rsidR="00365DF7" w:rsidRPr="000A1C8E" w:rsidRDefault="00365DF7" w:rsidP="00F70479">
            <w:pPr>
              <w:pStyle w:val="ProductNames"/>
              <w:rPr>
                <w:rFonts w:ascii="Tahoma" w:hAnsi="Tahoma" w:cs="Tahoma"/>
                <w:sz w:val="14"/>
              </w:rPr>
            </w:pPr>
            <w:bookmarkStart w:id="118" w:name="_Toc361829002"/>
            <w:r w:rsidRPr="000A1C8E">
              <w:rPr>
                <w:rFonts w:ascii="Tahoma" w:hAnsi="Tahoma" w:cs="Tahoma"/>
                <w:sz w:val="14"/>
              </w:rPr>
              <w:t>Windows</w:t>
            </w:r>
            <w:r w:rsidR="00C83286" w:rsidRPr="000A1C8E">
              <w:rPr>
                <w:rFonts w:ascii="Tahoma" w:hAnsi="Tahoma" w:cs="Tahoma"/>
                <w:sz w:val="14"/>
                <w:vertAlign w:val="superscript"/>
              </w:rPr>
              <w:t>®</w:t>
            </w:r>
            <w:r w:rsidRPr="000A1C8E">
              <w:rPr>
                <w:rFonts w:ascii="Tahoma" w:hAnsi="Tahoma" w:cs="Tahoma"/>
                <w:sz w:val="14"/>
              </w:rPr>
              <w:t xml:space="preserve"> Embedded 8 Industry Pro</w:t>
            </w:r>
            <w:bookmarkEnd w:id="118"/>
          </w:p>
        </w:tc>
        <w:tc>
          <w:tcPr>
            <w:tcW w:w="360" w:type="dxa"/>
            <w:tcBorders>
              <w:bottom w:val="single" w:sz="4" w:space="0" w:color="auto"/>
            </w:tcBorders>
            <w:shd w:val="clear" w:color="auto" w:fill="FABF8F"/>
            <w:vAlign w:val="center"/>
          </w:tcPr>
          <w:p w:rsidR="00365DF7" w:rsidRPr="00DC1AC3" w:rsidRDefault="006C57E7" w:rsidP="003D5C46">
            <w:pPr>
              <w:pStyle w:val="TableText"/>
              <w:widowControl w:val="0"/>
              <w:rPr>
                <w:rFonts w:cs="Tahoma"/>
                <w:b/>
                <w:sz w:val="13"/>
                <w:szCs w:val="13"/>
              </w:rPr>
            </w:pPr>
            <w:hyperlink w:anchor="_28_Atualização_para" w:history="1">
              <w:r w:rsidR="003D47E7" w:rsidRPr="00DC1AC3">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0A1C8E" w:rsidRDefault="00365DF7" w:rsidP="004D199A">
            <w:pPr>
              <w:pStyle w:val="TableText"/>
              <w:rPr>
                <w:rFonts w:ascii="Tahoma" w:hAnsi="Tahoma" w:cs="Tahoma"/>
                <w:sz w:val="13"/>
              </w:rPr>
            </w:pPr>
            <w:r w:rsidRPr="000A1C8E">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0A1C8E" w:rsidRDefault="00365DF7">
            <w:pPr>
              <w:pStyle w:val="TableText"/>
              <w:rPr>
                <w:rFonts w:ascii="Tahoma" w:hAnsi="Tahoma" w:cs="Tahoma"/>
                <w:sz w:val="13"/>
              </w:rPr>
            </w:pPr>
          </w:p>
        </w:tc>
        <w:tc>
          <w:tcPr>
            <w:tcW w:w="369" w:type="dxa"/>
            <w:tcBorders>
              <w:left w:val="single" w:sz="18" w:space="0" w:color="auto"/>
              <w:bottom w:val="single" w:sz="4" w:space="0" w:color="auto"/>
              <w:right w:val="single" w:sz="4"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2</w:t>
            </w:r>
          </w:p>
        </w:tc>
        <w:tc>
          <w:tcPr>
            <w:tcW w:w="387" w:type="dxa"/>
            <w:tcBorders>
              <w:left w:val="single" w:sz="4" w:space="0" w:color="auto"/>
              <w:bottom w:val="single" w:sz="4" w:space="0" w:color="auto"/>
              <w:right w:val="single" w:sz="4"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5</w:t>
            </w:r>
          </w:p>
        </w:tc>
        <w:tc>
          <w:tcPr>
            <w:tcW w:w="414" w:type="dxa"/>
            <w:tcBorders>
              <w:left w:val="single" w:sz="4" w:space="0" w:color="auto"/>
              <w:bottom w:val="single" w:sz="4" w:space="0" w:color="auto"/>
              <w:right w:val="single" w:sz="4"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4</w:t>
            </w:r>
          </w:p>
        </w:tc>
        <w:tc>
          <w:tcPr>
            <w:tcW w:w="387" w:type="dxa"/>
            <w:tcBorders>
              <w:left w:val="single" w:sz="4" w:space="0" w:color="auto"/>
              <w:bottom w:val="single" w:sz="4" w:space="0" w:color="auto"/>
              <w:right w:val="single" w:sz="4"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3</w:t>
            </w:r>
          </w:p>
        </w:tc>
        <w:tc>
          <w:tcPr>
            <w:tcW w:w="441" w:type="dxa"/>
            <w:tcBorders>
              <w:left w:val="single" w:sz="4" w:space="0" w:color="auto"/>
              <w:bottom w:val="single" w:sz="4" w:space="0" w:color="auto"/>
              <w:right w:val="single" w:sz="4"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3</w:t>
            </w:r>
          </w:p>
        </w:tc>
        <w:tc>
          <w:tcPr>
            <w:tcW w:w="387" w:type="dxa"/>
            <w:tcBorders>
              <w:left w:val="single" w:sz="4" w:space="0" w:color="auto"/>
              <w:bottom w:val="single" w:sz="4" w:space="0" w:color="auto"/>
              <w:right w:val="single" w:sz="4"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2</w:t>
            </w:r>
          </w:p>
        </w:tc>
        <w:tc>
          <w:tcPr>
            <w:tcW w:w="405" w:type="dxa"/>
            <w:tcBorders>
              <w:left w:val="single" w:sz="4" w:space="0" w:color="auto"/>
              <w:bottom w:val="single" w:sz="4" w:space="0" w:color="auto"/>
              <w:right w:val="single" w:sz="18"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4</w:t>
            </w:r>
          </w:p>
        </w:tc>
        <w:tc>
          <w:tcPr>
            <w:tcW w:w="396" w:type="dxa"/>
            <w:tcBorders>
              <w:bottom w:val="single" w:sz="4" w:space="0" w:color="auto"/>
              <w:right w:val="single" w:sz="18"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2</w:t>
            </w:r>
          </w:p>
        </w:tc>
        <w:tc>
          <w:tcPr>
            <w:tcW w:w="585" w:type="dxa"/>
            <w:tcBorders>
              <w:left w:val="single" w:sz="18" w:space="0" w:color="auto"/>
              <w:bottom w:val="single" w:sz="4" w:space="0" w:color="auto"/>
            </w:tcBorders>
            <w:shd w:val="clear" w:color="auto" w:fill="FABF8F"/>
            <w:vAlign w:val="center"/>
          </w:tcPr>
          <w:p w:rsidR="00365DF7" w:rsidRPr="000A1C8E" w:rsidRDefault="00365DF7" w:rsidP="004479EA">
            <w:pPr>
              <w:pStyle w:val="TableText"/>
              <w:rPr>
                <w:rFonts w:ascii="Tahoma" w:hAnsi="Tahoma" w:cs="Tahoma"/>
                <w:sz w:val="13"/>
              </w:rPr>
            </w:pPr>
            <w:r w:rsidRPr="000A1C8E">
              <w:rPr>
                <w:rFonts w:ascii="Tahoma" w:hAnsi="Tahoma" w:cs="Tahoma"/>
                <w:sz w:val="13"/>
              </w:rPr>
              <w:t>1</w:t>
            </w:r>
          </w:p>
        </w:tc>
        <w:tc>
          <w:tcPr>
            <w:tcW w:w="432" w:type="dxa"/>
            <w:tcBorders>
              <w:bottom w:val="single" w:sz="4" w:space="0" w:color="auto"/>
              <w:right w:val="single" w:sz="18" w:space="0" w:color="auto"/>
            </w:tcBorders>
            <w:shd w:val="clear" w:color="auto" w:fill="FABF8F"/>
            <w:vAlign w:val="center"/>
          </w:tcPr>
          <w:p w:rsidR="00365DF7" w:rsidRPr="000A1C8E" w:rsidRDefault="00365DF7" w:rsidP="008925CF">
            <w:pPr>
              <w:pStyle w:val="TableText"/>
              <w:rPr>
                <w:rFonts w:ascii="Tahoma" w:hAnsi="Tahoma" w:cs="Tahoma"/>
                <w:sz w:val="13"/>
              </w:rPr>
            </w:pPr>
            <w:r w:rsidRPr="000A1C8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0A1C8E" w:rsidRDefault="00365DF7">
            <w:pPr>
              <w:pStyle w:val="TableText"/>
              <w:rPr>
                <w:rFonts w:ascii="Tahoma" w:hAnsi="Tahoma" w:cs="Tahoma"/>
                <w:sz w:val="13"/>
              </w:rPr>
            </w:pPr>
            <w:r w:rsidRPr="000A1C8E">
              <w:rPr>
                <w:rFonts w:ascii="Tahoma" w:hAnsi="Tahoma" w:cs="Tahoma"/>
                <w:sz w:val="13"/>
              </w:rPr>
              <w:t>P</w:t>
            </w:r>
          </w:p>
        </w:tc>
        <w:tc>
          <w:tcPr>
            <w:tcW w:w="639" w:type="dxa"/>
            <w:tcBorders>
              <w:bottom w:val="single" w:sz="4" w:space="0" w:color="auto"/>
            </w:tcBorders>
            <w:shd w:val="clear" w:color="auto" w:fill="FABF8F"/>
          </w:tcPr>
          <w:p w:rsidR="00365DF7" w:rsidRPr="000A1C8E" w:rsidRDefault="00365DF7">
            <w:pPr>
              <w:pStyle w:val="TableText"/>
              <w:rPr>
                <w:rFonts w:ascii="Tahoma" w:hAnsi="Tahoma" w:cs="Tahoma"/>
                <w:sz w:val="13"/>
              </w:rPr>
            </w:pPr>
          </w:p>
        </w:tc>
        <w:tc>
          <w:tcPr>
            <w:tcW w:w="621" w:type="dxa"/>
            <w:tcBorders>
              <w:bottom w:val="single" w:sz="4" w:space="0" w:color="auto"/>
            </w:tcBorders>
            <w:shd w:val="clear" w:color="auto" w:fill="FABF8F"/>
            <w:vAlign w:val="center"/>
          </w:tcPr>
          <w:p w:rsidR="00365DF7" w:rsidRPr="000A1C8E" w:rsidRDefault="00365DF7">
            <w:pPr>
              <w:pStyle w:val="TableText"/>
              <w:rPr>
                <w:rFonts w:ascii="Tahoma" w:hAnsi="Tahoma" w:cs="Tahoma"/>
                <w:sz w:val="13"/>
              </w:rPr>
            </w:pPr>
          </w:p>
        </w:tc>
      </w:tr>
      <w:tr w:rsidR="00C0392A" w:rsidRPr="000A1C8E" w:rsidTr="00C0392A">
        <w:trPr>
          <w:trHeight w:val="145"/>
        </w:trPr>
        <w:tc>
          <w:tcPr>
            <w:tcW w:w="2610" w:type="dxa"/>
            <w:tcBorders>
              <w:bottom w:val="single" w:sz="4" w:space="0" w:color="auto"/>
            </w:tcBorders>
            <w:shd w:val="clear" w:color="auto" w:fill="auto"/>
          </w:tcPr>
          <w:p w:rsidR="00365DF7" w:rsidRPr="000A1C8E" w:rsidRDefault="003234A7" w:rsidP="00F70479">
            <w:pPr>
              <w:pStyle w:val="ProductNames"/>
              <w:rPr>
                <w:rFonts w:ascii="Tahoma" w:hAnsi="Tahoma" w:cs="Tahoma"/>
                <w:sz w:val="14"/>
              </w:rPr>
            </w:pPr>
            <w:bookmarkStart w:id="119" w:name="_Toc361829003"/>
            <w:r w:rsidRPr="000A1C8E">
              <w:rPr>
                <w:rFonts w:ascii="Tahoma" w:hAnsi="Tahoma" w:cs="Tahoma"/>
                <w:sz w:val="14"/>
              </w:rPr>
              <w:t>Windows</w:t>
            </w:r>
            <w:r w:rsidR="00C83286" w:rsidRPr="000A1C8E">
              <w:rPr>
                <w:rFonts w:ascii="Tahoma" w:hAnsi="Tahoma" w:cs="Tahoma"/>
                <w:sz w:val="14"/>
                <w:vertAlign w:val="superscript"/>
              </w:rPr>
              <w:t>®</w:t>
            </w:r>
            <w:r w:rsidRPr="000A1C8E">
              <w:rPr>
                <w:rFonts w:ascii="Tahoma" w:hAnsi="Tahoma" w:cs="Tahoma"/>
                <w:sz w:val="14"/>
              </w:rPr>
              <w:t xml:space="preserve"> Embedded 8 Industry Pro Sideloading</w:t>
            </w:r>
            <w:bookmarkEnd w:id="119"/>
          </w:p>
        </w:tc>
        <w:tc>
          <w:tcPr>
            <w:tcW w:w="360" w:type="dxa"/>
            <w:tcBorders>
              <w:bottom w:val="single" w:sz="4" w:space="0" w:color="auto"/>
            </w:tcBorders>
            <w:shd w:val="clear" w:color="auto" w:fill="auto"/>
            <w:vAlign w:val="center"/>
          </w:tcPr>
          <w:p w:rsidR="00365DF7" w:rsidRPr="00DC1AC3" w:rsidRDefault="006C57E7" w:rsidP="003D5C46">
            <w:pPr>
              <w:pStyle w:val="TableText"/>
              <w:widowControl w:val="0"/>
              <w:rPr>
                <w:rFonts w:cs="Tahoma"/>
                <w:b/>
                <w:sz w:val="13"/>
                <w:szCs w:val="13"/>
              </w:rPr>
            </w:pPr>
            <w:hyperlink w:anchor="_27_Windows_Embedded" w:history="1">
              <w:r w:rsidR="003D47E7" w:rsidRPr="00DC1AC3">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0A1C8E" w:rsidRDefault="00365DF7" w:rsidP="004D199A">
            <w:pPr>
              <w:pStyle w:val="TableText"/>
              <w:rPr>
                <w:rFonts w:ascii="Tahoma" w:hAnsi="Tahoma" w:cs="Tahoma"/>
                <w:sz w:val="13"/>
              </w:rPr>
            </w:pPr>
            <w:r w:rsidRPr="000A1C8E">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0A1C8E" w:rsidRDefault="00365DF7">
            <w:pPr>
              <w:pStyle w:val="TableText"/>
              <w:rPr>
                <w:rFonts w:ascii="Tahoma" w:hAnsi="Tahoma" w:cs="Tahoma"/>
                <w:sz w:val="13"/>
              </w:rPr>
            </w:pPr>
          </w:p>
        </w:tc>
        <w:tc>
          <w:tcPr>
            <w:tcW w:w="369" w:type="dxa"/>
            <w:tcBorders>
              <w:left w:val="single" w:sz="18" w:space="0" w:color="auto"/>
              <w:bottom w:val="single" w:sz="4" w:space="0" w:color="auto"/>
              <w:right w:val="single" w:sz="4" w:space="0" w:color="auto"/>
            </w:tcBorders>
            <w:shd w:val="clear" w:color="auto" w:fill="auto"/>
            <w:vAlign w:val="center"/>
          </w:tcPr>
          <w:p w:rsidR="00365DF7" w:rsidRPr="000A1C8E" w:rsidRDefault="00365DF7">
            <w:pPr>
              <w:pStyle w:val="TableText"/>
              <w:rPr>
                <w:rFonts w:ascii="Tahoma" w:hAnsi="Tahoma" w:cs="Tahoma"/>
                <w:sz w:val="13"/>
              </w:rPr>
            </w:pPr>
            <w:r w:rsidRPr="000A1C8E">
              <w:rPr>
                <w:rFonts w:ascii="Tahoma" w:hAnsi="Tahoma" w:cs="Tahoma"/>
                <w:sz w:val="13"/>
              </w:rPr>
              <w:t>2</w:t>
            </w:r>
          </w:p>
        </w:tc>
        <w:tc>
          <w:tcPr>
            <w:tcW w:w="387" w:type="dxa"/>
            <w:tcBorders>
              <w:left w:val="single" w:sz="4" w:space="0" w:color="auto"/>
              <w:bottom w:val="single" w:sz="4" w:space="0" w:color="auto"/>
              <w:right w:val="single" w:sz="4" w:space="0" w:color="auto"/>
            </w:tcBorders>
            <w:shd w:val="clear" w:color="auto" w:fill="auto"/>
            <w:vAlign w:val="center"/>
          </w:tcPr>
          <w:p w:rsidR="00365DF7" w:rsidRPr="000A1C8E" w:rsidRDefault="00365DF7">
            <w:pPr>
              <w:pStyle w:val="TableText"/>
              <w:rPr>
                <w:rFonts w:ascii="Tahoma" w:hAnsi="Tahoma" w:cs="Tahoma"/>
                <w:sz w:val="13"/>
              </w:rPr>
            </w:pPr>
          </w:p>
        </w:tc>
        <w:tc>
          <w:tcPr>
            <w:tcW w:w="414" w:type="dxa"/>
            <w:tcBorders>
              <w:left w:val="single" w:sz="4" w:space="0" w:color="auto"/>
              <w:bottom w:val="single" w:sz="4" w:space="0" w:color="auto"/>
              <w:right w:val="single" w:sz="4" w:space="0" w:color="auto"/>
            </w:tcBorders>
            <w:shd w:val="clear" w:color="auto" w:fill="auto"/>
            <w:vAlign w:val="center"/>
          </w:tcPr>
          <w:p w:rsidR="00365DF7" w:rsidRPr="000A1C8E" w:rsidRDefault="00365DF7">
            <w:pPr>
              <w:pStyle w:val="TableText"/>
              <w:rPr>
                <w:rFonts w:ascii="Tahoma" w:hAnsi="Tahoma" w:cs="Tahoma"/>
                <w:sz w:val="13"/>
              </w:rPr>
            </w:pPr>
          </w:p>
        </w:tc>
        <w:tc>
          <w:tcPr>
            <w:tcW w:w="387" w:type="dxa"/>
            <w:tcBorders>
              <w:left w:val="single" w:sz="4" w:space="0" w:color="auto"/>
              <w:bottom w:val="single" w:sz="4" w:space="0" w:color="auto"/>
              <w:right w:val="single" w:sz="4" w:space="0" w:color="auto"/>
            </w:tcBorders>
            <w:shd w:val="clear" w:color="auto" w:fill="auto"/>
            <w:vAlign w:val="center"/>
          </w:tcPr>
          <w:p w:rsidR="00365DF7" w:rsidRPr="000A1C8E" w:rsidRDefault="00365DF7">
            <w:pPr>
              <w:pStyle w:val="TableText"/>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auto"/>
            <w:vAlign w:val="center"/>
          </w:tcPr>
          <w:p w:rsidR="00365DF7" w:rsidRPr="000A1C8E" w:rsidRDefault="00365DF7">
            <w:pPr>
              <w:pStyle w:val="TableText"/>
              <w:rPr>
                <w:rFonts w:ascii="Tahoma" w:hAnsi="Tahoma" w:cs="Tahoma"/>
                <w:sz w:val="13"/>
              </w:rPr>
            </w:pPr>
          </w:p>
        </w:tc>
        <w:tc>
          <w:tcPr>
            <w:tcW w:w="387" w:type="dxa"/>
            <w:tcBorders>
              <w:left w:val="single" w:sz="4" w:space="0" w:color="auto"/>
              <w:bottom w:val="single" w:sz="4" w:space="0" w:color="auto"/>
              <w:right w:val="single" w:sz="4" w:space="0" w:color="auto"/>
            </w:tcBorders>
            <w:shd w:val="clear" w:color="auto" w:fill="auto"/>
            <w:vAlign w:val="center"/>
          </w:tcPr>
          <w:p w:rsidR="00365DF7" w:rsidRPr="000A1C8E" w:rsidRDefault="00365DF7">
            <w:pPr>
              <w:pStyle w:val="TableText"/>
              <w:rPr>
                <w:rFonts w:ascii="Tahoma" w:hAnsi="Tahoma" w:cs="Tahoma"/>
                <w:sz w:val="13"/>
              </w:rPr>
            </w:pPr>
          </w:p>
        </w:tc>
        <w:tc>
          <w:tcPr>
            <w:tcW w:w="405" w:type="dxa"/>
            <w:tcBorders>
              <w:left w:val="single" w:sz="4" w:space="0" w:color="auto"/>
              <w:bottom w:val="single" w:sz="4" w:space="0" w:color="auto"/>
              <w:right w:val="single" w:sz="18" w:space="0" w:color="auto"/>
            </w:tcBorders>
            <w:shd w:val="clear" w:color="auto" w:fill="auto"/>
            <w:vAlign w:val="center"/>
          </w:tcPr>
          <w:p w:rsidR="00365DF7" w:rsidRPr="000A1C8E" w:rsidRDefault="00365DF7">
            <w:pPr>
              <w:pStyle w:val="TableText"/>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365DF7" w:rsidRPr="000A1C8E" w:rsidRDefault="00365DF7">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365DF7" w:rsidRPr="000A1C8E" w:rsidRDefault="00365DF7">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365DF7" w:rsidRPr="000A1C8E" w:rsidRDefault="00365DF7">
            <w:pPr>
              <w:pStyle w:val="TableText"/>
              <w:rPr>
                <w:rFonts w:ascii="Tahoma" w:hAnsi="Tahoma" w:cs="Tahoma"/>
                <w:sz w:val="13"/>
              </w:rPr>
            </w:pPr>
          </w:p>
        </w:tc>
        <w:tc>
          <w:tcPr>
            <w:tcW w:w="585" w:type="dxa"/>
            <w:tcBorders>
              <w:left w:val="single" w:sz="18" w:space="0" w:color="auto"/>
              <w:bottom w:val="single" w:sz="4" w:space="0" w:color="auto"/>
            </w:tcBorders>
            <w:shd w:val="clear" w:color="auto" w:fill="auto"/>
            <w:vAlign w:val="center"/>
          </w:tcPr>
          <w:p w:rsidR="00365DF7" w:rsidRPr="000A1C8E" w:rsidRDefault="00365DF7" w:rsidP="004479EA">
            <w:pPr>
              <w:pStyle w:val="TableText"/>
              <w:rPr>
                <w:rFonts w:ascii="Tahoma" w:hAnsi="Tahoma" w:cs="Tahoma"/>
                <w:sz w:val="13"/>
              </w:rPr>
            </w:pPr>
          </w:p>
        </w:tc>
        <w:tc>
          <w:tcPr>
            <w:tcW w:w="432" w:type="dxa"/>
            <w:tcBorders>
              <w:bottom w:val="single" w:sz="4" w:space="0" w:color="auto"/>
              <w:right w:val="single" w:sz="18" w:space="0" w:color="auto"/>
            </w:tcBorders>
            <w:shd w:val="clear" w:color="auto" w:fill="auto"/>
            <w:vAlign w:val="center"/>
          </w:tcPr>
          <w:p w:rsidR="00365DF7" w:rsidRPr="000A1C8E"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0A1C8E" w:rsidRDefault="00365DF7">
            <w:pPr>
              <w:pStyle w:val="TableText"/>
              <w:rPr>
                <w:rFonts w:ascii="Tahoma" w:hAnsi="Tahoma" w:cs="Tahoma"/>
                <w:sz w:val="13"/>
              </w:rPr>
            </w:pPr>
          </w:p>
        </w:tc>
        <w:tc>
          <w:tcPr>
            <w:tcW w:w="639" w:type="dxa"/>
            <w:tcBorders>
              <w:bottom w:val="single" w:sz="4" w:space="0" w:color="auto"/>
            </w:tcBorders>
            <w:shd w:val="clear" w:color="auto" w:fill="auto"/>
          </w:tcPr>
          <w:p w:rsidR="00365DF7" w:rsidRPr="000A1C8E" w:rsidRDefault="00365DF7">
            <w:pPr>
              <w:pStyle w:val="TableText"/>
              <w:rPr>
                <w:rFonts w:ascii="Tahoma" w:hAnsi="Tahoma" w:cs="Tahoma"/>
                <w:sz w:val="13"/>
              </w:rPr>
            </w:pPr>
          </w:p>
        </w:tc>
        <w:tc>
          <w:tcPr>
            <w:tcW w:w="621" w:type="dxa"/>
            <w:tcBorders>
              <w:bottom w:val="single" w:sz="4" w:space="0" w:color="auto"/>
            </w:tcBorders>
            <w:shd w:val="clear" w:color="auto" w:fill="auto"/>
            <w:vAlign w:val="center"/>
          </w:tcPr>
          <w:p w:rsidR="00365DF7" w:rsidRPr="000A1C8E" w:rsidRDefault="00365DF7">
            <w:pPr>
              <w:pStyle w:val="TableText"/>
              <w:rPr>
                <w:rFonts w:ascii="Tahoma" w:hAnsi="Tahoma" w:cs="Tahoma"/>
                <w:sz w:val="13"/>
              </w:rPr>
            </w:pPr>
          </w:p>
        </w:tc>
      </w:tr>
      <w:tr w:rsidR="00C0392A" w:rsidRPr="000A1C8E" w:rsidTr="00C0392A">
        <w:trPr>
          <w:trHeight w:val="145"/>
        </w:trPr>
        <w:tc>
          <w:tcPr>
            <w:tcW w:w="2610" w:type="dxa"/>
            <w:tcBorders>
              <w:bottom w:val="single" w:sz="4" w:space="0" w:color="auto"/>
            </w:tcBorders>
            <w:shd w:val="clear" w:color="auto" w:fill="FABF8F"/>
          </w:tcPr>
          <w:p w:rsidR="00637914" w:rsidRPr="000A1C8E" w:rsidRDefault="00637914" w:rsidP="003234A7">
            <w:pPr>
              <w:pStyle w:val="ProductNames"/>
              <w:rPr>
                <w:rFonts w:ascii="Tahoma" w:hAnsi="Tahoma" w:cs="Tahoma"/>
                <w:sz w:val="14"/>
              </w:rPr>
            </w:pPr>
            <w:bookmarkStart w:id="120" w:name="_Toc361829004"/>
            <w:r w:rsidRPr="000A1C8E">
              <w:rPr>
                <w:rFonts w:ascii="Tahoma" w:hAnsi="Tahoma" w:cs="Tahoma"/>
                <w:sz w:val="14"/>
              </w:rPr>
              <w:t>Windows</w:t>
            </w:r>
            <w:r w:rsidR="00C83286" w:rsidRPr="000A1C8E">
              <w:rPr>
                <w:rFonts w:ascii="Tahoma" w:hAnsi="Tahoma" w:cs="Tahoma"/>
                <w:sz w:val="14"/>
                <w:vertAlign w:val="superscript"/>
              </w:rPr>
              <w:t>®</w:t>
            </w:r>
            <w:r w:rsidRPr="000A1C8E">
              <w:rPr>
                <w:rFonts w:ascii="Tahoma" w:hAnsi="Tahoma" w:cs="Tahoma"/>
                <w:sz w:val="14"/>
              </w:rPr>
              <w:t xml:space="preserve"> Embedded 8 Standard Enterprise Kit</w:t>
            </w:r>
            <w:bookmarkEnd w:id="120"/>
          </w:p>
        </w:tc>
        <w:tc>
          <w:tcPr>
            <w:tcW w:w="360" w:type="dxa"/>
            <w:tcBorders>
              <w:bottom w:val="single" w:sz="4" w:space="0" w:color="auto"/>
            </w:tcBorders>
            <w:shd w:val="clear" w:color="auto" w:fill="FABF8F"/>
            <w:vAlign w:val="center"/>
          </w:tcPr>
          <w:p w:rsidR="00637914" w:rsidRPr="00DC1AC3" w:rsidRDefault="006C57E7" w:rsidP="003D5C46">
            <w:pPr>
              <w:pStyle w:val="TableText"/>
              <w:widowControl w:val="0"/>
              <w:rPr>
                <w:rFonts w:cs="Tahoma"/>
                <w:b/>
                <w:sz w:val="13"/>
                <w:szCs w:val="13"/>
              </w:rPr>
            </w:pPr>
            <w:hyperlink w:anchor="_25_Windows_Embedded" w:history="1">
              <w:r w:rsidR="003D47E7" w:rsidRPr="00DC1AC3">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0A1C8E" w:rsidRDefault="00637914" w:rsidP="004D199A">
            <w:pPr>
              <w:pStyle w:val="TableText"/>
              <w:rPr>
                <w:rFonts w:ascii="Tahoma" w:hAnsi="Tahoma" w:cs="Tahoma"/>
                <w:sz w:val="13"/>
              </w:rPr>
            </w:pPr>
            <w:r w:rsidRPr="000A1C8E">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0A1C8E" w:rsidRDefault="00637914">
            <w:pPr>
              <w:pStyle w:val="TableText"/>
              <w:rPr>
                <w:rFonts w:ascii="Tahoma" w:hAnsi="Tahoma" w:cs="Tahoma"/>
                <w:sz w:val="13"/>
              </w:rPr>
            </w:pPr>
          </w:p>
        </w:tc>
        <w:tc>
          <w:tcPr>
            <w:tcW w:w="369" w:type="dxa"/>
            <w:tcBorders>
              <w:left w:val="single" w:sz="18" w:space="0" w:color="auto"/>
              <w:bottom w:val="single" w:sz="4" w:space="0" w:color="auto"/>
              <w:right w:val="single" w:sz="4" w:space="0" w:color="auto"/>
            </w:tcBorders>
            <w:shd w:val="clear" w:color="auto" w:fill="FABF8F"/>
            <w:vAlign w:val="center"/>
          </w:tcPr>
          <w:p w:rsidR="00637914" w:rsidRPr="000A1C8E" w:rsidRDefault="00637914">
            <w:pPr>
              <w:pStyle w:val="TableText"/>
              <w:rPr>
                <w:rFonts w:ascii="Tahoma" w:hAnsi="Tahoma" w:cs="Tahoma"/>
                <w:sz w:val="13"/>
              </w:rPr>
            </w:pPr>
            <w:r w:rsidRPr="000A1C8E">
              <w:rPr>
                <w:rFonts w:ascii="Tahoma" w:hAnsi="Tahoma" w:cs="Tahoma"/>
                <w:sz w:val="13"/>
              </w:rPr>
              <w:t>2</w:t>
            </w:r>
          </w:p>
        </w:tc>
        <w:tc>
          <w:tcPr>
            <w:tcW w:w="387" w:type="dxa"/>
            <w:tcBorders>
              <w:left w:val="single" w:sz="4" w:space="0" w:color="auto"/>
              <w:bottom w:val="single" w:sz="4" w:space="0" w:color="auto"/>
              <w:right w:val="single" w:sz="4" w:space="0" w:color="auto"/>
            </w:tcBorders>
            <w:shd w:val="clear" w:color="auto" w:fill="FABF8F"/>
            <w:vAlign w:val="center"/>
          </w:tcPr>
          <w:p w:rsidR="00637914" w:rsidRPr="000A1C8E" w:rsidRDefault="00637914">
            <w:pPr>
              <w:pStyle w:val="TableText"/>
              <w:rPr>
                <w:rFonts w:ascii="Tahoma" w:hAnsi="Tahoma" w:cs="Tahoma"/>
                <w:sz w:val="13"/>
              </w:rPr>
            </w:pPr>
          </w:p>
        </w:tc>
        <w:tc>
          <w:tcPr>
            <w:tcW w:w="414" w:type="dxa"/>
            <w:tcBorders>
              <w:left w:val="single" w:sz="4" w:space="0" w:color="auto"/>
              <w:bottom w:val="single" w:sz="4" w:space="0" w:color="auto"/>
              <w:right w:val="single" w:sz="4" w:space="0" w:color="auto"/>
            </w:tcBorders>
            <w:shd w:val="clear" w:color="auto" w:fill="FABF8F"/>
            <w:vAlign w:val="center"/>
          </w:tcPr>
          <w:p w:rsidR="00637914" w:rsidRPr="000A1C8E" w:rsidRDefault="00637914">
            <w:pPr>
              <w:pStyle w:val="TableText"/>
              <w:rPr>
                <w:rFonts w:ascii="Tahoma" w:hAnsi="Tahoma" w:cs="Tahoma"/>
                <w:sz w:val="13"/>
              </w:rPr>
            </w:pPr>
          </w:p>
        </w:tc>
        <w:tc>
          <w:tcPr>
            <w:tcW w:w="387" w:type="dxa"/>
            <w:tcBorders>
              <w:left w:val="single" w:sz="4" w:space="0" w:color="auto"/>
              <w:bottom w:val="single" w:sz="4" w:space="0" w:color="auto"/>
              <w:right w:val="single" w:sz="4" w:space="0" w:color="auto"/>
            </w:tcBorders>
            <w:shd w:val="clear" w:color="auto" w:fill="FABF8F"/>
            <w:vAlign w:val="center"/>
          </w:tcPr>
          <w:p w:rsidR="00637914" w:rsidRPr="000A1C8E" w:rsidRDefault="00637914">
            <w:pPr>
              <w:pStyle w:val="TableText"/>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FABF8F"/>
            <w:vAlign w:val="center"/>
          </w:tcPr>
          <w:p w:rsidR="00637914" w:rsidRPr="000A1C8E" w:rsidRDefault="00637914">
            <w:pPr>
              <w:pStyle w:val="TableText"/>
              <w:rPr>
                <w:rFonts w:ascii="Tahoma" w:hAnsi="Tahoma" w:cs="Tahoma"/>
                <w:sz w:val="13"/>
              </w:rPr>
            </w:pPr>
          </w:p>
        </w:tc>
        <w:tc>
          <w:tcPr>
            <w:tcW w:w="387" w:type="dxa"/>
            <w:tcBorders>
              <w:left w:val="single" w:sz="4" w:space="0" w:color="auto"/>
              <w:bottom w:val="single" w:sz="4" w:space="0" w:color="auto"/>
              <w:right w:val="single" w:sz="4" w:space="0" w:color="auto"/>
            </w:tcBorders>
            <w:shd w:val="clear" w:color="auto" w:fill="FABF8F"/>
            <w:vAlign w:val="center"/>
          </w:tcPr>
          <w:p w:rsidR="00637914" w:rsidRPr="000A1C8E" w:rsidRDefault="00637914">
            <w:pPr>
              <w:pStyle w:val="TableText"/>
              <w:rPr>
                <w:rFonts w:ascii="Tahoma" w:hAnsi="Tahoma" w:cs="Tahoma"/>
                <w:sz w:val="13"/>
              </w:rPr>
            </w:pPr>
          </w:p>
        </w:tc>
        <w:tc>
          <w:tcPr>
            <w:tcW w:w="405" w:type="dxa"/>
            <w:tcBorders>
              <w:left w:val="single" w:sz="4" w:space="0" w:color="auto"/>
              <w:bottom w:val="single" w:sz="4" w:space="0" w:color="auto"/>
              <w:right w:val="single" w:sz="18" w:space="0" w:color="auto"/>
            </w:tcBorders>
            <w:shd w:val="clear" w:color="auto" w:fill="FABF8F"/>
            <w:vAlign w:val="center"/>
          </w:tcPr>
          <w:p w:rsidR="00637914" w:rsidRPr="000A1C8E" w:rsidRDefault="00637914">
            <w:pPr>
              <w:pStyle w:val="TableText"/>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637914" w:rsidRPr="000A1C8E" w:rsidRDefault="00637914">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637914" w:rsidRPr="000A1C8E" w:rsidRDefault="0063791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637914" w:rsidRPr="000A1C8E" w:rsidRDefault="00637914">
            <w:pPr>
              <w:pStyle w:val="TableText"/>
              <w:rPr>
                <w:rFonts w:ascii="Tahoma" w:hAnsi="Tahoma" w:cs="Tahoma"/>
                <w:sz w:val="13"/>
              </w:rPr>
            </w:pPr>
          </w:p>
        </w:tc>
        <w:tc>
          <w:tcPr>
            <w:tcW w:w="585" w:type="dxa"/>
            <w:tcBorders>
              <w:left w:val="single" w:sz="18" w:space="0" w:color="auto"/>
              <w:bottom w:val="single" w:sz="4" w:space="0" w:color="auto"/>
            </w:tcBorders>
            <w:shd w:val="clear" w:color="auto" w:fill="FABF8F"/>
            <w:vAlign w:val="center"/>
          </w:tcPr>
          <w:p w:rsidR="00637914" w:rsidRPr="000A1C8E" w:rsidRDefault="00637914" w:rsidP="004479EA">
            <w:pPr>
              <w:pStyle w:val="TableText"/>
              <w:rPr>
                <w:rFonts w:ascii="Tahoma" w:hAnsi="Tahoma" w:cs="Tahoma"/>
                <w:sz w:val="13"/>
              </w:rPr>
            </w:pPr>
          </w:p>
        </w:tc>
        <w:tc>
          <w:tcPr>
            <w:tcW w:w="432" w:type="dxa"/>
            <w:tcBorders>
              <w:bottom w:val="single" w:sz="4" w:space="0" w:color="auto"/>
              <w:right w:val="single" w:sz="18" w:space="0" w:color="auto"/>
            </w:tcBorders>
            <w:shd w:val="clear" w:color="auto" w:fill="FABF8F"/>
            <w:vAlign w:val="center"/>
          </w:tcPr>
          <w:p w:rsidR="00637914" w:rsidRPr="000A1C8E"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0A1C8E" w:rsidRDefault="00637914">
            <w:pPr>
              <w:pStyle w:val="TableText"/>
              <w:rPr>
                <w:rFonts w:ascii="Tahoma" w:hAnsi="Tahoma" w:cs="Tahoma"/>
                <w:sz w:val="13"/>
              </w:rPr>
            </w:pPr>
          </w:p>
        </w:tc>
        <w:tc>
          <w:tcPr>
            <w:tcW w:w="639" w:type="dxa"/>
            <w:tcBorders>
              <w:bottom w:val="single" w:sz="4" w:space="0" w:color="auto"/>
            </w:tcBorders>
            <w:shd w:val="clear" w:color="auto" w:fill="FABF8F"/>
          </w:tcPr>
          <w:p w:rsidR="00637914" w:rsidRPr="000A1C8E" w:rsidRDefault="00637914">
            <w:pPr>
              <w:pStyle w:val="TableText"/>
              <w:rPr>
                <w:rFonts w:ascii="Tahoma" w:hAnsi="Tahoma" w:cs="Tahoma"/>
                <w:sz w:val="13"/>
              </w:rPr>
            </w:pPr>
          </w:p>
        </w:tc>
        <w:tc>
          <w:tcPr>
            <w:tcW w:w="621" w:type="dxa"/>
            <w:tcBorders>
              <w:bottom w:val="single" w:sz="4" w:space="0" w:color="auto"/>
            </w:tcBorders>
            <w:shd w:val="clear" w:color="auto" w:fill="FABF8F"/>
            <w:vAlign w:val="center"/>
          </w:tcPr>
          <w:p w:rsidR="00637914" w:rsidRPr="000A1C8E" w:rsidRDefault="00637914">
            <w:pPr>
              <w:pStyle w:val="TableText"/>
              <w:rPr>
                <w:rFonts w:ascii="Tahoma" w:hAnsi="Tahoma" w:cs="Tahoma"/>
                <w:sz w:val="13"/>
              </w:rPr>
            </w:pPr>
          </w:p>
        </w:tc>
      </w:tr>
      <w:tr w:rsidR="00C0392A" w:rsidRPr="000A1C8E" w:rsidTr="00C0392A">
        <w:trPr>
          <w:trHeight w:val="145"/>
        </w:trPr>
        <w:tc>
          <w:tcPr>
            <w:tcW w:w="2610" w:type="dxa"/>
            <w:tcBorders>
              <w:bottom w:val="single" w:sz="4" w:space="0" w:color="auto"/>
            </w:tcBorders>
            <w:shd w:val="clear" w:color="auto" w:fill="auto"/>
          </w:tcPr>
          <w:p w:rsidR="001C61C9" w:rsidRPr="000A1C8E" w:rsidRDefault="001C61C9" w:rsidP="00F70479">
            <w:pPr>
              <w:pStyle w:val="ProductNames"/>
              <w:rPr>
                <w:rFonts w:ascii="Tahoma" w:hAnsi="Tahoma" w:cs="Tahoma"/>
                <w:sz w:val="14"/>
              </w:rPr>
            </w:pPr>
            <w:bookmarkStart w:id="121" w:name="_Toc361829005"/>
            <w:r w:rsidRPr="000A1C8E">
              <w:rPr>
                <w:rFonts w:ascii="Tahoma" w:hAnsi="Tahoma" w:cs="Tahoma"/>
                <w:sz w:val="14"/>
              </w:rPr>
              <w:t>DVD Playback Pack Windows Vista</w:t>
            </w:r>
            <w:bookmarkEnd w:id="121"/>
          </w:p>
        </w:tc>
        <w:tc>
          <w:tcPr>
            <w:tcW w:w="360" w:type="dxa"/>
            <w:tcBorders>
              <w:bottom w:val="single" w:sz="4" w:space="0" w:color="auto"/>
            </w:tcBorders>
            <w:shd w:val="clear" w:color="auto" w:fill="auto"/>
            <w:vAlign w:val="center"/>
          </w:tcPr>
          <w:p w:rsidR="001C61C9" w:rsidRPr="00DC1AC3" w:rsidRDefault="006C57E7" w:rsidP="009D43FB">
            <w:pPr>
              <w:pStyle w:val="TableText"/>
              <w:widowControl w:val="0"/>
              <w:rPr>
                <w:rFonts w:cs="Tahoma"/>
                <w:sz w:val="13"/>
                <w:szCs w:val="13"/>
              </w:rPr>
            </w:pPr>
            <w:hyperlink w:anchor="_30_Windows_Vista" w:history="1">
              <w:r w:rsidR="003D47E7" w:rsidRPr="00DC1AC3">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0A1C8E" w:rsidRDefault="001C61C9" w:rsidP="004D199A">
            <w:pPr>
              <w:pStyle w:val="TableText"/>
              <w:rPr>
                <w:rFonts w:ascii="Tahoma" w:hAnsi="Tahoma" w:cs="Tahoma"/>
                <w:sz w:val="13"/>
              </w:rPr>
            </w:pPr>
            <w:r w:rsidRPr="000A1C8E">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0A1C8E" w:rsidRDefault="001C61C9">
            <w:pPr>
              <w:pStyle w:val="TableText"/>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C61C9" w:rsidRPr="000A1C8E" w:rsidRDefault="001C61C9">
            <w:pPr>
              <w:pStyle w:val="TableText"/>
              <w:rPr>
                <w:rFonts w:ascii="Tahoma" w:hAnsi="Tahoma" w:cs="Tahoma"/>
                <w:sz w:val="13"/>
              </w:rPr>
            </w:pPr>
            <w:r w:rsidRPr="000A1C8E">
              <w:rPr>
                <w:rFonts w:ascii="Tahoma" w:hAnsi="Tahoma" w:cs="Tahoma"/>
                <w:sz w:val="13"/>
              </w:rPr>
              <w:t>2</w:t>
            </w:r>
          </w:p>
        </w:tc>
        <w:tc>
          <w:tcPr>
            <w:tcW w:w="387" w:type="dxa"/>
            <w:tcBorders>
              <w:bottom w:val="single" w:sz="4" w:space="0" w:color="auto"/>
            </w:tcBorders>
            <w:shd w:val="clear" w:color="auto" w:fill="auto"/>
            <w:vAlign w:val="center"/>
          </w:tcPr>
          <w:p w:rsidR="001C61C9" w:rsidRPr="000A1C8E" w:rsidRDefault="001C61C9">
            <w:pPr>
              <w:pStyle w:val="TableText"/>
              <w:rPr>
                <w:rFonts w:ascii="Tahoma" w:hAnsi="Tahoma" w:cs="Tahoma"/>
                <w:sz w:val="13"/>
              </w:rPr>
            </w:pPr>
          </w:p>
        </w:tc>
        <w:tc>
          <w:tcPr>
            <w:tcW w:w="414" w:type="dxa"/>
            <w:tcBorders>
              <w:bottom w:val="single" w:sz="4" w:space="0" w:color="auto"/>
            </w:tcBorders>
            <w:shd w:val="clear" w:color="auto" w:fill="auto"/>
            <w:vAlign w:val="center"/>
          </w:tcPr>
          <w:p w:rsidR="001C61C9" w:rsidRPr="000A1C8E" w:rsidRDefault="001C61C9">
            <w:pPr>
              <w:pStyle w:val="TableText"/>
              <w:rPr>
                <w:rFonts w:ascii="Tahoma" w:hAnsi="Tahoma" w:cs="Tahoma"/>
                <w:sz w:val="13"/>
              </w:rPr>
            </w:pPr>
          </w:p>
        </w:tc>
        <w:tc>
          <w:tcPr>
            <w:tcW w:w="387" w:type="dxa"/>
            <w:tcBorders>
              <w:bottom w:val="single" w:sz="4" w:space="0" w:color="auto"/>
            </w:tcBorders>
            <w:shd w:val="clear" w:color="auto" w:fill="auto"/>
            <w:vAlign w:val="center"/>
          </w:tcPr>
          <w:p w:rsidR="001C61C9" w:rsidRPr="000A1C8E" w:rsidRDefault="001C61C9">
            <w:pPr>
              <w:pStyle w:val="TableText"/>
              <w:rPr>
                <w:rFonts w:ascii="Tahoma" w:hAnsi="Tahoma" w:cs="Tahoma"/>
                <w:sz w:val="13"/>
              </w:rPr>
            </w:pPr>
          </w:p>
        </w:tc>
        <w:tc>
          <w:tcPr>
            <w:tcW w:w="441" w:type="dxa"/>
            <w:tcBorders>
              <w:bottom w:val="single" w:sz="4" w:space="0" w:color="auto"/>
            </w:tcBorders>
            <w:shd w:val="clear" w:color="auto" w:fill="auto"/>
            <w:vAlign w:val="center"/>
          </w:tcPr>
          <w:p w:rsidR="001C61C9" w:rsidRPr="000A1C8E" w:rsidRDefault="001C61C9">
            <w:pPr>
              <w:pStyle w:val="TableText"/>
              <w:rPr>
                <w:rFonts w:ascii="Tahoma" w:hAnsi="Tahoma" w:cs="Tahoma"/>
                <w:sz w:val="13"/>
              </w:rPr>
            </w:pPr>
          </w:p>
        </w:tc>
        <w:tc>
          <w:tcPr>
            <w:tcW w:w="387" w:type="dxa"/>
            <w:tcBorders>
              <w:bottom w:val="single" w:sz="4" w:space="0" w:color="auto"/>
            </w:tcBorders>
            <w:shd w:val="clear" w:color="auto" w:fill="auto"/>
            <w:vAlign w:val="center"/>
          </w:tcPr>
          <w:p w:rsidR="001C61C9" w:rsidRPr="000A1C8E" w:rsidRDefault="001C61C9">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rsidR="001C61C9" w:rsidRPr="000A1C8E" w:rsidRDefault="001C61C9">
            <w:pPr>
              <w:pStyle w:val="TableText"/>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1C61C9" w:rsidRPr="000A1C8E" w:rsidRDefault="001C61C9">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1C61C9" w:rsidRPr="000A1C8E" w:rsidRDefault="001C61C9">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C61C9" w:rsidRPr="000A1C8E" w:rsidRDefault="001C61C9">
            <w:pPr>
              <w:pStyle w:val="TableText"/>
              <w:rPr>
                <w:rFonts w:ascii="Tahoma" w:hAnsi="Tahoma" w:cs="Tahoma"/>
                <w:sz w:val="13"/>
              </w:rPr>
            </w:pPr>
          </w:p>
        </w:tc>
        <w:tc>
          <w:tcPr>
            <w:tcW w:w="585" w:type="dxa"/>
            <w:tcBorders>
              <w:left w:val="single" w:sz="18" w:space="0" w:color="auto"/>
              <w:bottom w:val="single" w:sz="4" w:space="0" w:color="auto"/>
            </w:tcBorders>
            <w:shd w:val="clear" w:color="auto" w:fill="auto"/>
            <w:vAlign w:val="center"/>
          </w:tcPr>
          <w:p w:rsidR="001C61C9" w:rsidRPr="000A1C8E" w:rsidRDefault="001C61C9">
            <w:pPr>
              <w:pStyle w:val="TableText"/>
              <w:rPr>
                <w:rFonts w:ascii="Tahoma" w:hAnsi="Tahoma" w:cs="Tahoma"/>
                <w:sz w:val="13"/>
              </w:rPr>
            </w:pPr>
          </w:p>
        </w:tc>
        <w:tc>
          <w:tcPr>
            <w:tcW w:w="432" w:type="dxa"/>
            <w:tcBorders>
              <w:bottom w:val="single" w:sz="4" w:space="0" w:color="auto"/>
              <w:right w:val="single" w:sz="18" w:space="0" w:color="auto"/>
            </w:tcBorders>
            <w:shd w:val="clear" w:color="auto" w:fill="auto"/>
            <w:vAlign w:val="center"/>
          </w:tcPr>
          <w:p w:rsidR="001C61C9" w:rsidRPr="000A1C8E"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0A1C8E" w:rsidRDefault="001C61C9">
            <w:pPr>
              <w:pStyle w:val="TableText"/>
              <w:rPr>
                <w:rFonts w:ascii="Tahoma" w:hAnsi="Tahoma" w:cs="Tahoma"/>
                <w:sz w:val="13"/>
              </w:rPr>
            </w:pPr>
          </w:p>
        </w:tc>
        <w:tc>
          <w:tcPr>
            <w:tcW w:w="639" w:type="dxa"/>
            <w:tcBorders>
              <w:bottom w:val="single" w:sz="4" w:space="0" w:color="auto"/>
            </w:tcBorders>
            <w:shd w:val="clear" w:color="auto" w:fill="auto"/>
          </w:tcPr>
          <w:p w:rsidR="001C61C9" w:rsidRPr="000A1C8E" w:rsidRDefault="001C61C9" w:rsidP="00A0765A">
            <w:pPr>
              <w:pStyle w:val="TableText"/>
              <w:spacing w:before="120"/>
              <w:rPr>
                <w:rFonts w:ascii="Tahoma" w:hAnsi="Tahoma" w:cs="Tahoma"/>
                <w:sz w:val="13"/>
              </w:rPr>
            </w:pPr>
          </w:p>
        </w:tc>
        <w:tc>
          <w:tcPr>
            <w:tcW w:w="621" w:type="dxa"/>
            <w:tcBorders>
              <w:bottom w:val="single" w:sz="4" w:space="0" w:color="auto"/>
            </w:tcBorders>
            <w:shd w:val="clear" w:color="auto" w:fill="auto"/>
            <w:vAlign w:val="center"/>
          </w:tcPr>
          <w:p w:rsidR="001C61C9" w:rsidRPr="000A1C8E" w:rsidRDefault="001C61C9">
            <w:pPr>
              <w:pStyle w:val="TableText"/>
              <w:rPr>
                <w:rFonts w:ascii="Tahoma" w:hAnsi="Tahoma" w:cs="Tahoma"/>
                <w:sz w:val="13"/>
              </w:rPr>
            </w:pPr>
          </w:p>
        </w:tc>
      </w:tr>
      <w:tr w:rsidR="00C0392A" w:rsidRPr="000A1C8E" w:rsidTr="00C0392A">
        <w:trPr>
          <w:trHeight w:val="145"/>
        </w:trPr>
        <w:tc>
          <w:tcPr>
            <w:tcW w:w="2610" w:type="dxa"/>
            <w:tcBorders>
              <w:bottom w:val="single" w:sz="4" w:space="0" w:color="auto"/>
            </w:tcBorders>
            <w:shd w:val="clear" w:color="auto" w:fill="FABF8F"/>
          </w:tcPr>
          <w:p w:rsidR="00B27742" w:rsidRPr="000A1C8E" w:rsidRDefault="00B27742" w:rsidP="00F70479">
            <w:pPr>
              <w:pStyle w:val="ProductNames"/>
              <w:rPr>
                <w:rFonts w:ascii="Tahoma" w:hAnsi="Tahoma" w:cs="Tahoma"/>
                <w:sz w:val="14"/>
              </w:rPr>
            </w:pPr>
            <w:bookmarkStart w:id="122" w:name="_Toc336337901"/>
            <w:bookmarkStart w:id="123" w:name="_Toc361829006"/>
            <w:r w:rsidRPr="000A1C8E">
              <w:rPr>
                <w:rFonts w:ascii="Tahoma" w:hAnsi="Tahoma" w:cs="Tahoma"/>
                <w:sz w:val="14"/>
              </w:rPr>
              <w:t>Direitos de Locação para Windows</w:t>
            </w:r>
            <w:bookmarkEnd w:id="122"/>
            <w:bookmarkEnd w:id="123"/>
          </w:p>
        </w:tc>
        <w:tc>
          <w:tcPr>
            <w:tcW w:w="360" w:type="dxa"/>
            <w:tcBorders>
              <w:bottom w:val="single" w:sz="4" w:space="0" w:color="auto"/>
            </w:tcBorders>
            <w:shd w:val="clear" w:color="auto" w:fill="FABF8F"/>
            <w:vAlign w:val="center"/>
          </w:tcPr>
          <w:p w:rsidR="00B27742" w:rsidRPr="00DC1AC3" w:rsidRDefault="006C57E7" w:rsidP="008A7B14">
            <w:pPr>
              <w:pStyle w:val="TableText"/>
              <w:widowControl w:val="0"/>
              <w:rPr>
                <w:rFonts w:cs="Tahoma"/>
                <w:b/>
                <w:sz w:val="13"/>
                <w:szCs w:val="13"/>
              </w:rPr>
            </w:pPr>
            <w:hyperlink w:anchor="_30_Windows_Vista" w:history="1">
              <w:r w:rsidR="008E6264" w:rsidRPr="00DC1AC3">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0A1C8E" w:rsidRDefault="00B27742" w:rsidP="004D199A">
            <w:pPr>
              <w:pStyle w:val="TableText"/>
              <w:rPr>
                <w:rFonts w:ascii="Tahoma" w:hAnsi="Tahoma" w:cs="Tahoma"/>
                <w:sz w:val="13"/>
              </w:rPr>
            </w:pPr>
            <w:r w:rsidRPr="000A1C8E">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0A1C8E" w:rsidRDefault="00B27742">
            <w:pPr>
              <w:pStyle w:val="TableText"/>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B27742" w:rsidRPr="000A1C8E" w:rsidRDefault="00391582">
            <w:pPr>
              <w:pStyle w:val="TableText"/>
              <w:rPr>
                <w:rFonts w:ascii="Tahoma" w:hAnsi="Tahoma" w:cs="Tahoma"/>
                <w:sz w:val="13"/>
              </w:rPr>
            </w:pPr>
            <w:r w:rsidRPr="000A1C8E">
              <w:rPr>
                <w:rFonts w:ascii="Tahoma" w:hAnsi="Tahoma" w:cs="Tahoma"/>
                <w:sz w:val="13"/>
              </w:rPr>
              <w:t>2</w:t>
            </w:r>
          </w:p>
        </w:tc>
        <w:tc>
          <w:tcPr>
            <w:tcW w:w="387" w:type="dxa"/>
            <w:tcBorders>
              <w:bottom w:val="single" w:sz="4" w:space="0" w:color="auto"/>
            </w:tcBorders>
            <w:shd w:val="clear" w:color="auto" w:fill="FABF8F"/>
            <w:vAlign w:val="center"/>
          </w:tcPr>
          <w:p w:rsidR="00B27742" w:rsidRPr="000A1C8E" w:rsidRDefault="00B27742">
            <w:pPr>
              <w:pStyle w:val="TableText"/>
              <w:rPr>
                <w:rFonts w:ascii="Tahoma" w:hAnsi="Tahoma" w:cs="Tahoma"/>
                <w:sz w:val="13"/>
              </w:rPr>
            </w:pPr>
          </w:p>
        </w:tc>
        <w:tc>
          <w:tcPr>
            <w:tcW w:w="414" w:type="dxa"/>
            <w:tcBorders>
              <w:bottom w:val="single" w:sz="4" w:space="0" w:color="auto"/>
            </w:tcBorders>
            <w:shd w:val="clear" w:color="auto" w:fill="FABF8F"/>
            <w:vAlign w:val="center"/>
          </w:tcPr>
          <w:p w:rsidR="00B27742" w:rsidRPr="000A1C8E" w:rsidRDefault="00B27742">
            <w:pPr>
              <w:pStyle w:val="TableText"/>
              <w:rPr>
                <w:rFonts w:ascii="Tahoma" w:hAnsi="Tahoma" w:cs="Tahoma"/>
                <w:sz w:val="13"/>
              </w:rPr>
            </w:pPr>
          </w:p>
        </w:tc>
        <w:tc>
          <w:tcPr>
            <w:tcW w:w="387" w:type="dxa"/>
            <w:tcBorders>
              <w:bottom w:val="single" w:sz="4" w:space="0" w:color="auto"/>
            </w:tcBorders>
            <w:shd w:val="clear" w:color="auto" w:fill="FABF8F"/>
            <w:vAlign w:val="center"/>
          </w:tcPr>
          <w:p w:rsidR="00B27742" w:rsidRPr="000A1C8E" w:rsidRDefault="00B27742">
            <w:pPr>
              <w:pStyle w:val="TableText"/>
              <w:rPr>
                <w:rFonts w:ascii="Tahoma" w:hAnsi="Tahoma" w:cs="Tahoma"/>
                <w:sz w:val="13"/>
              </w:rPr>
            </w:pPr>
          </w:p>
        </w:tc>
        <w:tc>
          <w:tcPr>
            <w:tcW w:w="441" w:type="dxa"/>
            <w:tcBorders>
              <w:bottom w:val="single" w:sz="4" w:space="0" w:color="auto"/>
            </w:tcBorders>
            <w:shd w:val="clear" w:color="auto" w:fill="FABF8F"/>
            <w:vAlign w:val="center"/>
          </w:tcPr>
          <w:p w:rsidR="00B27742" w:rsidRPr="000A1C8E" w:rsidRDefault="00B27742">
            <w:pPr>
              <w:pStyle w:val="TableText"/>
              <w:rPr>
                <w:rFonts w:ascii="Tahoma" w:hAnsi="Tahoma" w:cs="Tahoma"/>
                <w:sz w:val="13"/>
              </w:rPr>
            </w:pPr>
          </w:p>
        </w:tc>
        <w:tc>
          <w:tcPr>
            <w:tcW w:w="387" w:type="dxa"/>
            <w:tcBorders>
              <w:bottom w:val="single" w:sz="4" w:space="0" w:color="auto"/>
            </w:tcBorders>
            <w:shd w:val="clear" w:color="auto" w:fill="FABF8F"/>
            <w:vAlign w:val="center"/>
          </w:tcPr>
          <w:p w:rsidR="00B27742" w:rsidRPr="000A1C8E" w:rsidRDefault="00B27742">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B27742" w:rsidRPr="000A1C8E" w:rsidRDefault="00B27742">
            <w:pPr>
              <w:pStyle w:val="TableText"/>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B27742" w:rsidRPr="000A1C8E" w:rsidRDefault="00391582">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FABF8F"/>
            <w:vAlign w:val="center"/>
          </w:tcPr>
          <w:p w:rsidR="00B27742" w:rsidRPr="000A1C8E" w:rsidRDefault="00B27742">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0A1C8E" w:rsidRDefault="00B27742">
            <w:pPr>
              <w:pStyle w:val="TableText"/>
              <w:rPr>
                <w:rFonts w:ascii="Tahoma" w:hAnsi="Tahoma" w:cs="Tahoma"/>
                <w:sz w:val="13"/>
              </w:rPr>
            </w:pPr>
          </w:p>
        </w:tc>
        <w:tc>
          <w:tcPr>
            <w:tcW w:w="585" w:type="dxa"/>
            <w:tcBorders>
              <w:left w:val="single" w:sz="18" w:space="0" w:color="auto"/>
              <w:bottom w:val="single" w:sz="4" w:space="0" w:color="auto"/>
            </w:tcBorders>
            <w:shd w:val="clear" w:color="auto" w:fill="FABF8F"/>
            <w:vAlign w:val="center"/>
          </w:tcPr>
          <w:p w:rsidR="00B27742" w:rsidRPr="000A1C8E" w:rsidRDefault="00B27742">
            <w:pPr>
              <w:pStyle w:val="TableText"/>
              <w:rPr>
                <w:rFonts w:ascii="Tahoma" w:hAnsi="Tahoma" w:cs="Tahoma"/>
                <w:sz w:val="13"/>
              </w:rPr>
            </w:pPr>
          </w:p>
        </w:tc>
        <w:tc>
          <w:tcPr>
            <w:tcW w:w="432" w:type="dxa"/>
            <w:tcBorders>
              <w:bottom w:val="single" w:sz="4" w:space="0" w:color="auto"/>
              <w:right w:val="single" w:sz="18" w:space="0" w:color="auto"/>
            </w:tcBorders>
            <w:shd w:val="clear" w:color="auto" w:fill="FABF8F"/>
            <w:vAlign w:val="center"/>
          </w:tcPr>
          <w:p w:rsidR="00B27742" w:rsidRPr="000A1C8E"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0A1C8E" w:rsidRDefault="00B27742">
            <w:pPr>
              <w:pStyle w:val="TableText"/>
              <w:rPr>
                <w:rFonts w:ascii="Tahoma" w:hAnsi="Tahoma" w:cs="Tahoma"/>
                <w:sz w:val="13"/>
              </w:rPr>
            </w:pPr>
          </w:p>
        </w:tc>
        <w:tc>
          <w:tcPr>
            <w:tcW w:w="639" w:type="dxa"/>
            <w:tcBorders>
              <w:bottom w:val="single" w:sz="4" w:space="0" w:color="auto"/>
            </w:tcBorders>
            <w:shd w:val="clear" w:color="auto" w:fill="FABF8F"/>
          </w:tcPr>
          <w:p w:rsidR="00B27742" w:rsidRPr="000A1C8E" w:rsidRDefault="00B27742" w:rsidP="00A0765A">
            <w:pPr>
              <w:pStyle w:val="TableText"/>
              <w:spacing w:before="120"/>
              <w:rPr>
                <w:rFonts w:ascii="Tahoma" w:hAnsi="Tahoma" w:cs="Tahoma"/>
                <w:sz w:val="13"/>
              </w:rPr>
            </w:pPr>
          </w:p>
        </w:tc>
        <w:tc>
          <w:tcPr>
            <w:tcW w:w="621" w:type="dxa"/>
            <w:tcBorders>
              <w:bottom w:val="single" w:sz="4" w:space="0" w:color="auto"/>
            </w:tcBorders>
            <w:shd w:val="clear" w:color="auto" w:fill="FABF8F"/>
            <w:vAlign w:val="center"/>
          </w:tcPr>
          <w:p w:rsidR="00B27742" w:rsidRPr="000A1C8E" w:rsidRDefault="00B27742">
            <w:pPr>
              <w:pStyle w:val="TableText"/>
              <w:rPr>
                <w:rFonts w:ascii="Tahoma" w:hAnsi="Tahoma" w:cs="Tahoma"/>
                <w:sz w:val="13"/>
              </w:rPr>
            </w:pPr>
          </w:p>
        </w:tc>
      </w:tr>
      <w:tr w:rsidR="00024DF4" w:rsidRPr="000A1C8E" w:rsidTr="00C0392A">
        <w:trPr>
          <w:trHeight w:val="145"/>
        </w:trPr>
        <w:tc>
          <w:tcPr>
            <w:tcW w:w="2610" w:type="dxa"/>
            <w:tcBorders>
              <w:bottom w:val="single" w:sz="4" w:space="0" w:color="auto"/>
            </w:tcBorders>
            <w:shd w:val="clear" w:color="auto" w:fill="auto"/>
          </w:tcPr>
          <w:p w:rsidR="00024DF4" w:rsidRPr="000A1C8E" w:rsidRDefault="00D513A8" w:rsidP="00D513A8">
            <w:pPr>
              <w:pStyle w:val="ProductNames"/>
              <w:rPr>
                <w:rFonts w:ascii="Tahoma" w:hAnsi="Tahoma" w:cs="Tahoma"/>
                <w:sz w:val="14"/>
              </w:rPr>
            </w:pPr>
            <w:bookmarkStart w:id="124" w:name="_Toc336337903"/>
            <w:bookmarkStart w:id="125" w:name="_Toc361829007"/>
            <w:bookmarkStart w:id="126" w:name="_Toc336337902"/>
            <w:r w:rsidRPr="000A1C8E">
              <w:rPr>
                <w:rFonts w:ascii="Tahoma" w:hAnsi="Tahoma" w:cs="Tahoma"/>
                <w:sz w:val="14"/>
              </w:rPr>
              <w:t>Parceiros na Aprendizagem do Windows</w:t>
            </w:r>
            <w:r w:rsidR="00C83286" w:rsidRPr="000A1C8E">
              <w:rPr>
                <w:rFonts w:ascii="Tahoma" w:hAnsi="Tahoma" w:cs="Tahoma"/>
                <w:sz w:val="14"/>
                <w:vertAlign w:val="superscript"/>
              </w:rPr>
              <w:t>®</w:t>
            </w:r>
            <w:r w:rsidRPr="000A1C8E">
              <w:rPr>
                <w:rFonts w:ascii="Tahoma" w:hAnsi="Tahoma" w:cs="Tahoma"/>
                <w:sz w:val="14"/>
              </w:rPr>
              <w:t xml:space="preserve"> 7</w:t>
            </w:r>
            <w:bookmarkEnd w:id="124"/>
            <w:bookmarkEnd w:id="125"/>
            <w:r w:rsidRPr="000A1C8E">
              <w:rPr>
                <w:rFonts w:ascii="Tahoma" w:hAnsi="Tahoma" w:cs="Tahoma"/>
                <w:sz w:val="14"/>
              </w:rPr>
              <w:t xml:space="preserve"> </w:t>
            </w:r>
            <w:bookmarkEnd w:id="126"/>
          </w:p>
        </w:tc>
        <w:tc>
          <w:tcPr>
            <w:tcW w:w="360" w:type="dxa"/>
            <w:tcBorders>
              <w:bottom w:val="single" w:sz="4" w:space="0" w:color="auto"/>
            </w:tcBorders>
            <w:shd w:val="clear" w:color="auto" w:fill="auto"/>
            <w:vAlign w:val="center"/>
          </w:tcPr>
          <w:p w:rsidR="00024DF4" w:rsidRPr="00DC1AC3" w:rsidRDefault="006C57E7" w:rsidP="00D2429E">
            <w:pPr>
              <w:pStyle w:val="TableText"/>
              <w:widowControl w:val="0"/>
              <w:rPr>
                <w:rFonts w:cs="Tahoma"/>
                <w:b/>
                <w:sz w:val="13"/>
                <w:szCs w:val="13"/>
                <w:u w:val="single"/>
              </w:rPr>
            </w:pPr>
            <w:hyperlink w:anchor="_31_Parceiros_na" w:history="1">
              <w:r w:rsidR="003D47E7" w:rsidRPr="00DC1AC3">
                <w:rPr>
                  <w:rStyle w:val="Hyperlink"/>
                  <w:rFonts w:cs="Tahoma"/>
                  <w:b/>
                  <w:sz w:val="13"/>
                  <w:szCs w:val="13"/>
                </w:rPr>
                <w:t>31</w:t>
              </w:r>
            </w:hyperlink>
          </w:p>
        </w:tc>
        <w:tc>
          <w:tcPr>
            <w:tcW w:w="450" w:type="dxa"/>
            <w:tcBorders>
              <w:bottom w:val="single" w:sz="4" w:space="0" w:color="auto"/>
            </w:tcBorders>
            <w:shd w:val="clear" w:color="auto" w:fill="auto"/>
          </w:tcPr>
          <w:p w:rsidR="00024DF4" w:rsidRPr="000A1C8E" w:rsidRDefault="00D513A8" w:rsidP="009124DC">
            <w:pPr>
              <w:pStyle w:val="TableText"/>
              <w:spacing w:before="120"/>
              <w:rPr>
                <w:rFonts w:ascii="Tahoma" w:hAnsi="Tahoma" w:cs="Tahoma"/>
                <w:sz w:val="13"/>
              </w:rPr>
            </w:pPr>
            <w:r w:rsidRPr="000A1C8E">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0A1C8E" w:rsidRDefault="00024DF4">
            <w:pPr>
              <w:pStyle w:val="TableText"/>
              <w:rPr>
                <w:rFonts w:ascii="Tahoma" w:hAnsi="Tahoma" w:cs="Tahoma"/>
                <w:sz w:val="13"/>
              </w:rPr>
            </w:pPr>
            <w:r w:rsidRPr="000A1C8E">
              <w:rPr>
                <w:rFonts w:ascii="Tahoma" w:hAnsi="Tahoma" w:cs="Tahoma"/>
                <w:sz w:val="13"/>
              </w:rPr>
              <w:t>DT</w:t>
            </w:r>
          </w:p>
        </w:tc>
        <w:tc>
          <w:tcPr>
            <w:tcW w:w="2790" w:type="dxa"/>
            <w:gridSpan w:val="7"/>
            <w:tcBorders>
              <w:left w:val="single" w:sz="18" w:space="0" w:color="auto"/>
              <w:bottom w:val="single" w:sz="4" w:space="0" w:color="auto"/>
              <w:right w:val="single" w:sz="18" w:space="0" w:color="auto"/>
            </w:tcBorders>
            <w:shd w:val="clear" w:color="auto" w:fill="auto"/>
            <w:vAlign w:val="center"/>
          </w:tcPr>
          <w:p w:rsidR="00024DF4" w:rsidRPr="000A1C8E" w:rsidRDefault="00024DF4">
            <w:pPr>
              <w:pStyle w:val="TableText"/>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024DF4" w:rsidRPr="000A1C8E" w:rsidRDefault="00024DF4">
            <w:pPr>
              <w:pStyle w:val="TableText"/>
              <w:rPr>
                <w:rFonts w:ascii="Tahoma" w:hAnsi="Tahoma" w:cs="Tahoma"/>
                <w:sz w:val="13"/>
              </w:rPr>
            </w:pPr>
          </w:p>
        </w:tc>
        <w:tc>
          <w:tcPr>
            <w:tcW w:w="432" w:type="dxa"/>
            <w:tcBorders>
              <w:bottom w:val="single" w:sz="4" w:space="0" w:color="auto"/>
            </w:tcBorders>
            <w:shd w:val="clear" w:color="auto" w:fill="auto"/>
            <w:vAlign w:val="center"/>
          </w:tcPr>
          <w:p w:rsidR="00024DF4" w:rsidRPr="000A1C8E" w:rsidRDefault="00024DF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024DF4" w:rsidRPr="000A1C8E" w:rsidRDefault="00024DF4">
            <w:pPr>
              <w:pStyle w:val="TableText"/>
              <w:rPr>
                <w:rFonts w:ascii="Tahoma" w:hAnsi="Tahoma" w:cs="Tahoma"/>
                <w:sz w:val="13"/>
              </w:rPr>
            </w:pPr>
          </w:p>
        </w:tc>
        <w:tc>
          <w:tcPr>
            <w:tcW w:w="585" w:type="dxa"/>
            <w:tcBorders>
              <w:left w:val="single" w:sz="18" w:space="0" w:color="auto"/>
              <w:bottom w:val="single" w:sz="4" w:space="0" w:color="auto"/>
            </w:tcBorders>
            <w:shd w:val="clear" w:color="auto" w:fill="auto"/>
            <w:vAlign w:val="center"/>
          </w:tcPr>
          <w:p w:rsidR="00024DF4" w:rsidRPr="000A1C8E" w:rsidRDefault="00D513A8">
            <w:pPr>
              <w:pStyle w:val="TableText"/>
              <w:rPr>
                <w:rFonts w:ascii="Tahoma" w:hAnsi="Tahoma" w:cs="Tahoma"/>
                <w:sz w:val="13"/>
              </w:rPr>
            </w:pPr>
            <w:r w:rsidRPr="000A1C8E">
              <w:rPr>
                <w:rFonts w:ascii="Tahoma" w:hAnsi="Tahoma" w:cs="Tahoma"/>
                <w:sz w:val="13"/>
              </w:rPr>
              <w:t xml:space="preserve">2 </w:t>
            </w:r>
            <w:r w:rsidRPr="000A1C8E">
              <w:rPr>
                <w:rFonts w:ascii="Tahoma" w:hAnsi="Tahoma" w:cs="Tahoma"/>
                <w:sz w:val="10"/>
                <w:szCs w:val="12"/>
              </w:rPr>
              <w:t>(Somente School</w:t>
            </w:r>
          </w:p>
        </w:tc>
        <w:tc>
          <w:tcPr>
            <w:tcW w:w="432" w:type="dxa"/>
            <w:tcBorders>
              <w:bottom w:val="single" w:sz="4" w:space="0" w:color="auto"/>
              <w:right w:val="single" w:sz="18" w:space="0" w:color="auto"/>
            </w:tcBorders>
            <w:shd w:val="clear" w:color="auto" w:fill="auto"/>
            <w:vAlign w:val="center"/>
          </w:tcPr>
          <w:p w:rsidR="00024DF4" w:rsidRPr="000A1C8E"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0A1C8E" w:rsidRDefault="00024DF4">
            <w:pPr>
              <w:pStyle w:val="TableText"/>
              <w:rPr>
                <w:rFonts w:ascii="Tahoma" w:hAnsi="Tahoma" w:cs="Tahoma"/>
                <w:sz w:val="13"/>
              </w:rPr>
            </w:pPr>
          </w:p>
        </w:tc>
        <w:tc>
          <w:tcPr>
            <w:tcW w:w="639" w:type="dxa"/>
            <w:tcBorders>
              <w:bottom w:val="single" w:sz="4" w:space="0" w:color="auto"/>
            </w:tcBorders>
            <w:shd w:val="clear" w:color="auto" w:fill="auto"/>
          </w:tcPr>
          <w:p w:rsidR="00024DF4" w:rsidRPr="000A1C8E" w:rsidRDefault="00024DF4" w:rsidP="00A0765A">
            <w:pPr>
              <w:pStyle w:val="TableText"/>
              <w:spacing w:before="120"/>
              <w:rPr>
                <w:rFonts w:ascii="Tahoma" w:hAnsi="Tahoma" w:cs="Tahoma"/>
                <w:sz w:val="13"/>
              </w:rPr>
            </w:pPr>
          </w:p>
        </w:tc>
        <w:tc>
          <w:tcPr>
            <w:tcW w:w="621" w:type="dxa"/>
            <w:tcBorders>
              <w:bottom w:val="single" w:sz="4" w:space="0" w:color="auto"/>
            </w:tcBorders>
            <w:shd w:val="clear" w:color="auto" w:fill="auto"/>
            <w:vAlign w:val="center"/>
          </w:tcPr>
          <w:p w:rsidR="00024DF4" w:rsidRPr="000A1C8E" w:rsidRDefault="00024DF4">
            <w:pPr>
              <w:pStyle w:val="TableText"/>
              <w:rPr>
                <w:rFonts w:ascii="Tahoma" w:hAnsi="Tahoma" w:cs="Tahoma"/>
                <w:sz w:val="13"/>
              </w:rPr>
            </w:pPr>
          </w:p>
        </w:tc>
      </w:tr>
      <w:tr w:rsidR="00C0392A" w:rsidRPr="000A1C8E" w:rsidTr="00C0392A">
        <w:trPr>
          <w:trHeight w:val="145"/>
        </w:trPr>
        <w:tc>
          <w:tcPr>
            <w:tcW w:w="2610" w:type="dxa"/>
            <w:tcBorders>
              <w:bottom w:val="single" w:sz="4" w:space="0" w:color="auto"/>
            </w:tcBorders>
            <w:shd w:val="clear" w:color="auto" w:fill="FABF8F"/>
          </w:tcPr>
          <w:p w:rsidR="001C61C9" w:rsidRPr="000A1C8E" w:rsidRDefault="001C61C9" w:rsidP="00F70479">
            <w:pPr>
              <w:pStyle w:val="ProductNames"/>
              <w:rPr>
                <w:rFonts w:ascii="Tahoma" w:hAnsi="Tahoma" w:cs="Tahoma"/>
                <w:sz w:val="14"/>
              </w:rPr>
            </w:pPr>
            <w:bookmarkStart w:id="127" w:name="_Toc361829008"/>
            <w:r w:rsidRPr="000A1C8E">
              <w:rPr>
                <w:rFonts w:ascii="Tahoma" w:hAnsi="Tahoma" w:cs="Tahoma"/>
                <w:sz w:val="14"/>
              </w:rPr>
              <w:t>Windows 8 Enterprise Sideloading (Pacote com 100)</w:t>
            </w:r>
            <w:bookmarkEnd w:id="127"/>
          </w:p>
        </w:tc>
        <w:tc>
          <w:tcPr>
            <w:tcW w:w="360" w:type="dxa"/>
            <w:tcBorders>
              <w:bottom w:val="single" w:sz="4" w:space="0" w:color="auto"/>
            </w:tcBorders>
            <w:shd w:val="clear" w:color="auto" w:fill="FABF8F"/>
            <w:vAlign w:val="center"/>
          </w:tcPr>
          <w:p w:rsidR="001C61C9" w:rsidRPr="00DC1AC3" w:rsidRDefault="006C57E7" w:rsidP="003D5C46">
            <w:pPr>
              <w:pStyle w:val="TableText"/>
              <w:widowControl w:val="0"/>
              <w:rPr>
                <w:rFonts w:cs="Tahoma"/>
              </w:rPr>
            </w:pPr>
            <w:hyperlink w:anchor="_28_Windows®_8" w:history="1">
              <w:r w:rsidR="003D47E7" w:rsidRPr="00DC1AC3">
                <w:rPr>
                  <w:rStyle w:val="Hyperlink"/>
                  <w:rFonts w:cs="Tahoma"/>
                  <w:b/>
                  <w:sz w:val="13"/>
                  <w:szCs w:val="13"/>
                </w:rPr>
                <w:t>32</w:t>
              </w:r>
            </w:hyperlink>
          </w:p>
        </w:tc>
        <w:tc>
          <w:tcPr>
            <w:tcW w:w="450" w:type="dxa"/>
            <w:tcBorders>
              <w:bottom w:val="single" w:sz="4" w:space="0" w:color="auto"/>
            </w:tcBorders>
            <w:shd w:val="clear" w:color="auto" w:fill="FABF8F"/>
          </w:tcPr>
          <w:p w:rsidR="001C61C9" w:rsidRPr="000A1C8E" w:rsidRDefault="001C61C9" w:rsidP="009124DC">
            <w:pPr>
              <w:pStyle w:val="TableText"/>
              <w:spacing w:before="120"/>
              <w:rPr>
                <w:rFonts w:ascii="Tahoma" w:hAnsi="Tahoma" w:cs="Tahoma"/>
                <w:sz w:val="13"/>
              </w:rPr>
            </w:pPr>
            <w:r w:rsidRPr="000A1C8E">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0A1C8E" w:rsidRDefault="001C61C9">
            <w:pPr>
              <w:pStyle w:val="TableText"/>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C61C9" w:rsidRPr="000A1C8E" w:rsidRDefault="001C61C9">
            <w:pPr>
              <w:pStyle w:val="TableText"/>
              <w:rPr>
                <w:rFonts w:ascii="Tahoma" w:hAnsi="Tahoma" w:cs="Tahoma"/>
                <w:sz w:val="13"/>
              </w:rPr>
            </w:pPr>
            <w:r w:rsidRPr="000A1C8E">
              <w:rPr>
                <w:rFonts w:ascii="Tahoma" w:hAnsi="Tahoma" w:cs="Tahoma"/>
                <w:sz w:val="13"/>
              </w:rPr>
              <w:t>12</w:t>
            </w:r>
          </w:p>
        </w:tc>
        <w:tc>
          <w:tcPr>
            <w:tcW w:w="387" w:type="dxa"/>
            <w:tcBorders>
              <w:bottom w:val="single" w:sz="4" w:space="0" w:color="auto"/>
            </w:tcBorders>
            <w:shd w:val="clear" w:color="auto" w:fill="FABF8F"/>
            <w:vAlign w:val="center"/>
          </w:tcPr>
          <w:p w:rsidR="001C61C9" w:rsidRPr="000A1C8E" w:rsidRDefault="001C61C9">
            <w:pPr>
              <w:pStyle w:val="TableText"/>
              <w:rPr>
                <w:rFonts w:ascii="Tahoma" w:hAnsi="Tahoma" w:cs="Tahoma"/>
                <w:sz w:val="13"/>
              </w:rPr>
            </w:pPr>
          </w:p>
        </w:tc>
        <w:tc>
          <w:tcPr>
            <w:tcW w:w="414" w:type="dxa"/>
            <w:tcBorders>
              <w:bottom w:val="single" w:sz="4" w:space="0" w:color="auto"/>
            </w:tcBorders>
            <w:shd w:val="clear" w:color="auto" w:fill="FABF8F"/>
            <w:vAlign w:val="center"/>
          </w:tcPr>
          <w:p w:rsidR="001C61C9" w:rsidRPr="000A1C8E" w:rsidRDefault="001C61C9">
            <w:pPr>
              <w:pStyle w:val="TableText"/>
              <w:rPr>
                <w:rFonts w:ascii="Tahoma" w:hAnsi="Tahoma" w:cs="Tahoma"/>
                <w:sz w:val="13"/>
              </w:rPr>
            </w:pPr>
          </w:p>
        </w:tc>
        <w:tc>
          <w:tcPr>
            <w:tcW w:w="387" w:type="dxa"/>
            <w:tcBorders>
              <w:bottom w:val="single" w:sz="4" w:space="0" w:color="auto"/>
            </w:tcBorders>
            <w:shd w:val="clear" w:color="auto" w:fill="FABF8F"/>
            <w:vAlign w:val="center"/>
          </w:tcPr>
          <w:p w:rsidR="001C61C9" w:rsidRPr="000A1C8E" w:rsidRDefault="001C61C9">
            <w:pPr>
              <w:pStyle w:val="TableText"/>
              <w:rPr>
                <w:rFonts w:ascii="Tahoma" w:hAnsi="Tahoma" w:cs="Tahoma"/>
                <w:sz w:val="13"/>
              </w:rPr>
            </w:pPr>
          </w:p>
        </w:tc>
        <w:tc>
          <w:tcPr>
            <w:tcW w:w="441" w:type="dxa"/>
            <w:tcBorders>
              <w:bottom w:val="single" w:sz="4" w:space="0" w:color="auto"/>
            </w:tcBorders>
            <w:shd w:val="clear" w:color="auto" w:fill="FABF8F"/>
            <w:vAlign w:val="center"/>
          </w:tcPr>
          <w:p w:rsidR="001C61C9" w:rsidRPr="000A1C8E" w:rsidRDefault="001C61C9">
            <w:pPr>
              <w:pStyle w:val="TableText"/>
              <w:rPr>
                <w:rFonts w:ascii="Tahoma" w:hAnsi="Tahoma" w:cs="Tahoma"/>
                <w:sz w:val="13"/>
              </w:rPr>
            </w:pPr>
          </w:p>
        </w:tc>
        <w:tc>
          <w:tcPr>
            <w:tcW w:w="387" w:type="dxa"/>
            <w:tcBorders>
              <w:bottom w:val="single" w:sz="4" w:space="0" w:color="auto"/>
            </w:tcBorders>
            <w:shd w:val="clear" w:color="auto" w:fill="FABF8F"/>
            <w:vAlign w:val="center"/>
          </w:tcPr>
          <w:p w:rsidR="001C61C9" w:rsidRPr="000A1C8E" w:rsidRDefault="001C61C9">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rsidR="001C61C9" w:rsidRPr="000A1C8E" w:rsidRDefault="001C61C9">
            <w:pPr>
              <w:pStyle w:val="TableText"/>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1C61C9" w:rsidRPr="000A1C8E" w:rsidRDefault="001C61C9">
            <w:pPr>
              <w:pStyle w:val="TableText"/>
              <w:rPr>
                <w:rFonts w:ascii="Tahoma" w:hAnsi="Tahoma" w:cs="Tahoma"/>
                <w:sz w:val="13"/>
              </w:rPr>
            </w:pPr>
            <w:r w:rsidRPr="000A1C8E">
              <w:rPr>
                <w:rFonts w:ascii="Tahoma" w:hAnsi="Tahoma" w:cs="Tahoma"/>
                <w:sz w:val="13"/>
              </w:rPr>
              <w:t>12</w:t>
            </w:r>
          </w:p>
        </w:tc>
        <w:tc>
          <w:tcPr>
            <w:tcW w:w="432" w:type="dxa"/>
            <w:tcBorders>
              <w:bottom w:val="single" w:sz="4" w:space="0" w:color="auto"/>
            </w:tcBorders>
            <w:shd w:val="clear" w:color="auto" w:fill="FABF8F"/>
            <w:vAlign w:val="center"/>
          </w:tcPr>
          <w:p w:rsidR="001C61C9" w:rsidRPr="000A1C8E" w:rsidRDefault="001C61C9">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C61C9" w:rsidRPr="000A1C8E" w:rsidRDefault="001C61C9">
            <w:pPr>
              <w:pStyle w:val="TableText"/>
              <w:rPr>
                <w:rFonts w:ascii="Tahoma" w:hAnsi="Tahoma" w:cs="Tahoma"/>
                <w:sz w:val="13"/>
              </w:rPr>
            </w:pPr>
          </w:p>
        </w:tc>
        <w:tc>
          <w:tcPr>
            <w:tcW w:w="585" w:type="dxa"/>
            <w:tcBorders>
              <w:left w:val="single" w:sz="18" w:space="0" w:color="auto"/>
              <w:bottom w:val="single" w:sz="4" w:space="0" w:color="auto"/>
            </w:tcBorders>
            <w:shd w:val="clear" w:color="auto" w:fill="FABF8F"/>
            <w:vAlign w:val="center"/>
          </w:tcPr>
          <w:p w:rsidR="001C61C9" w:rsidRPr="000A1C8E" w:rsidRDefault="001C61C9">
            <w:pPr>
              <w:pStyle w:val="TableText"/>
              <w:rPr>
                <w:rFonts w:ascii="Tahoma" w:hAnsi="Tahoma" w:cs="Tahoma"/>
                <w:sz w:val="13"/>
              </w:rPr>
            </w:pPr>
          </w:p>
        </w:tc>
        <w:tc>
          <w:tcPr>
            <w:tcW w:w="432" w:type="dxa"/>
            <w:tcBorders>
              <w:bottom w:val="single" w:sz="4" w:space="0" w:color="auto"/>
              <w:right w:val="single" w:sz="18" w:space="0" w:color="auto"/>
            </w:tcBorders>
            <w:shd w:val="clear" w:color="auto" w:fill="FABF8F"/>
            <w:vAlign w:val="center"/>
          </w:tcPr>
          <w:p w:rsidR="001C61C9" w:rsidRPr="000A1C8E"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0A1C8E" w:rsidRDefault="001C61C9">
            <w:pPr>
              <w:pStyle w:val="TableText"/>
              <w:rPr>
                <w:rFonts w:ascii="Tahoma" w:hAnsi="Tahoma" w:cs="Tahoma"/>
                <w:sz w:val="13"/>
              </w:rPr>
            </w:pPr>
          </w:p>
        </w:tc>
        <w:tc>
          <w:tcPr>
            <w:tcW w:w="639" w:type="dxa"/>
            <w:tcBorders>
              <w:bottom w:val="single" w:sz="4" w:space="0" w:color="auto"/>
            </w:tcBorders>
            <w:shd w:val="clear" w:color="auto" w:fill="FABF8F"/>
            <w:vAlign w:val="center"/>
          </w:tcPr>
          <w:p w:rsidR="001C61C9" w:rsidRPr="000A1C8E" w:rsidRDefault="001C61C9" w:rsidP="004000C7">
            <w:pPr>
              <w:pStyle w:val="TableText"/>
              <w:rPr>
                <w:rFonts w:ascii="Tahoma" w:hAnsi="Tahoma" w:cs="Tahoma"/>
                <w:sz w:val="13"/>
              </w:rPr>
            </w:pPr>
          </w:p>
        </w:tc>
        <w:tc>
          <w:tcPr>
            <w:tcW w:w="621" w:type="dxa"/>
            <w:tcBorders>
              <w:bottom w:val="single" w:sz="4" w:space="0" w:color="auto"/>
            </w:tcBorders>
            <w:shd w:val="clear" w:color="auto" w:fill="FABF8F"/>
            <w:vAlign w:val="center"/>
          </w:tcPr>
          <w:p w:rsidR="001C61C9" w:rsidRPr="000A1C8E" w:rsidRDefault="009D43FB">
            <w:pPr>
              <w:pStyle w:val="TableText"/>
              <w:rPr>
                <w:rFonts w:ascii="Tahoma" w:hAnsi="Tahoma" w:cs="Tahoma"/>
                <w:sz w:val="13"/>
              </w:rPr>
            </w:pPr>
            <w:r w:rsidRPr="000A1C8E">
              <w:rPr>
                <w:rFonts w:ascii="Tahoma" w:hAnsi="Tahoma" w:cs="Tahoma"/>
                <w:sz w:val="13"/>
              </w:rPr>
              <w:t>LO</w:t>
            </w:r>
          </w:p>
        </w:tc>
      </w:tr>
      <w:tr w:rsidR="00C0392A" w:rsidRPr="000A1C8E" w:rsidTr="00C0392A">
        <w:trPr>
          <w:trHeight w:val="145"/>
        </w:trPr>
        <w:tc>
          <w:tcPr>
            <w:tcW w:w="2610" w:type="dxa"/>
            <w:tcBorders>
              <w:bottom w:val="single" w:sz="4" w:space="0" w:color="auto"/>
            </w:tcBorders>
            <w:shd w:val="clear" w:color="auto" w:fill="auto"/>
          </w:tcPr>
          <w:p w:rsidR="00B27742" w:rsidRPr="000A1C8E" w:rsidRDefault="00B27742" w:rsidP="00F70479">
            <w:pPr>
              <w:pStyle w:val="ProductNames"/>
              <w:rPr>
                <w:rFonts w:ascii="Tahoma" w:hAnsi="Tahoma" w:cs="Tahoma"/>
                <w:sz w:val="14"/>
              </w:rPr>
            </w:pPr>
            <w:bookmarkStart w:id="128" w:name="_Toc336337904"/>
            <w:bookmarkStart w:id="129" w:name="_Toc361829009"/>
            <w:r w:rsidRPr="000A1C8E">
              <w:rPr>
                <w:rFonts w:ascii="Tahoma" w:hAnsi="Tahoma" w:cs="Tahoma"/>
                <w:sz w:val="14"/>
              </w:rPr>
              <w:t>Windows</w:t>
            </w:r>
            <w:r w:rsidR="00C83286" w:rsidRPr="000A1C8E">
              <w:rPr>
                <w:rFonts w:ascii="Tahoma" w:hAnsi="Tahoma" w:cs="Tahoma"/>
                <w:sz w:val="14"/>
                <w:vertAlign w:val="superscript"/>
              </w:rPr>
              <w:t>®</w:t>
            </w:r>
            <w:r w:rsidRPr="000A1C8E">
              <w:rPr>
                <w:rFonts w:ascii="Tahoma" w:hAnsi="Tahoma" w:cs="Tahoma"/>
                <w:sz w:val="14"/>
              </w:rPr>
              <w:t xml:space="preserve"> 8 Pro</w:t>
            </w:r>
            <w:bookmarkEnd w:id="128"/>
            <w:bookmarkEnd w:id="129"/>
            <w:r w:rsidRPr="000A1C8E">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DC1AC3" w:rsidRDefault="006C57E7" w:rsidP="009D43FB">
            <w:pPr>
              <w:pStyle w:val="TableText"/>
              <w:widowControl w:val="0"/>
              <w:rPr>
                <w:rStyle w:val="EndnoteReference"/>
                <w:rFonts w:cs="Tahoma"/>
                <w:b w:val="0"/>
                <w:color w:val="0000FF"/>
                <w:sz w:val="13"/>
                <w:szCs w:val="13"/>
                <w:u w:val="single"/>
              </w:rPr>
            </w:pPr>
            <w:hyperlink w:anchor="_33_Windows®_8" w:history="1">
              <w:r w:rsidR="003D47E7" w:rsidRPr="00DC1AC3">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tcPr>
          <w:p w:rsidR="00B27742" w:rsidRPr="000A1C8E" w:rsidRDefault="00B27742" w:rsidP="00BF08CC">
            <w:pPr>
              <w:pStyle w:val="TableText"/>
              <w:spacing w:before="60"/>
              <w:rPr>
                <w:rFonts w:ascii="Tahoma" w:hAnsi="Tahoma" w:cs="Tahoma"/>
                <w:sz w:val="13"/>
              </w:rPr>
            </w:pPr>
            <w:r w:rsidRPr="000A1C8E">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DT</w:t>
            </w:r>
          </w:p>
        </w:tc>
        <w:tc>
          <w:tcPr>
            <w:tcW w:w="369" w:type="dxa"/>
            <w:tcBorders>
              <w:left w:val="single" w:sz="18" w:space="0" w:color="auto"/>
              <w:bottom w:val="single" w:sz="4"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2</w:t>
            </w:r>
          </w:p>
        </w:tc>
        <w:tc>
          <w:tcPr>
            <w:tcW w:w="387" w:type="dxa"/>
            <w:tcBorders>
              <w:bottom w:val="single" w:sz="4"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5</w:t>
            </w:r>
          </w:p>
        </w:tc>
        <w:tc>
          <w:tcPr>
            <w:tcW w:w="414" w:type="dxa"/>
            <w:tcBorders>
              <w:bottom w:val="single" w:sz="4"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4</w:t>
            </w:r>
          </w:p>
        </w:tc>
        <w:tc>
          <w:tcPr>
            <w:tcW w:w="387" w:type="dxa"/>
            <w:tcBorders>
              <w:bottom w:val="single" w:sz="4"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3</w:t>
            </w:r>
          </w:p>
        </w:tc>
        <w:tc>
          <w:tcPr>
            <w:tcW w:w="441" w:type="dxa"/>
            <w:tcBorders>
              <w:bottom w:val="single" w:sz="4"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3</w:t>
            </w:r>
          </w:p>
        </w:tc>
        <w:tc>
          <w:tcPr>
            <w:tcW w:w="387" w:type="dxa"/>
            <w:tcBorders>
              <w:bottom w:val="single" w:sz="4"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2</w:t>
            </w:r>
          </w:p>
        </w:tc>
        <w:tc>
          <w:tcPr>
            <w:tcW w:w="405" w:type="dxa"/>
            <w:tcBorders>
              <w:bottom w:val="single" w:sz="4" w:space="0" w:color="auto"/>
              <w:right w:val="single" w:sz="18"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4</w:t>
            </w:r>
          </w:p>
        </w:tc>
        <w:tc>
          <w:tcPr>
            <w:tcW w:w="396" w:type="dxa"/>
            <w:tcBorders>
              <w:bottom w:val="single" w:sz="4" w:space="0" w:color="auto"/>
              <w:right w:val="single" w:sz="18"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2</w:t>
            </w:r>
          </w:p>
        </w:tc>
        <w:tc>
          <w:tcPr>
            <w:tcW w:w="585" w:type="dxa"/>
            <w:tcBorders>
              <w:left w:val="single" w:sz="18" w:space="0" w:color="auto"/>
              <w:bottom w:val="single" w:sz="4" w:space="0" w:color="auto"/>
            </w:tcBorders>
            <w:shd w:val="clear" w:color="auto" w:fill="auto"/>
            <w:vAlign w:val="center"/>
          </w:tcPr>
          <w:p w:rsidR="00B27742" w:rsidRPr="000A1C8E" w:rsidRDefault="00664EE9">
            <w:pPr>
              <w:pStyle w:val="TableText"/>
              <w:rPr>
                <w:rFonts w:ascii="Tahoma" w:hAnsi="Tahoma" w:cs="Tahoma"/>
                <w:sz w:val="13"/>
              </w:rPr>
            </w:pPr>
            <w:r w:rsidRPr="000A1C8E">
              <w:rPr>
                <w:rFonts w:ascii="Tahoma" w:hAnsi="Tahoma" w:cs="Tahoma"/>
                <w:sz w:val="13"/>
              </w:rPr>
              <w:t>1</w:t>
            </w:r>
          </w:p>
        </w:tc>
        <w:tc>
          <w:tcPr>
            <w:tcW w:w="432" w:type="dxa"/>
            <w:tcBorders>
              <w:bottom w:val="single" w:sz="4" w:space="0" w:color="auto"/>
              <w:right w:val="single" w:sz="18"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E, P</w:t>
            </w:r>
          </w:p>
        </w:tc>
        <w:tc>
          <w:tcPr>
            <w:tcW w:w="639" w:type="dxa"/>
            <w:tcBorders>
              <w:bottom w:val="single" w:sz="4" w:space="0" w:color="auto"/>
            </w:tcBorders>
            <w:shd w:val="clear" w:color="auto" w:fill="auto"/>
            <w:vAlign w:val="center"/>
          </w:tcPr>
          <w:p w:rsidR="00B27742" w:rsidRPr="000A1C8E" w:rsidRDefault="00B27742" w:rsidP="004000C7">
            <w:pPr>
              <w:pStyle w:val="TableText"/>
              <w:rPr>
                <w:rFonts w:ascii="Tahoma" w:hAnsi="Tahoma" w:cs="Tahoma"/>
                <w:sz w:val="13"/>
              </w:rPr>
            </w:pPr>
            <w:r w:rsidRPr="000A1C8E">
              <w:rPr>
                <w:rFonts w:ascii="Tahoma" w:hAnsi="Tahoma" w:cs="Tahoma"/>
                <w:sz w:val="13"/>
              </w:rPr>
              <w:t>E,</w:t>
            </w:r>
            <w:r w:rsidR="00D21781" w:rsidRPr="000A1C8E">
              <w:rPr>
                <w:rFonts w:ascii="Tahoma" w:hAnsi="Tahoma" w:cs="Tahoma"/>
                <w:sz w:val="13"/>
              </w:rPr>
              <w:t xml:space="preserve"> </w:t>
            </w:r>
            <w:r w:rsidRPr="000A1C8E">
              <w:rPr>
                <w:rFonts w:ascii="Tahoma" w:hAnsi="Tahoma" w:cs="Tahoma"/>
                <w:sz w:val="13"/>
              </w:rPr>
              <w:t>ST</w:t>
            </w:r>
          </w:p>
        </w:tc>
        <w:tc>
          <w:tcPr>
            <w:tcW w:w="621" w:type="dxa"/>
            <w:tcBorders>
              <w:bottom w:val="single" w:sz="4" w:space="0" w:color="auto"/>
            </w:tcBorders>
            <w:shd w:val="clear" w:color="auto" w:fill="auto"/>
            <w:vAlign w:val="center"/>
          </w:tcPr>
          <w:p w:rsidR="00B27742" w:rsidRPr="000A1C8E" w:rsidRDefault="00B27742">
            <w:pPr>
              <w:pStyle w:val="TableText"/>
              <w:rPr>
                <w:rFonts w:ascii="Tahoma" w:hAnsi="Tahoma" w:cs="Tahoma"/>
                <w:sz w:val="13"/>
              </w:rPr>
            </w:pPr>
          </w:p>
        </w:tc>
      </w:tr>
      <w:tr w:rsidR="00C0392A" w:rsidRPr="000A1C8E" w:rsidTr="00C0392A">
        <w:trPr>
          <w:trHeight w:val="145"/>
        </w:trPr>
        <w:tc>
          <w:tcPr>
            <w:tcW w:w="2610" w:type="dxa"/>
            <w:tcBorders>
              <w:bottom w:val="single" w:sz="4" w:space="0" w:color="auto"/>
            </w:tcBorders>
            <w:shd w:val="clear" w:color="auto" w:fill="FABF8F"/>
          </w:tcPr>
          <w:p w:rsidR="00B27742" w:rsidRPr="000A1C8E" w:rsidRDefault="00B27742" w:rsidP="00F70479">
            <w:pPr>
              <w:pStyle w:val="ProductNames"/>
              <w:rPr>
                <w:rFonts w:ascii="Tahoma" w:hAnsi="Tahoma" w:cs="Tahoma"/>
                <w:sz w:val="14"/>
              </w:rPr>
            </w:pPr>
            <w:bookmarkStart w:id="130" w:name="_Toc336337905"/>
            <w:bookmarkStart w:id="131" w:name="_Toc361829010"/>
            <w:r w:rsidRPr="000A1C8E">
              <w:rPr>
                <w:rFonts w:ascii="Tahoma" w:hAnsi="Tahoma" w:cs="Tahoma"/>
                <w:sz w:val="14"/>
              </w:rPr>
              <w:t>Windows</w:t>
            </w:r>
            <w:r w:rsidR="00C83286" w:rsidRPr="000A1C8E">
              <w:rPr>
                <w:rFonts w:ascii="Tahoma" w:hAnsi="Tahoma" w:cs="Tahoma"/>
                <w:sz w:val="14"/>
                <w:vertAlign w:val="superscript"/>
              </w:rPr>
              <w:t>®</w:t>
            </w:r>
            <w:r w:rsidRPr="000A1C8E">
              <w:rPr>
                <w:rFonts w:ascii="Tahoma" w:hAnsi="Tahoma" w:cs="Tahoma"/>
                <w:sz w:val="14"/>
              </w:rPr>
              <w:t xml:space="preserve"> 8 Pro com MDOP</w:t>
            </w:r>
            <w:bookmarkEnd w:id="130"/>
            <w:bookmarkEnd w:id="131"/>
            <w:r w:rsidRPr="000A1C8E">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DC1AC3"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0A1C8E" w:rsidRDefault="001327D3" w:rsidP="00BF08CC">
            <w:pPr>
              <w:pStyle w:val="TableText"/>
              <w:spacing w:before="60"/>
              <w:rPr>
                <w:rFonts w:ascii="Tahoma" w:hAnsi="Tahoma" w:cs="Tahoma"/>
                <w:sz w:val="13"/>
              </w:rPr>
            </w:pPr>
            <w:r w:rsidRPr="000A1C8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0A1C8E" w:rsidRDefault="00B27742" w:rsidP="005D1AD1">
            <w:pPr>
              <w:pStyle w:val="TableText"/>
              <w:rPr>
                <w:rFonts w:ascii="Tahoma" w:hAnsi="Tahoma" w:cs="Tahoma"/>
                <w:sz w:val="13"/>
              </w:rPr>
            </w:pPr>
            <w:r w:rsidRPr="000A1C8E">
              <w:rPr>
                <w:rFonts w:ascii="Tahoma" w:hAnsi="Tahoma" w:cs="Tahoma"/>
                <w:sz w:val="13"/>
              </w:rPr>
              <w:t>DT</w:t>
            </w:r>
          </w:p>
        </w:tc>
        <w:tc>
          <w:tcPr>
            <w:tcW w:w="369" w:type="dxa"/>
            <w:tcBorders>
              <w:left w:val="single" w:sz="18" w:space="0" w:color="auto"/>
              <w:bottom w:val="single" w:sz="4" w:space="0" w:color="auto"/>
            </w:tcBorders>
            <w:shd w:val="clear" w:color="auto" w:fill="FABF8F"/>
            <w:vAlign w:val="center"/>
          </w:tcPr>
          <w:p w:rsidR="00B27742" w:rsidRPr="000A1C8E" w:rsidRDefault="00B27742" w:rsidP="005D1AD1">
            <w:pPr>
              <w:pStyle w:val="TableText"/>
              <w:rPr>
                <w:rFonts w:ascii="Tahoma" w:hAnsi="Tahoma" w:cs="Tahoma"/>
                <w:sz w:val="13"/>
              </w:rPr>
            </w:pPr>
            <w:r w:rsidRPr="000A1C8E">
              <w:rPr>
                <w:rFonts w:ascii="Tahoma" w:hAnsi="Tahoma" w:cs="Tahoma"/>
                <w:sz w:val="13"/>
              </w:rPr>
              <w:t>2</w:t>
            </w:r>
          </w:p>
        </w:tc>
        <w:tc>
          <w:tcPr>
            <w:tcW w:w="387" w:type="dxa"/>
            <w:tcBorders>
              <w:bottom w:val="single" w:sz="4" w:space="0" w:color="auto"/>
            </w:tcBorders>
            <w:shd w:val="clear" w:color="auto" w:fill="FABF8F"/>
            <w:vAlign w:val="center"/>
          </w:tcPr>
          <w:p w:rsidR="00B27742" w:rsidRPr="000A1C8E" w:rsidRDefault="00287725" w:rsidP="005D1AD1">
            <w:pPr>
              <w:pStyle w:val="TableText"/>
              <w:rPr>
                <w:rFonts w:ascii="Tahoma" w:hAnsi="Tahoma" w:cs="Tahoma"/>
                <w:sz w:val="13"/>
              </w:rPr>
            </w:pPr>
            <w:r w:rsidRPr="000A1C8E">
              <w:rPr>
                <w:rFonts w:ascii="Tahoma" w:hAnsi="Tahoma" w:cs="Tahoma"/>
                <w:sz w:val="13"/>
              </w:rPr>
              <w:t>6</w:t>
            </w:r>
          </w:p>
        </w:tc>
        <w:tc>
          <w:tcPr>
            <w:tcW w:w="414" w:type="dxa"/>
            <w:tcBorders>
              <w:bottom w:val="single" w:sz="4" w:space="0" w:color="auto"/>
            </w:tcBorders>
            <w:shd w:val="clear" w:color="auto" w:fill="FABF8F"/>
            <w:vAlign w:val="center"/>
          </w:tcPr>
          <w:p w:rsidR="00B27742" w:rsidRPr="000A1C8E" w:rsidRDefault="00287725" w:rsidP="005D1AD1">
            <w:pPr>
              <w:pStyle w:val="TableText"/>
              <w:rPr>
                <w:rFonts w:ascii="Tahoma" w:hAnsi="Tahoma" w:cs="Tahoma"/>
                <w:sz w:val="13"/>
              </w:rPr>
            </w:pPr>
            <w:r w:rsidRPr="000A1C8E">
              <w:rPr>
                <w:rFonts w:ascii="Tahoma" w:hAnsi="Tahoma" w:cs="Tahoma"/>
                <w:sz w:val="13"/>
              </w:rPr>
              <w:t>5</w:t>
            </w:r>
          </w:p>
        </w:tc>
        <w:tc>
          <w:tcPr>
            <w:tcW w:w="387" w:type="dxa"/>
            <w:tcBorders>
              <w:bottom w:val="single" w:sz="4" w:space="0" w:color="auto"/>
            </w:tcBorders>
            <w:shd w:val="clear" w:color="auto" w:fill="FABF8F"/>
            <w:vAlign w:val="center"/>
          </w:tcPr>
          <w:p w:rsidR="00B27742" w:rsidRPr="000A1C8E" w:rsidRDefault="00287725" w:rsidP="005D1AD1">
            <w:pPr>
              <w:pStyle w:val="TableText"/>
              <w:rPr>
                <w:rFonts w:ascii="Tahoma" w:hAnsi="Tahoma" w:cs="Tahoma"/>
                <w:sz w:val="13"/>
              </w:rPr>
            </w:pPr>
            <w:r w:rsidRPr="000A1C8E">
              <w:rPr>
                <w:rFonts w:ascii="Tahoma" w:hAnsi="Tahoma" w:cs="Tahoma"/>
                <w:sz w:val="13"/>
              </w:rPr>
              <w:t>4</w:t>
            </w:r>
          </w:p>
        </w:tc>
        <w:tc>
          <w:tcPr>
            <w:tcW w:w="441" w:type="dxa"/>
            <w:tcBorders>
              <w:bottom w:val="single" w:sz="4" w:space="0" w:color="auto"/>
            </w:tcBorders>
            <w:shd w:val="clear" w:color="auto" w:fill="FABF8F"/>
            <w:vAlign w:val="center"/>
          </w:tcPr>
          <w:p w:rsidR="00B27742" w:rsidRPr="000A1C8E" w:rsidRDefault="00B27742" w:rsidP="005D1AD1">
            <w:pPr>
              <w:pStyle w:val="TableText"/>
              <w:rPr>
                <w:rFonts w:ascii="Tahoma" w:hAnsi="Tahoma" w:cs="Tahoma"/>
                <w:sz w:val="13"/>
              </w:rPr>
            </w:pPr>
            <w:r w:rsidRPr="000A1C8E">
              <w:rPr>
                <w:rFonts w:ascii="Tahoma" w:hAnsi="Tahoma" w:cs="Tahoma"/>
                <w:sz w:val="13"/>
              </w:rPr>
              <w:t>3</w:t>
            </w:r>
          </w:p>
        </w:tc>
        <w:tc>
          <w:tcPr>
            <w:tcW w:w="387" w:type="dxa"/>
            <w:tcBorders>
              <w:bottom w:val="single" w:sz="4" w:space="0" w:color="auto"/>
            </w:tcBorders>
            <w:shd w:val="clear" w:color="auto" w:fill="FABF8F"/>
            <w:vAlign w:val="center"/>
          </w:tcPr>
          <w:p w:rsidR="00B27742" w:rsidRPr="000A1C8E" w:rsidRDefault="00B27742" w:rsidP="005D1AD1">
            <w:pPr>
              <w:pStyle w:val="TableText"/>
              <w:rPr>
                <w:rFonts w:ascii="Tahoma" w:hAnsi="Tahoma" w:cs="Tahoma"/>
                <w:sz w:val="13"/>
              </w:rPr>
            </w:pPr>
            <w:r w:rsidRPr="000A1C8E">
              <w:rPr>
                <w:rFonts w:ascii="Tahoma" w:hAnsi="Tahoma" w:cs="Tahoma"/>
                <w:sz w:val="13"/>
              </w:rPr>
              <w:t>2</w:t>
            </w:r>
          </w:p>
        </w:tc>
        <w:tc>
          <w:tcPr>
            <w:tcW w:w="405" w:type="dxa"/>
            <w:tcBorders>
              <w:bottom w:val="single" w:sz="4" w:space="0" w:color="auto"/>
              <w:right w:val="single" w:sz="18" w:space="0" w:color="auto"/>
            </w:tcBorders>
            <w:shd w:val="clear" w:color="auto" w:fill="FABF8F"/>
            <w:vAlign w:val="center"/>
          </w:tcPr>
          <w:p w:rsidR="00B27742" w:rsidRPr="000A1C8E" w:rsidRDefault="00B27742" w:rsidP="005D1AD1">
            <w:pPr>
              <w:pStyle w:val="TableText"/>
              <w:rPr>
                <w:rFonts w:ascii="Tahoma" w:hAnsi="Tahoma" w:cs="Tahoma"/>
                <w:sz w:val="13"/>
              </w:rPr>
            </w:pPr>
            <w:r w:rsidRPr="000A1C8E">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B27742" w:rsidRPr="000A1C8E" w:rsidRDefault="00B27742" w:rsidP="005D1AD1">
            <w:pPr>
              <w:pStyle w:val="TableText"/>
              <w:rPr>
                <w:rFonts w:ascii="Tahoma" w:hAnsi="Tahoma" w:cs="Tahoma"/>
                <w:sz w:val="13"/>
              </w:rPr>
            </w:pPr>
          </w:p>
        </w:tc>
        <w:tc>
          <w:tcPr>
            <w:tcW w:w="432" w:type="dxa"/>
            <w:tcBorders>
              <w:bottom w:val="single" w:sz="4" w:space="0" w:color="auto"/>
            </w:tcBorders>
            <w:shd w:val="clear" w:color="auto" w:fill="FABF8F"/>
            <w:vAlign w:val="center"/>
          </w:tcPr>
          <w:p w:rsidR="00B27742" w:rsidRPr="000A1C8E" w:rsidRDefault="00B27742" w:rsidP="005D1AD1">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0A1C8E" w:rsidRDefault="00B27742" w:rsidP="005D1AD1">
            <w:pPr>
              <w:pStyle w:val="TableText"/>
              <w:rPr>
                <w:rFonts w:ascii="Tahoma" w:hAnsi="Tahoma" w:cs="Tahoma"/>
                <w:sz w:val="13"/>
              </w:rPr>
            </w:pPr>
          </w:p>
        </w:tc>
        <w:tc>
          <w:tcPr>
            <w:tcW w:w="585" w:type="dxa"/>
            <w:tcBorders>
              <w:left w:val="single" w:sz="18" w:space="0" w:color="auto"/>
              <w:bottom w:val="single" w:sz="4" w:space="0" w:color="auto"/>
            </w:tcBorders>
            <w:shd w:val="clear" w:color="auto" w:fill="FABF8F"/>
            <w:vAlign w:val="center"/>
          </w:tcPr>
          <w:p w:rsidR="00B27742" w:rsidRPr="000A1C8E" w:rsidRDefault="00664EE9" w:rsidP="005D1AD1">
            <w:pPr>
              <w:pStyle w:val="TableText"/>
              <w:rPr>
                <w:rFonts w:ascii="Tahoma" w:hAnsi="Tahoma" w:cs="Tahoma"/>
                <w:sz w:val="13"/>
              </w:rPr>
            </w:pPr>
            <w:r w:rsidRPr="000A1C8E">
              <w:rPr>
                <w:rFonts w:ascii="Tahoma" w:hAnsi="Tahoma" w:cs="Tahoma"/>
                <w:sz w:val="13"/>
              </w:rPr>
              <w:t>2</w:t>
            </w:r>
          </w:p>
        </w:tc>
        <w:tc>
          <w:tcPr>
            <w:tcW w:w="432" w:type="dxa"/>
            <w:tcBorders>
              <w:bottom w:val="single" w:sz="4" w:space="0" w:color="auto"/>
              <w:right w:val="single" w:sz="18" w:space="0" w:color="auto"/>
            </w:tcBorders>
            <w:shd w:val="clear" w:color="auto" w:fill="FABF8F"/>
            <w:vAlign w:val="center"/>
          </w:tcPr>
          <w:p w:rsidR="00B27742" w:rsidRPr="000A1C8E" w:rsidRDefault="00B27742" w:rsidP="005D1AD1">
            <w:pPr>
              <w:pStyle w:val="TableText"/>
              <w:rPr>
                <w:rFonts w:ascii="Tahoma" w:hAnsi="Tahoma" w:cs="Tahoma"/>
                <w:sz w:val="13"/>
              </w:rPr>
            </w:pPr>
            <w:r w:rsidRPr="000A1C8E">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0A1C8E" w:rsidRDefault="00B27742" w:rsidP="005D1AD1">
            <w:pPr>
              <w:pStyle w:val="TableText"/>
              <w:rPr>
                <w:rFonts w:ascii="Tahoma" w:hAnsi="Tahoma" w:cs="Tahoma"/>
                <w:sz w:val="13"/>
              </w:rPr>
            </w:pPr>
            <w:r w:rsidRPr="000A1C8E">
              <w:rPr>
                <w:rFonts w:ascii="Tahoma" w:hAnsi="Tahoma" w:cs="Tahoma"/>
                <w:sz w:val="13"/>
              </w:rPr>
              <w:t>E, P</w:t>
            </w:r>
          </w:p>
        </w:tc>
        <w:tc>
          <w:tcPr>
            <w:tcW w:w="639" w:type="dxa"/>
            <w:tcBorders>
              <w:bottom w:val="single" w:sz="4" w:space="0" w:color="auto"/>
            </w:tcBorders>
            <w:shd w:val="clear" w:color="auto" w:fill="FABF8F"/>
            <w:vAlign w:val="center"/>
          </w:tcPr>
          <w:p w:rsidR="00B27742" w:rsidRPr="000A1C8E" w:rsidRDefault="00B27742" w:rsidP="004000C7">
            <w:pPr>
              <w:pStyle w:val="TableText"/>
              <w:rPr>
                <w:rFonts w:ascii="Tahoma" w:hAnsi="Tahoma" w:cs="Tahoma"/>
                <w:sz w:val="13"/>
              </w:rPr>
            </w:pPr>
            <w:r w:rsidRPr="000A1C8E">
              <w:rPr>
                <w:rFonts w:ascii="Tahoma" w:hAnsi="Tahoma" w:cs="Tahoma"/>
                <w:sz w:val="13"/>
              </w:rPr>
              <w:t>E,</w:t>
            </w:r>
            <w:r w:rsidR="00D21781" w:rsidRPr="000A1C8E">
              <w:rPr>
                <w:rFonts w:ascii="Tahoma" w:hAnsi="Tahoma" w:cs="Tahoma"/>
                <w:sz w:val="13"/>
              </w:rPr>
              <w:t xml:space="preserve"> </w:t>
            </w:r>
            <w:r w:rsidRPr="000A1C8E">
              <w:rPr>
                <w:rFonts w:ascii="Tahoma" w:hAnsi="Tahoma" w:cs="Tahoma"/>
                <w:sz w:val="13"/>
              </w:rPr>
              <w:t>ST</w:t>
            </w:r>
          </w:p>
        </w:tc>
        <w:tc>
          <w:tcPr>
            <w:tcW w:w="621" w:type="dxa"/>
            <w:tcBorders>
              <w:bottom w:val="single" w:sz="4" w:space="0" w:color="auto"/>
            </w:tcBorders>
            <w:shd w:val="clear" w:color="auto" w:fill="FABF8F"/>
            <w:vAlign w:val="center"/>
          </w:tcPr>
          <w:p w:rsidR="00B27742" w:rsidRPr="000A1C8E" w:rsidRDefault="00B27742" w:rsidP="005D1AD1">
            <w:pPr>
              <w:pStyle w:val="TableText"/>
              <w:rPr>
                <w:rFonts w:ascii="Tahoma" w:hAnsi="Tahoma" w:cs="Tahoma"/>
                <w:sz w:val="13"/>
              </w:rPr>
            </w:pPr>
          </w:p>
        </w:tc>
      </w:tr>
      <w:tr w:rsidR="00B50A5B" w:rsidRPr="000A1C8E" w:rsidTr="00C0392A">
        <w:trPr>
          <w:trHeight w:val="123"/>
        </w:trPr>
        <w:tc>
          <w:tcPr>
            <w:tcW w:w="2610" w:type="dxa"/>
            <w:shd w:val="clear" w:color="auto" w:fill="auto"/>
          </w:tcPr>
          <w:p w:rsidR="00B27742" w:rsidRPr="000A1C8E" w:rsidRDefault="00B27742" w:rsidP="0070485B">
            <w:pPr>
              <w:pStyle w:val="ProductNames"/>
              <w:spacing w:before="40" w:after="40"/>
              <w:rPr>
                <w:rFonts w:ascii="Tahoma" w:hAnsi="Tahoma" w:cs="Tahoma"/>
                <w:sz w:val="14"/>
              </w:rPr>
            </w:pPr>
            <w:bookmarkStart w:id="132" w:name="_Toc336337906"/>
            <w:bookmarkStart w:id="133" w:name="_Toc361829011"/>
            <w:r w:rsidRPr="000A1C8E">
              <w:rPr>
                <w:rFonts w:ascii="Tahoma" w:hAnsi="Tahoma" w:cs="Tahoma"/>
                <w:sz w:val="14"/>
              </w:rPr>
              <w:t>Windows Virtual Desktop Access (VDA)</w:t>
            </w:r>
            <w:bookmarkEnd w:id="132"/>
            <w:bookmarkEnd w:id="133"/>
          </w:p>
        </w:tc>
        <w:tc>
          <w:tcPr>
            <w:tcW w:w="360" w:type="dxa"/>
            <w:shd w:val="clear" w:color="auto" w:fill="auto"/>
            <w:vAlign w:val="center"/>
          </w:tcPr>
          <w:p w:rsidR="00B27742" w:rsidRPr="00DC1AC3"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0A1C8E" w:rsidRDefault="00B27742" w:rsidP="007E466C">
            <w:pPr>
              <w:pStyle w:val="TableText"/>
              <w:rPr>
                <w:rFonts w:ascii="Tahoma" w:hAnsi="Tahoma" w:cs="Tahoma"/>
                <w:sz w:val="13"/>
              </w:rPr>
            </w:pPr>
            <w:r w:rsidRPr="000A1C8E">
              <w:rPr>
                <w:rFonts w:ascii="Tahoma" w:hAnsi="Tahoma" w:cs="Tahoma"/>
                <w:sz w:val="13"/>
              </w:rPr>
              <w:t>07/10</w:t>
            </w:r>
          </w:p>
        </w:tc>
        <w:tc>
          <w:tcPr>
            <w:tcW w:w="360" w:type="dxa"/>
            <w:tcBorders>
              <w:right w:val="single" w:sz="18"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DT</w:t>
            </w:r>
          </w:p>
        </w:tc>
        <w:tc>
          <w:tcPr>
            <w:tcW w:w="2790" w:type="dxa"/>
            <w:gridSpan w:val="7"/>
            <w:tcBorders>
              <w:left w:val="single" w:sz="18" w:space="0" w:color="auto"/>
              <w:right w:val="single" w:sz="18"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2</w:t>
            </w:r>
          </w:p>
        </w:tc>
        <w:tc>
          <w:tcPr>
            <w:tcW w:w="405" w:type="dxa"/>
            <w:tcBorders>
              <w:left w:val="single" w:sz="18" w:space="0" w:color="auto"/>
            </w:tcBorders>
            <w:shd w:val="clear" w:color="auto" w:fill="auto"/>
            <w:vAlign w:val="center"/>
          </w:tcPr>
          <w:p w:rsidR="00B27742" w:rsidRPr="000A1C8E" w:rsidRDefault="00B27742">
            <w:pPr>
              <w:pStyle w:val="TableText"/>
              <w:rPr>
                <w:rFonts w:ascii="Tahoma" w:hAnsi="Tahoma" w:cs="Tahoma"/>
                <w:sz w:val="13"/>
              </w:rPr>
            </w:pPr>
          </w:p>
        </w:tc>
        <w:tc>
          <w:tcPr>
            <w:tcW w:w="432" w:type="dxa"/>
            <w:shd w:val="clear" w:color="auto" w:fill="auto"/>
            <w:vAlign w:val="center"/>
          </w:tcPr>
          <w:p w:rsidR="00B27742" w:rsidRPr="000A1C8E" w:rsidRDefault="00B27742">
            <w:pPr>
              <w:pStyle w:val="TableText"/>
              <w:rPr>
                <w:rFonts w:ascii="Tahoma" w:hAnsi="Tahoma" w:cs="Tahoma"/>
                <w:sz w:val="13"/>
              </w:rPr>
            </w:pPr>
          </w:p>
        </w:tc>
        <w:tc>
          <w:tcPr>
            <w:tcW w:w="396" w:type="dxa"/>
            <w:tcBorders>
              <w:right w:val="single" w:sz="18" w:space="0" w:color="auto"/>
            </w:tcBorders>
            <w:shd w:val="clear" w:color="auto" w:fill="auto"/>
            <w:vAlign w:val="center"/>
          </w:tcPr>
          <w:p w:rsidR="00B27742" w:rsidRPr="000A1C8E" w:rsidRDefault="00B27742">
            <w:pPr>
              <w:pStyle w:val="TableText"/>
              <w:rPr>
                <w:rFonts w:ascii="Tahoma" w:hAnsi="Tahoma" w:cs="Tahoma"/>
                <w:sz w:val="13"/>
              </w:rPr>
            </w:pPr>
          </w:p>
        </w:tc>
        <w:tc>
          <w:tcPr>
            <w:tcW w:w="585" w:type="dxa"/>
            <w:tcBorders>
              <w:left w:val="single" w:sz="18" w:space="0" w:color="auto"/>
            </w:tcBorders>
            <w:shd w:val="clear" w:color="auto" w:fill="auto"/>
            <w:vAlign w:val="center"/>
          </w:tcPr>
          <w:p w:rsidR="00B27742" w:rsidRPr="000A1C8E" w:rsidRDefault="00751F50">
            <w:pPr>
              <w:pStyle w:val="TableText"/>
              <w:rPr>
                <w:rFonts w:ascii="Tahoma" w:hAnsi="Tahoma" w:cs="Tahoma"/>
                <w:sz w:val="13"/>
              </w:rPr>
            </w:pPr>
            <w:r w:rsidRPr="000A1C8E">
              <w:rPr>
                <w:rFonts w:ascii="Tahoma" w:hAnsi="Tahoma" w:cs="Tahoma"/>
                <w:sz w:val="13"/>
              </w:rPr>
              <w:t>1)</w:t>
            </w:r>
          </w:p>
        </w:tc>
        <w:tc>
          <w:tcPr>
            <w:tcW w:w="432" w:type="dxa"/>
            <w:tcBorders>
              <w:right w:val="single" w:sz="18" w:space="0" w:color="auto"/>
            </w:tcBorders>
            <w:shd w:val="clear" w:color="auto" w:fill="auto"/>
            <w:vAlign w:val="center"/>
          </w:tcPr>
          <w:p w:rsidR="00B27742" w:rsidRPr="000A1C8E" w:rsidRDefault="00B27742" w:rsidP="00BD5039">
            <w:pPr>
              <w:pStyle w:val="TableText"/>
              <w:rPr>
                <w:rFonts w:ascii="Tahoma" w:hAnsi="Tahoma" w:cs="Tahoma"/>
                <w:sz w:val="13"/>
              </w:rPr>
            </w:pPr>
            <w:r w:rsidRPr="000A1C8E">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0A1C8E" w:rsidRDefault="00B27742">
            <w:pPr>
              <w:pStyle w:val="TableText"/>
              <w:rPr>
                <w:rFonts w:ascii="Tahoma" w:hAnsi="Tahoma" w:cs="Tahoma"/>
                <w:sz w:val="13"/>
              </w:rPr>
            </w:pPr>
            <w:r w:rsidRPr="000A1C8E">
              <w:rPr>
                <w:rFonts w:ascii="Tahoma" w:hAnsi="Tahoma" w:cs="Tahoma"/>
                <w:sz w:val="13"/>
              </w:rPr>
              <w:t>P</w:t>
            </w:r>
          </w:p>
        </w:tc>
        <w:tc>
          <w:tcPr>
            <w:tcW w:w="639" w:type="dxa"/>
            <w:shd w:val="clear" w:color="auto" w:fill="auto"/>
            <w:vAlign w:val="center"/>
          </w:tcPr>
          <w:p w:rsidR="00B27742" w:rsidRPr="000A1C8E" w:rsidRDefault="00954BF1" w:rsidP="00722522">
            <w:pPr>
              <w:pStyle w:val="TableText"/>
              <w:rPr>
                <w:rFonts w:ascii="Tahoma" w:hAnsi="Tahoma" w:cs="Tahoma"/>
                <w:sz w:val="13"/>
              </w:rPr>
            </w:pPr>
            <w:r w:rsidRPr="000A1C8E">
              <w:rPr>
                <w:rFonts w:ascii="Tahoma" w:hAnsi="Tahoma" w:cs="Tahoma"/>
                <w:sz w:val="13"/>
              </w:rPr>
              <w:t>A</w:t>
            </w:r>
          </w:p>
        </w:tc>
        <w:tc>
          <w:tcPr>
            <w:tcW w:w="621" w:type="dxa"/>
            <w:shd w:val="clear" w:color="auto" w:fill="auto"/>
            <w:vAlign w:val="center"/>
          </w:tcPr>
          <w:p w:rsidR="00B27742" w:rsidRPr="000A1C8E" w:rsidRDefault="00B27742">
            <w:pPr>
              <w:pStyle w:val="TableText"/>
              <w:rPr>
                <w:rFonts w:ascii="Tahoma" w:hAnsi="Tahoma" w:cs="Tahoma"/>
                <w:sz w:val="13"/>
              </w:rPr>
            </w:pPr>
          </w:p>
        </w:tc>
      </w:tr>
      <w:tr w:rsidR="006F741C" w:rsidRPr="000A1C8E" w:rsidTr="00C0392A">
        <w:trPr>
          <w:trHeight w:val="123"/>
        </w:trPr>
        <w:tc>
          <w:tcPr>
            <w:tcW w:w="2610" w:type="dxa"/>
            <w:shd w:val="clear" w:color="auto" w:fill="FABF8F"/>
          </w:tcPr>
          <w:p w:rsidR="006F741C" w:rsidRPr="000A1C8E" w:rsidRDefault="006F741C" w:rsidP="00F70479">
            <w:pPr>
              <w:pStyle w:val="ProductNames"/>
              <w:rPr>
                <w:rFonts w:ascii="Tahoma" w:hAnsi="Tahoma" w:cs="Tahoma"/>
                <w:sz w:val="14"/>
              </w:rPr>
            </w:pPr>
            <w:bookmarkStart w:id="134" w:name="_Toc361829012"/>
            <w:r w:rsidRPr="000A1C8E">
              <w:rPr>
                <w:rFonts w:ascii="Tahoma" w:hAnsi="Tahoma" w:cs="Tahoma"/>
                <w:sz w:val="14"/>
              </w:rPr>
              <w:t>Windows Intune (Por Dispositivo)</w:t>
            </w:r>
            <w:bookmarkEnd w:id="134"/>
          </w:p>
        </w:tc>
        <w:tc>
          <w:tcPr>
            <w:tcW w:w="360" w:type="dxa"/>
            <w:shd w:val="clear" w:color="auto" w:fill="FABF8F"/>
            <w:vAlign w:val="center"/>
          </w:tcPr>
          <w:p w:rsidR="006F741C" w:rsidRPr="00DC1AC3" w:rsidRDefault="006C57E7" w:rsidP="003D5C46">
            <w:pPr>
              <w:pStyle w:val="TableText"/>
              <w:widowControl w:val="0"/>
              <w:rPr>
                <w:rStyle w:val="EndnoteReference"/>
                <w:rFonts w:cs="Tahoma"/>
                <w:b w:val="0"/>
                <w:color w:val="0000FF"/>
                <w:sz w:val="13"/>
                <w:szCs w:val="13"/>
              </w:rPr>
            </w:pPr>
            <w:hyperlink w:anchor="_29_Windows®_8" w:history="1">
              <w:r w:rsidR="003D47E7" w:rsidRPr="00DC1AC3">
                <w:rPr>
                  <w:rStyle w:val="Hyperlink"/>
                  <w:rFonts w:cs="Tahoma"/>
                  <w:b/>
                  <w:sz w:val="13"/>
                  <w:szCs w:val="13"/>
                </w:rPr>
                <w:t>33</w:t>
              </w:r>
            </w:hyperlink>
          </w:p>
        </w:tc>
        <w:tc>
          <w:tcPr>
            <w:tcW w:w="450" w:type="dxa"/>
            <w:shd w:val="clear" w:color="auto" w:fill="FABF8F"/>
          </w:tcPr>
          <w:p w:rsidR="006F741C" w:rsidRPr="000A1C8E" w:rsidRDefault="00DB3ECB" w:rsidP="00BF08CC">
            <w:pPr>
              <w:pStyle w:val="TableText"/>
              <w:spacing w:before="60"/>
              <w:rPr>
                <w:rFonts w:ascii="Tahoma" w:hAnsi="Tahoma" w:cs="Tahoma"/>
                <w:sz w:val="13"/>
              </w:rPr>
            </w:pPr>
            <w:r w:rsidRPr="000A1C8E">
              <w:rPr>
                <w:rFonts w:ascii="Tahoma" w:hAnsi="Tahoma" w:cs="Tahoma"/>
                <w:sz w:val="13"/>
              </w:rPr>
              <w:t>04/11</w:t>
            </w:r>
          </w:p>
        </w:tc>
        <w:tc>
          <w:tcPr>
            <w:tcW w:w="360" w:type="dxa"/>
            <w:tcBorders>
              <w:right w:val="single" w:sz="18" w:space="0" w:color="auto"/>
            </w:tcBorders>
            <w:shd w:val="clear" w:color="auto" w:fill="FABF8F"/>
            <w:vAlign w:val="center"/>
          </w:tcPr>
          <w:p w:rsidR="006F741C" w:rsidRPr="000A1C8E" w:rsidRDefault="006F741C">
            <w:pPr>
              <w:pStyle w:val="TableText"/>
              <w:rPr>
                <w:rFonts w:ascii="Tahoma" w:hAnsi="Tahoma" w:cs="Tahoma"/>
                <w:sz w:val="13"/>
              </w:rPr>
            </w:pPr>
          </w:p>
        </w:tc>
        <w:tc>
          <w:tcPr>
            <w:tcW w:w="2790" w:type="dxa"/>
            <w:gridSpan w:val="7"/>
            <w:tcBorders>
              <w:left w:val="single" w:sz="18" w:space="0" w:color="auto"/>
              <w:right w:val="single" w:sz="18" w:space="0" w:color="auto"/>
            </w:tcBorders>
            <w:shd w:val="clear" w:color="auto" w:fill="FABF8F"/>
            <w:vAlign w:val="center"/>
          </w:tcPr>
          <w:p w:rsidR="006F741C" w:rsidRPr="000A1C8E" w:rsidRDefault="006F741C">
            <w:pPr>
              <w:pStyle w:val="TableText"/>
              <w:rPr>
                <w:rFonts w:ascii="Tahoma" w:hAnsi="Tahoma" w:cs="Tahoma"/>
                <w:sz w:val="13"/>
              </w:rPr>
            </w:pPr>
          </w:p>
        </w:tc>
        <w:tc>
          <w:tcPr>
            <w:tcW w:w="405" w:type="dxa"/>
            <w:tcBorders>
              <w:left w:val="single" w:sz="18" w:space="0" w:color="auto"/>
            </w:tcBorders>
            <w:shd w:val="clear" w:color="auto" w:fill="FABF8F"/>
            <w:vAlign w:val="center"/>
          </w:tcPr>
          <w:p w:rsidR="006F741C" w:rsidRPr="000A1C8E" w:rsidRDefault="006F741C">
            <w:pPr>
              <w:pStyle w:val="TableText"/>
              <w:rPr>
                <w:rFonts w:ascii="Tahoma" w:hAnsi="Tahoma" w:cs="Tahoma"/>
                <w:sz w:val="13"/>
              </w:rPr>
            </w:pPr>
          </w:p>
        </w:tc>
        <w:tc>
          <w:tcPr>
            <w:tcW w:w="432" w:type="dxa"/>
            <w:shd w:val="clear" w:color="auto" w:fill="FABF8F"/>
            <w:vAlign w:val="center"/>
          </w:tcPr>
          <w:p w:rsidR="006F741C" w:rsidRPr="000A1C8E" w:rsidRDefault="006F741C">
            <w:pPr>
              <w:pStyle w:val="TableText"/>
              <w:rPr>
                <w:rFonts w:ascii="Tahoma" w:hAnsi="Tahoma" w:cs="Tahoma"/>
                <w:sz w:val="13"/>
              </w:rPr>
            </w:pPr>
          </w:p>
        </w:tc>
        <w:tc>
          <w:tcPr>
            <w:tcW w:w="396" w:type="dxa"/>
            <w:tcBorders>
              <w:right w:val="single" w:sz="18" w:space="0" w:color="auto"/>
            </w:tcBorders>
            <w:shd w:val="clear" w:color="auto" w:fill="FABF8F"/>
            <w:vAlign w:val="center"/>
          </w:tcPr>
          <w:p w:rsidR="006F741C" w:rsidRPr="000A1C8E" w:rsidRDefault="006F741C">
            <w:pPr>
              <w:pStyle w:val="TableText"/>
              <w:rPr>
                <w:rFonts w:ascii="Tahoma" w:hAnsi="Tahoma" w:cs="Tahoma"/>
                <w:sz w:val="13"/>
              </w:rPr>
            </w:pPr>
          </w:p>
        </w:tc>
        <w:tc>
          <w:tcPr>
            <w:tcW w:w="585" w:type="dxa"/>
            <w:tcBorders>
              <w:left w:val="single" w:sz="18" w:space="0" w:color="auto"/>
            </w:tcBorders>
            <w:shd w:val="clear" w:color="auto" w:fill="FABF8F"/>
            <w:vAlign w:val="center"/>
          </w:tcPr>
          <w:p w:rsidR="006F741C" w:rsidRPr="000A1C8E" w:rsidRDefault="006F741C">
            <w:pPr>
              <w:pStyle w:val="TableText"/>
              <w:rPr>
                <w:rFonts w:ascii="Tahoma" w:hAnsi="Tahoma" w:cs="Tahoma"/>
                <w:sz w:val="13"/>
              </w:rPr>
            </w:pPr>
          </w:p>
        </w:tc>
        <w:tc>
          <w:tcPr>
            <w:tcW w:w="432" w:type="dxa"/>
            <w:tcBorders>
              <w:right w:val="single" w:sz="18" w:space="0" w:color="auto"/>
            </w:tcBorders>
            <w:shd w:val="clear" w:color="auto" w:fill="FABF8F"/>
            <w:vAlign w:val="center"/>
          </w:tcPr>
          <w:p w:rsidR="006F741C" w:rsidRPr="000A1C8E"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0A1C8E" w:rsidRDefault="006F741C">
            <w:pPr>
              <w:pStyle w:val="TableText"/>
              <w:rPr>
                <w:rFonts w:ascii="Tahoma" w:hAnsi="Tahoma" w:cs="Tahoma"/>
                <w:sz w:val="13"/>
              </w:rPr>
            </w:pPr>
          </w:p>
        </w:tc>
        <w:tc>
          <w:tcPr>
            <w:tcW w:w="639" w:type="dxa"/>
            <w:shd w:val="clear" w:color="auto" w:fill="FABF8F"/>
            <w:vAlign w:val="center"/>
          </w:tcPr>
          <w:p w:rsidR="006F741C" w:rsidRPr="000A1C8E" w:rsidRDefault="006F741C" w:rsidP="00722522">
            <w:pPr>
              <w:pStyle w:val="TableText"/>
              <w:rPr>
                <w:rFonts w:ascii="Tahoma" w:hAnsi="Tahoma" w:cs="Tahoma"/>
                <w:sz w:val="13"/>
              </w:rPr>
            </w:pPr>
          </w:p>
        </w:tc>
        <w:tc>
          <w:tcPr>
            <w:tcW w:w="621" w:type="dxa"/>
            <w:shd w:val="clear" w:color="auto" w:fill="FABF8F"/>
            <w:vAlign w:val="center"/>
          </w:tcPr>
          <w:p w:rsidR="006F741C" w:rsidRPr="000A1C8E" w:rsidRDefault="006F741C">
            <w:pPr>
              <w:pStyle w:val="TableText"/>
              <w:rPr>
                <w:rFonts w:ascii="Tahoma" w:hAnsi="Tahoma" w:cs="Tahoma"/>
                <w:sz w:val="13"/>
              </w:rPr>
            </w:pPr>
          </w:p>
        </w:tc>
      </w:tr>
      <w:tr w:rsidR="00955DF1" w:rsidRPr="000A1C8E" w:rsidTr="00C0392A">
        <w:trPr>
          <w:trHeight w:val="123"/>
        </w:trPr>
        <w:tc>
          <w:tcPr>
            <w:tcW w:w="2610" w:type="dxa"/>
            <w:tcBorders>
              <w:bottom w:val="single" w:sz="4" w:space="0" w:color="auto"/>
            </w:tcBorders>
            <w:shd w:val="clear" w:color="auto" w:fill="auto"/>
          </w:tcPr>
          <w:p w:rsidR="00955DF1" w:rsidRPr="000A1C8E" w:rsidRDefault="00955DF1" w:rsidP="00805E66">
            <w:pPr>
              <w:pStyle w:val="ProductNames"/>
              <w:rPr>
                <w:rFonts w:ascii="Tahoma" w:hAnsi="Tahoma" w:cs="Tahoma"/>
                <w:sz w:val="14"/>
              </w:rPr>
            </w:pPr>
            <w:bookmarkStart w:id="135" w:name="_Toc361829013"/>
            <w:r w:rsidRPr="000A1C8E">
              <w:rPr>
                <w:rFonts w:ascii="Tahoma" w:hAnsi="Tahoma" w:cs="Tahoma"/>
                <w:sz w:val="14"/>
              </w:rPr>
              <w:t>Complemento do Windows Intune (Por</w:t>
            </w:r>
            <w:r w:rsidR="00805E66" w:rsidRPr="000A1C8E">
              <w:rPr>
                <w:rFonts w:ascii="Tahoma" w:hAnsi="Tahoma" w:cs="Tahoma"/>
                <w:sz w:val="14"/>
              </w:rPr>
              <w:t> </w:t>
            </w:r>
            <w:r w:rsidRPr="000A1C8E">
              <w:rPr>
                <w:rFonts w:ascii="Tahoma" w:hAnsi="Tahoma" w:cs="Tahoma"/>
                <w:sz w:val="14"/>
              </w:rPr>
              <w:t>Dispositivo)</w:t>
            </w:r>
            <w:bookmarkEnd w:id="135"/>
          </w:p>
        </w:tc>
        <w:tc>
          <w:tcPr>
            <w:tcW w:w="360" w:type="dxa"/>
            <w:tcBorders>
              <w:bottom w:val="single" w:sz="4" w:space="0" w:color="auto"/>
            </w:tcBorders>
            <w:shd w:val="clear" w:color="auto" w:fill="auto"/>
            <w:vAlign w:val="center"/>
          </w:tcPr>
          <w:p w:rsidR="00955DF1" w:rsidRPr="00DC1AC3" w:rsidRDefault="006C57E7" w:rsidP="009D43FB">
            <w:pPr>
              <w:pStyle w:val="TableText"/>
              <w:widowControl w:val="0"/>
              <w:rPr>
                <w:rStyle w:val="EndnoteReference"/>
                <w:rFonts w:cs="Tahoma"/>
                <w:b w:val="0"/>
                <w:color w:val="0000FF"/>
                <w:sz w:val="13"/>
                <w:szCs w:val="13"/>
              </w:rPr>
            </w:pPr>
            <w:hyperlink w:anchor="_34_Complemento_do" w:history="1">
              <w:r w:rsidR="003D47E7" w:rsidRPr="00DC1AC3">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tcPr>
          <w:p w:rsidR="00955DF1" w:rsidRPr="000A1C8E" w:rsidRDefault="00DB3ECB" w:rsidP="00BF08CC">
            <w:pPr>
              <w:pStyle w:val="TableText"/>
              <w:spacing w:before="60"/>
              <w:rPr>
                <w:rFonts w:ascii="Tahoma" w:hAnsi="Tahoma" w:cs="Tahoma"/>
                <w:sz w:val="13"/>
              </w:rPr>
            </w:pPr>
            <w:r w:rsidRPr="000A1C8E">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0A1C8E" w:rsidRDefault="00955DF1">
            <w:pPr>
              <w:pStyle w:val="TableText"/>
              <w:rPr>
                <w:rFonts w:ascii="Tahoma" w:hAnsi="Tahoma" w:cs="Tahoma"/>
                <w:sz w:val="13"/>
              </w:rPr>
            </w:pPr>
          </w:p>
        </w:tc>
        <w:tc>
          <w:tcPr>
            <w:tcW w:w="2790" w:type="dxa"/>
            <w:gridSpan w:val="7"/>
            <w:tcBorders>
              <w:left w:val="single" w:sz="18" w:space="0" w:color="auto"/>
              <w:bottom w:val="single" w:sz="4" w:space="0" w:color="auto"/>
              <w:right w:val="single" w:sz="18" w:space="0" w:color="auto"/>
            </w:tcBorders>
            <w:shd w:val="clear" w:color="auto" w:fill="auto"/>
            <w:vAlign w:val="center"/>
          </w:tcPr>
          <w:p w:rsidR="00955DF1" w:rsidRPr="000A1C8E" w:rsidRDefault="00955DF1">
            <w:pPr>
              <w:pStyle w:val="TableText"/>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955DF1" w:rsidRPr="000A1C8E" w:rsidRDefault="00955DF1">
            <w:pPr>
              <w:pStyle w:val="TableText"/>
              <w:rPr>
                <w:rFonts w:ascii="Tahoma" w:hAnsi="Tahoma" w:cs="Tahoma"/>
                <w:sz w:val="13"/>
              </w:rPr>
            </w:pPr>
          </w:p>
        </w:tc>
        <w:tc>
          <w:tcPr>
            <w:tcW w:w="432" w:type="dxa"/>
            <w:tcBorders>
              <w:bottom w:val="single" w:sz="4" w:space="0" w:color="auto"/>
            </w:tcBorders>
            <w:shd w:val="clear" w:color="auto" w:fill="auto"/>
            <w:vAlign w:val="center"/>
          </w:tcPr>
          <w:p w:rsidR="00955DF1" w:rsidRPr="000A1C8E" w:rsidRDefault="00955DF1">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955DF1" w:rsidRPr="000A1C8E" w:rsidRDefault="00955DF1">
            <w:pPr>
              <w:pStyle w:val="TableText"/>
              <w:rPr>
                <w:rFonts w:ascii="Tahoma" w:hAnsi="Tahoma" w:cs="Tahoma"/>
                <w:sz w:val="13"/>
              </w:rPr>
            </w:pPr>
          </w:p>
        </w:tc>
        <w:tc>
          <w:tcPr>
            <w:tcW w:w="585" w:type="dxa"/>
            <w:tcBorders>
              <w:left w:val="single" w:sz="18" w:space="0" w:color="auto"/>
              <w:bottom w:val="single" w:sz="4" w:space="0" w:color="auto"/>
            </w:tcBorders>
            <w:shd w:val="clear" w:color="auto" w:fill="auto"/>
            <w:vAlign w:val="center"/>
          </w:tcPr>
          <w:p w:rsidR="00955DF1" w:rsidRPr="000A1C8E" w:rsidRDefault="00955DF1">
            <w:pPr>
              <w:pStyle w:val="TableText"/>
              <w:rPr>
                <w:rFonts w:ascii="Tahoma" w:hAnsi="Tahoma" w:cs="Tahoma"/>
                <w:sz w:val="13"/>
              </w:rPr>
            </w:pPr>
          </w:p>
        </w:tc>
        <w:tc>
          <w:tcPr>
            <w:tcW w:w="432" w:type="dxa"/>
            <w:tcBorders>
              <w:bottom w:val="single" w:sz="4" w:space="0" w:color="auto"/>
              <w:right w:val="single" w:sz="18" w:space="0" w:color="auto"/>
            </w:tcBorders>
            <w:shd w:val="clear" w:color="auto" w:fill="auto"/>
            <w:vAlign w:val="center"/>
          </w:tcPr>
          <w:p w:rsidR="00955DF1" w:rsidRPr="000A1C8E"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0A1C8E" w:rsidRDefault="00955DF1">
            <w:pPr>
              <w:pStyle w:val="TableText"/>
              <w:rPr>
                <w:rFonts w:ascii="Tahoma" w:hAnsi="Tahoma" w:cs="Tahoma"/>
                <w:sz w:val="13"/>
              </w:rPr>
            </w:pPr>
          </w:p>
        </w:tc>
        <w:tc>
          <w:tcPr>
            <w:tcW w:w="639" w:type="dxa"/>
            <w:tcBorders>
              <w:bottom w:val="single" w:sz="4" w:space="0" w:color="auto"/>
            </w:tcBorders>
            <w:shd w:val="clear" w:color="auto" w:fill="auto"/>
            <w:vAlign w:val="center"/>
          </w:tcPr>
          <w:p w:rsidR="00955DF1" w:rsidRPr="000A1C8E" w:rsidRDefault="00955DF1" w:rsidP="00722522">
            <w:pPr>
              <w:pStyle w:val="TableText"/>
              <w:rPr>
                <w:rFonts w:ascii="Tahoma" w:hAnsi="Tahoma" w:cs="Tahoma"/>
                <w:sz w:val="13"/>
              </w:rPr>
            </w:pPr>
          </w:p>
        </w:tc>
        <w:tc>
          <w:tcPr>
            <w:tcW w:w="621" w:type="dxa"/>
            <w:tcBorders>
              <w:bottom w:val="single" w:sz="4" w:space="0" w:color="auto"/>
            </w:tcBorders>
            <w:shd w:val="clear" w:color="auto" w:fill="auto"/>
            <w:vAlign w:val="center"/>
          </w:tcPr>
          <w:p w:rsidR="00955DF1" w:rsidRPr="000A1C8E" w:rsidRDefault="00955DF1">
            <w:pPr>
              <w:pStyle w:val="TableText"/>
              <w:rPr>
                <w:rFonts w:ascii="Tahoma" w:hAnsi="Tahoma" w:cs="Tahoma"/>
                <w:sz w:val="13"/>
              </w:rPr>
            </w:pPr>
          </w:p>
        </w:tc>
      </w:tr>
    </w:tbl>
    <w:p w:rsidR="00091558" w:rsidRPr="000A1C8E" w:rsidRDefault="00091558">
      <w:pPr>
        <w:pStyle w:val="ProductPool"/>
        <w:rPr>
          <w:rFonts w:ascii="Tahoma" w:hAnsi="Tahoma" w:cs="Tahoma"/>
        </w:rPr>
      </w:pPr>
    </w:p>
    <w:p w:rsidR="0021637C" w:rsidRPr="000A1C8E" w:rsidRDefault="0021637C" w:rsidP="004E292A">
      <w:pPr>
        <w:pStyle w:val="Heading3"/>
        <w:rPr>
          <w:rFonts w:ascii="Tahoma" w:hAnsi="Tahoma" w:cs="Tahoma"/>
        </w:rPr>
      </w:pPr>
    </w:p>
    <w:p w:rsidR="00023FE7" w:rsidRPr="000A1C8E" w:rsidRDefault="00023FE7" w:rsidP="004E292A">
      <w:pPr>
        <w:pStyle w:val="Heading3"/>
        <w:rPr>
          <w:rFonts w:ascii="Tahoma" w:hAnsi="Tahoma" w:cs="Tahoma"/>
        </w:rPr>
      </w:pPr>
      <w:bookmarkStart w:id="136" w:name="_Toc336337908"/>
      <w:bookmarkStart w:id="137" w:name="_Toc361829014"/>
      <w:r w:rsidRPr="000A1C8E">
        <w:rPr>
          <w:rFonts w:ascii="Tahoma" w:hAnsi="Tahoma" w:cs="Tahoma"/>
          <w:sz w:val="22"/>
          <w:szCs w:val="22"/>
        </w:rPr>
        <w:t>POOL DE SERVIDORES</w:t>
      </w:r>
      <w:bookmarkEnd w:id="136"/>
      <w:bookmarkEnd w:id="137"/>
    </w:p>
    <w:p w:rsidR="00023FE7" w:rsidRPr="000A1C8E" w:rsidRDefault="00023FE7">
      <w:pPr>
        <w:rPr>
          <w:rFonts w:cs="Tahoma"/>
        </w:rPr>
      </w:pPr>
    </w:p>
    <w:tbl>
      <w:tblPr>
        <w:tblW w:w="10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33"/>
        <w:gridCol w:w="377"/>
        <w:gridCol w:w="360"/>
        <w:gridCol w:w="450"/>
        <w:gridCol w:w="450"/>
        <w:gridCol w:w="450"/>
        <w:gridCol w:w="450"/>
        <w:gridCol w:w="450"/>
        <w:gridCol w:w="360"/>
        <w:gridCol w:w="450"/>
        <w:gridCol w:w="450"/>
        <w:gridCol w:w="450"/>
        <w:gridCol w:w="369"/>
        <w:gridCol w:w="396"/>
        <w:gridCol w:w="396"/>
        <w:gridCol w:w="693"/>
        <w:gridCol w:w="486"/>
      </w:tblGrid>
      <w:tr w:rsidR="001C38D4" w:rsidRPr="000A1C8E" w:rsidTr="00D21781">
        <w:trPr>
          <w:cantSplit/>
          <w:trHeight w:val="389"/>
          <w:tblHeader/>
          <w:jc w:val="center"/>
        </w:trPr>
        <w:tc>
          <w:tcPr>
            <w:tcW w:w="2734" w:type="dxa"/>
            <w:gridSpan w:val="2"/>
            <w:vMerge w:val="restart"/>
            <w:tcBorders>
              <w:top w:val="single" w:sz="4" w:space="0" w:color="FFFFFF"/>
              <w:left w:val="single" w:sz="4" w:space="0" w:color="FFFFFF"/>
            </w:tcBorders>
          </w:tcPr>
          <w:p w:rsidR="00C031FA" w:rsidRPr="000A1C8E" w:rsidRDefault="005761A6">
            <w:pPr>
              <w:rPr>
                <w:rFonts w:cs="Tahoma"/>
                <w:sz w:val="20"/>
              </w:rPr>
            </w:pPr>
            <w:r>
              <w:rPr>
                <w:rFonts w:cs="Tahoma"/>
                <w:noProof/>
              </w:rPr>
              <mc:AlternateContent>
                <mc:Choice Requires="wps">
                  <w:drawing>
                    <wp:anchor distT="0" distB="0" distL="114300" distR="114300" simplePos="0" relativeHeight="251663872" behindDoc="0" locked="0" layoutInCell="1" allowOverlap="1">
                      <wp:simplePos x="0" y="0"/>
                      <wp:positionH relativeFrom="column">
                        <wp:posOffset>1645920</wp:posOffset>
                      </wp:positionH>
                      <wp:positionV relativeFrom="page">
                        <wp:posOffset>863600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0565" w:rsidRDefault="00140565">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6pt;margin-top:68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" filled="f" stroked="f">
                      <v:textbox style="mso-fit-shape-to-text:t">
                        <w:txbxContent>
                          <w:p w:rsidR="00140565" w:rsidRDefault="00140565">
                            <w:pPr>
                              <w:rPr>
                                <w:color w:val="0000FF"/>
                                <w:sz w:val="20"/>
                              </w:rPr>
                            </w:pPr>
                            <w:r>
                              <w:rPr>
                                <w:rFonts w:cs="Tahoma"/>
                                <w:b/>
                                <w:color w:val="0000FF"/>
                                <w:sz w:val="8"/>
                              </w:rPr>
                              <w:t>(Ctrl + clique)</w:t>
                            </w:r>
                          </w:p>
                        </w:txbxContent>
                      </v:textbox>
                      <w10:wrap anchory="page"/>
                    </v:shape>
                  </w:pict>
                </mc:Fallback>
              </mc:AlternateContent>
            </w:r>
          </w:p>
        </w:tc>
        <w:tc>
          <w:tcPr>
            <w:tcW w:w="450" w:type="dxa"/>
            <w:vMerge w:val="restart"/>
            <w:tcBorders>
              <w:top w:val="single" w:sz="12" w:space="0" w:color="auto"/>
            </w:tcBorders>
            <w:textDirection w:val="btLr"/>
            <w:vAlign w:val="center"/>
          </w:tcPr>
          <w:p w:rsidR="00C031FA" w:rsidRPr="000A1C8E" w:rsidRDefault="00C031FA" w:rsidP="00911A2D">
            <w:pPr>
              <w:pStyle w:val="TableVerticalText"/>
              <w:rPr>
                <w:rFonts w:ascii="Tahoma" w:hAnsi="Tahoma" w:cs="Tahoma"/>
                <w:sz w:val="9"/>
              </w:rPr>
            </w:pPr>
            <w:r w:rsidRPr="000A1C8E">
              <w:rPr>
                <w:rFonts w:ascii="Tahoma" w:hAnsi="Tahoma" w:cs="Tahoma"/>
                <w:sz w:val="9"/>
              </w:rPr>
              <w:t>Notas do Produto</w:t>
            </w:r>
          </w:p>
        </w:tc>
        <w:tc>
          <w:tcPr>
            <w:tcW w:w="433" w:type="dxa"/>
            <w:vMerge w:val="restart"/>
            <w:tcBorders>
              <w:top w:val="single" w:sz="12" w:space="0" w:color="auto"/>
            </w:tcBorders>
            <w:textDirection w:val="btLr"/>
            <w:vAlign w:val="center"/>
          </w:tcPr>
          <w:p w:rsidR="00C031FA" w:rsidRPr="000A1C8E" w:rsidRDefault="00C031FA" w:rsidP="00D21781">
            <w:pPr>
              <w:pStyle w:val="TableVerticalText"/>
              <w:rPr>
                <w:rFonts w:ascii="Tahoma" w:hAnsi="Tahoma" w:cs="Tahoma"/>
                <w:sz w:val="9"/>
              </w:rPr>
            </w:pPr>
            <w:r w:rsidRPr="000A1C8E">
              <w:rPr>
                <w:rFonts w:ascii="Tahoma" w:hAnsi="Tahoma" w:cs="Tahoma"/>
                <w:sz w:val="9"/>
              </w:rPr>
              <w:t>Data disponível</w:t>
            </w:r>
          </w:p>
        </w:tc>
        <w:tc>
          <w:tcPr>
            <w:tcW w:w="377" w:type="dxa"/>
            <w:vMerge w:val="restart"/>
            <w:tcBorders>
              <w:top w:val="single" w:sz="12" w:space="0" w:color="auto"/>
              <w:right w:val="single" w:sz="18" w:space="0" w:color="auto"/>
            </w:tcBorders>
            <w:textDirection w:val="btLr"/>
            <w:vAlign w:val="center"/>
          </w:tcPr>
          <w:p w:rsidR="00C031FA" w:rsidRPr="000A1C8E" w:rsidRDefault="00C031FA">
            <w:pPr>
              <w:pStyle w:val="TableVerticalText"/>
              <w:rPr>
                <w:rFonts w:ascii="Tahoma" w:hAnsi="Tahoma" w:cs="Tahoma"/>
                <w:sz w:val="9"/>
              </w:rPr>
            </w:pPr>
            <w:r w:rsidRPr="000A1C8E">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0A1C8E" w:rsidRDefault="00C031FA">
            <w:pPr>
              <w:pStyle w:val="TableHeadingsBlack"/>
              <w:rPr>
                <w:rFonts w:ascii="Tahoma" w:hAnsi="Tahoma" w:cs="Tahoma"/>
              </w:rPr>
            </w:pPr>
            <w:r w:rsidRPr="000A1C8E">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0A1C8E" w:rsidRDefault="00C031FA">
            <w:pPr>
              <w:pStyle w:val="TableHeadingsBlack"/>
              <w:rPr>
                <w:rFonts w:ascii="Tahoma" w:hAnsi="Tahoma" w:cs="Tahoma"/>
                <w:szCs w:val="11"/>
              </w:rPr>
            </w:pPr>
            <w:r w:rsidRPr="000A1C8E">
              <w:rPr>
                <w:rFonts w:ascii="Tahoma" w:hAnsi="Tahoma" w:cs="Tahoma"/>
                <w:szCs w:val="11"/>
              </w:rPr>
              <w:t>Licença Open</w:t>
            </w:r>
          </w:p>
        </w:tc>
        <w:tc>
          <w:tcPr>
            <w:tcW w:w="369" w:type="dxa"/>
            <w:vMerge w:val="restart"/>
            <w:tcBorders>
              <w:top w:val="single" w:sz="12" w:space="0" w:color="auto"/>
              <w:left w:val="single" w:sz="18" w:space="0" w:color="auto"/>
            </w:tcBorders>
            <w:textDirection w:val="btLr"/>
            <w:vAlign w:val="center"/>
          </w:tcPr>
          <w:p w:rsidR="00C031FA" w:rsidRPr="000A1C8E" w:rsidRDefault="00C031FA">
            <w:pPr>
              <w:pStyle w:val="TableVerticalText"/>
              <w:rPr>
                <w:rFonts w:ascii="Tahoma" w:hAnsi="Tahoma" w:cs="Tahoma"/>
                <w:sz w:val="9"/>
              </w:rPr>
            </w:pPr>
            <w:r w:rsidRPr="000A1C8E">
              <w:rPr>
                <w:rFonts w:ascii="Tahoma" w:hAnsi="Tahoma" w:cs="Tahoma"/>
                <w:sz w:val="9"/>
              </w:rPr>
              <w:t>Unidades Campus e School</w:t>
            </w:r>
          </w:p>
        </w:tc>
        <w:tc>
          <w:tcPr>
            <w:tcW w:w="396" w:type="dxa"/>
            <w:vMerge w:val="restart"/>
            <w:tcBorders>
              <w:top w:val="single" w:sz="12" w:space="0" w:color="auto"/>
              <w:right w:val="single" w:sz="18" w:space="0" w:color="auto"/>
            </w:tcBorders>
            <w:textDirection w:val="btLr"/>
            <w:vAlign w:val="center"/>
          </w:tcPr>
          <w:p w:rsidR="00C031FA" w:rsidRPr="000A1C8E" w:rsidRDefault="00C031FA" w:rsidP="00D21781">
            <w:pPr>
              <w:pStyle w:val="TableVerticalText"/>
              <w:rPr>
                <w:rFonts w:ascii="Tahoma" w:hAnsi="Tahoma" w:cs="Tahoma"/>
                <w:sz w:val="9"/>
              </w:rPr>
            </w:pPr>
            <w:r w:rsidRPr="000A1C8E">
              <w:rPr>
                <w:rFonts w:ascii="Tahoma" w:hAnsi="Tahoma" w:cs="Tahoma"/>
                <w:sz w:val="9"/>
              </w:rPr>
              <w:t>EA e EA Sub</w:t>
            </w:r>
          </w:p>
        </w:tc>
        <w:tc>
          <w:tcPr>
            <w:tcW w:w="396" w:type="dxa"/>
            <w:vMerge w:val="restart"/>
            <w:tcBorders>
              <w:top w:val="single" w:sz="12" w:space="0" w:color="auto"/>
              <w:left w:val="single" w:sz="18" w:space="0" w:color="auto"/>
              <w:right w:val="single" w:sz="18" w:space="0" w:color="auto"/>
            </w:tcBorders>
            <w:textDirection w:val="btLr"/>
            <w:vAlign w:val="center"/>
          </w:tcPr>
          <w:p w:rsidR="00C031FA" w:rsidRPr="000A1C8E" w:rsidRDefault="00C031FA">
            <w:pPr>
              <w:pStyle w:val="TableVerticalText"/>
              <w:rPr>
                <w:rFonts w:ascii="Tahoma" w:hAnsi="Tahoma" w:cs="Tahoma"/>
                <w:sz w:val="9"/>
              </w:rPr>
            </w:pPr>
            <w:r w:rsidRPr="000A1C8E">
              <w:rPr>
                <w:rFonts w:ascii="Tahoma" w:hAnsi="Tahoma" w:cs="Tahoma"/>
                <w:sz w:val="9"/>
              </w:rPr>
              <w:t>OV / OVS</w:t>
            </w:r>
          </w:p>
        </w:tc>
        <w:tc>
          <w:tcPr>
            <w:tcW w:w="693" w:type="dxa"/>
            <w:vMerge w:val="restart"/>
            <w:tcBorders>
              <w:top w:val="single" w:sz="12" w:space="0" w:color="auto"/>
            </w:tcBorders>
            <w:textDirection w:val="btLr"/>
            <w:vAlign w:val="center"/>
          </w:tcPr>
          <w:p w:rsidR="00C031FA" w:rsidRPr="000A1C8E" w:rsidRDefault="00C031FA" w:rsidP="00D21781">
            <w:pPr>
              <w:pStyle w:val="TableVerticalText"/>
              <w:spacing w:before="120"/>
              <w:rPr>
                <w:rFonts w:ascii="Tahoma" w:hAnsi="Tahoma" w:cs="Tahoma"/>
                <w:sz w:val="9"/>
              </w:rPr>
            </w:pPr>
            <w:r w:rsidRPr="000A1C8E">
              <w:rPr>
                <w:rFonts w:ascii="Tahoma" w:hAnsi="Tahoma" w:cs="Tahoma"/>
                <w:sz w:val="9"/>
              </w:rPr>
              <w:t>EES / OVS -ES</w:t>
            </w:r>
          </w:p>
        </w:tc>
        <w:tc>
          <w:tcPr>
            <w:tcW w:w="486" w:type="dxa"/>
            <w:vMerge w:val="restart"/>
            <w:tcBorders>
              <w:top w:val="single" w:sz="12" w:space="0" w:color="auto"/>
            </w:tcBorders>
            <w:textDirection w:val="btLr"/>
            <w:vAlign w:val="center"/>
          </w:tcPr>
          <w:p w:rsidR="00C031FA" w:rsidRPr="000A1C8E" w:rsidRDefault="00C031FA" w:rsidP="00456002">
            <w:pPr>
              <w:pStyle w:val="TableVerticalText"/>
              <w:rPr>
                <w:rFonts w:ascii="Tahoma" w:hAnsi="Tahoma" w:cs="Tahoma"/>
                <w:sz w:val="9"/>
              </w:rPr>
            </w:pPr>
            <w:r w:rsidRPr="000A1C8E">
              <w:rPr>
                <w:rFonts w:ascii="Tahoma" w:hAnsi="Tahoma" w:cs="Tahoma"/>
                <w:sz w:val="9"/>
              </w:rPr>
              <w:t>Mínimo de Licenças Open</w:t>
            </w:r>
          </w:p>
        </w:tc>
      </w:tr>
      <w:tr w:rsidR="001C38D4" w:rsidRPr="000A1C8E" w:rsidTr="00C16156">
        <w:trPr>
          <w:cantSplit/>
          <w:trHeight w:val="262"/>
          <w:tblHeader/>
          <w:jc w:val="center"/>
        </w:trPr>
        <w:tc>
          <w:tcPr>
            <w:tcW w:w="2734" w:type="dxa"/>
            <w:gridSpan w:val="2"/>
            <w:vMerge/>
            <w:tcBorders>
              <w:left w:val="single" w:sz="4" w:space="0" w:color="FFFFFF"/>
            </w:tcBorders>
          </w:tcPr>
          <w:p w:rsidR="00C031FA" w:rsidRPr="000A1C8E" w:rsidRDefault="00C031FA">
            <w:pPr>
              <w:rPr>
                <w:rFonts w:cs="Tahoma"/>
                <w:sz w:val="20"/>
              </w:rPr>
            </w:pPr>
          </w:p>
        </w:tc>
        <w:tc>
          <w:tcPr>
            <w:tcW w:w="450" w:type="dxa"/>
            <w:vMerge/>
          </w:tcPr>
          <w:p w:rsidR="00C031FA" w:rsidRPr="000A1C8E" w:rsidRDefault="00C031FA">
            <w:pPr>
              <w:rPr>
                <w:rFonts w:cs="Tahoma"/>
                <w:b/>
                <w:sz w:val="20"/>
              </w:rPr>
            </w:pPr>
          </w:p>
        </w:tc>
        <w:tc>
          <w:tcPr>
            <w:tcW w:w="433" w:type="dxa"/>
            <w:vMerge/>
          </w:tcPr>
          <w:p w:rsidR="00C031FA" w:rsidRPr="000A1C8E" w:rsidRDefault="00C031FA">
            <w:pPr>
              <w:rPr>
                <w:rFonts w:cs="Tahoma"/>
                <w:sz w:val="20"/>
              </w:rPr>
            </w:pPr>
          </w:p>
        </w:tc>
        <w:tc>
          <w:tcPr>
            <w:tcW w:w="377" w:type="dxa"/>
            <w:vMerge/>
            <w:tcBorders>
              <w:right w:val="single" w:sz="18" w:space="0" w:color="auto"/>
            </w:tcBorders>
          </w:tcPr>
          <w:p w:rsidR="00C031FA" w:rsidRPr="000A1C8E" w:rsidRDefault="00C031FA">
            <w:pPr>
              <w:rPr>
                <w:rFonts w:cs="Tahoma"/>
                <w:sz w:val="20"/>
              </w:rPr>
            </w:pPr>
          </w:p>
        </w:tc>
        <w:tc>
          <w:tcPr>
            <w:tcW w:w="360" w:type="dxa"/>
            <w:vMerge w:val="restart"/>
            <w:tcBorders>
              <w:left w:val="single" w:sz="18" w:space="0" w:color="auto"/>
            </w:tcBorders>
            <w:vAlign w:val="center"/>
          </w:tcPr>
          <w:p w:rsidR="00C031FA" w:rsidRPr="000A1C8E" w:rsidRDefault="00C031FA">
            <w:pPr>
              <w:pStyle w:val="TableHeadingsRed"/>
              <w:rPr>
                <w:rFonts w:ascii="Tahoma" w:hAnsi="Tahoma" w:cs="Tahoma"/>
                <w:sz w:val="9"/>
              </w:rPr>
            </w:pPr>
            <w:r w:rsidRPr="000A1C8E">
              <w:rPr>
                <w:rFonts w:ascii="Tahoma" w:hAnsi="Tahoma" w:cs="Tahoma"/>
                <w:sz w:val="9"/>
              </w:rPr>
              <w:t>L</w:t>
            </w:r>
          </w:p>
        </w:tc>
        <w:tc>
          <w:tcPr>
            <w:tcW w:w="1350" w:type="dxa"/>
            <w:gridSpan w:val="3"/>
            <w:vAlign w:val="center"/>
          </w:tcPr>
          <w:p w:rsidR="00C031FA" w:rsidRPr="000A1C8E" w:rsidRDefault="00C031FA">
            <w:pPr>
              <w:pStyle w:val="TableHeadingsGreen"/>
              <w:rPr>
                <w:rFonts w:ascii="Tahoma" w:hAnsi="Tahoma" w:cs="Tahoma"/>
                <w:sz w:val="9"/>
              </w:rPr>
            </w:pPr>
            <w:r w:rsidRPr="000A1C8E">
              <w:rPr>
                <w:rFonts w:ascii="Tahoma" w:hAnsi="Tahoma" w:cs="Tahoma"/>
                <w:sz w:val="9"/>
              </w:rPr>
              <w:t>L&amp;SA</w:t>
            </w:r>
          </w:p>
        </w:tc>
        <w:tc>
          <w:tcPr>
            <w:tcW w:w="1260" w:type="dxa"/>
            <w:gridSpan w:val="3"/>
            <w:tcBorders>
              <w:right w:val="single" w:sz="18" w:space="0" w:color="auto"/>
            </w:tcBorders>
            <w:vAlign w:val="center"/>
          </w:tcPr>
          <w:p w:rsidR="00C031FA" w:rsidRPr="000A1C8E" w:rsidRDefault="00C031FA">
            <w:pPr>
              <w:pStyle w:val="TableHeadingsBlue"/>
              <w:rPr>
                <w:rFonts w:ascii="Tahoma" w:hAnsi="Tahoma" w:cs="Tahoma"/>
                <w:sz w:val="9"/>
              </w:rPr>
            </w:pPr>
            <w:r w:rsidRPr="000A1C8E">
              <w:rPr>
                <w:rFonts w:ascii="Tahoma" w:hAnsi="Tahoma" w:cs="Tahoma"/>
                <w:sz w:val="9"/>
              </w:rPr>
              <w:t>SA</w:t>
            </w:r>
          </w:p>
        </w:tc>
        <w:tc>
          <w:tcPr>
            <w:tcW w:w="450" w:type="dxa"/>
            <w:vMerge w:val="restart"/>
            <w:tcBorders>
              <w:left w:val="single" w:sz="18" w:space="0" w:color="auto"/>
            </w:tcBorders>
            <w:vAlign w:val="center"/>
          </w:tcPr>
          <w:p w:rsidR="00C031FA" w:rsidRPr="000A1C8E" w:rsidRDefault="00C031FA">
            <w:pPr>
              <w:pStyle w:val="TableHeadingsRed"/>
              <w:rPr>
                <w:rFonts w:ascii="Tahoma" w:hAnsi="Tahoma" w:cs="Tahoma"/>
                <w:sz w:val="9"/>
              </w:rPr>
            </w:pPr>
            <w:r w:rsidRPr="000A1C8E">
              <w:rPr>
                <w:rFonts w:ascii="Tahoma" w:hAnsi="Tahoma" w:cs="Tahoma"/>
                <w:sz w:val="9"/>
              </w:rPr>
              <w:t>L</w:t>
            </w:r>
          </w:p>
        </w:tc>
        <w:tc>
          <w:tcPr>
            <w:tcW w:w="450" w:type="dxa"/>
            <w:vAlign w:val="center"/>
          </w:tcPr>
          <w:p w:rsidR="00C031FA" w:rsidRPr="000A1C8E" w:rsidRDefault="00C031FA">
            <w:pPr>
              <w:pStyle w:val="TableHeadingsGreen"/>
              <w:rPr>
                <w:rFonts w:ascii="Tahoma" w:hAnsi="Tahoma" w:cs="Tahoma"/>
                <w:sz w:val="9"/>
              </w:rPr>
            </w:pPr>
            <w:r w:rsidRPr="000A1C8E">
              <w:rPr>
                <w:rFonts w:ascii="Tahoma" w:hAnsi="Tahoma" w:cs="Tahoma"/>
                <w:sz w:val="9"/>
              </w:rPr>
              <w:t>L&amp;SA</w:t>
            </w:r>
          </w:p>
        </w:tc>
        <w:tc>
          <w:tcPr>
            <w:tcW w:w="450" w:type="dxa"/>
            <w:vMerge w:val="restart"/>
            <w:tcBorders>
              <w:right w:val="single" w:sz="18" w:space="0" w:color="auto"/>
            </w:tcBorders>
            <w:vAlign w:val="center"/>
          </w:tcPr>
          <w:p w:rsidR="00C031FA" w:rsidRPr="000A1C8E" w:rsidRDefault="00C031FA">
            <w:pPr>
              <w:pStyle w:val="TableHeadingsBlue"/>
              <w:rPr>
                <w:rFonts w:ascii="Tahoma" w:hAnsi="Tahoma" w:cs="Tahoma"/>
                <w:sz w:val="9"/>
              </w:rPr>
            </w:pPr>
            <w:r w:rsidRPr="000A1C8E">
              <w:rPr>
                <w:rFonts w:ascii="Tahoma" w:hAnsi="Tahoma" w:cs="Tahoma"/>
                <w:sz w:val="9"/>
              </w:rPr>
              <w:t>SA</w:t>
            </w:r>
          </w:p>
        </w:tc>
        <w:tc>
          <w:tcPr>
            <w:tcW w:w="369" w:type="dxa"/>
            <w:vMerge/>
            <w:tcBorders>
              <w:left w:val="single" w:sz="18" w:space="0" w:color="auto"/>
            </w:tcBorders>
          </w:tcPr>
          <w:p w:rsidR="00C031FA" w:rsidRPr="000A1C8E" w:rsidRDefault="00C031FA">
            <w:pPr>
              <w:rPr>
                <w:rFonts w:cs="Tahoma"/>
                <w:sz w:val="20"/>
              </w:rPr>
            </w:pPr>
          </w:p>
        </w:tc>
        <w:tc>
          <w:tcPr>
            <w:tcW w:w="396" w:type="dxa"/>
            <w:vMerge/>
            <w:tcBorders>
              <w:right w:val="single" w:sz="18" w:space="0" w:color="auto"/>
            </w:tcBorders>
          </w:tcPr>
          <w:p w:rsidR="00C031FA" w:rsidRPr="000A1C8E" w:rsidRDefault="00C031FA">
            <w:pPr>
              <w:rPr>
                <w:rFonts w:cs="Tahoma"/>
                <w:sz w:val="20"/>
              </w:rPr>
            </w:pPr>
          </w:p>
        </w:tc>
        <w:tc>
          <w:tcPr>
            <w:tcW w:w="396" w:type="dxa"/>
            <w:vMerge/>
            <w:tcBorders>
              <w:left w:val="single" w:sz="18" w:space="0" w:color="auto"/>
              <w:right w:val="single" w:sz="18" w:space="0" w:color="auto"/>
            </w:tcBorders>
          </w:tcPr>
          <w:p w:rsidR="00C031FA" w:rsidRPr="000A1C8E" w:rsidRDefault="00C031FA">
            <w:pPr>
              <w:rPr>
                <w:rFonts w:cs="Tahoma"/>
                <w:sz w:val="20"/>
              </w:rPr>
            </w:pPr>
          </w:p>
        </w:tc>
        <w:tc>
          <w:tcPr>
            <w:tcW w:w="693" w:type="dxa"/>
            <w:vMerge/>
          </w:tcPr>
          <w:p w:rsidR="00C031FA" w:rsidRPr="000A1C8E" w:rsidRDefault="00C031FA">
            <w:pPr>
              <w:rPr>
                <w:rFonts w:cs="Tahoma"/>
                <w:sz w:val="20"/>
              </w:rPr>
            </w:pPr>
          </w:p>
        </w:tc>
        <w:tc>
          <w:tcPr>
            <w:tcW w:w="486" w:type="dxa"/>
            <w:vMerge/>
          </w:tcPr>
          <w:p w:rsidR="00C031FA" w:rsidRPr="000A1C8E" w:rsidRDefault="00C031FA">
            <w:pPr>
              <w:rPr>
                <w:rFonts w:cs="Tahoma"/>
                <w:sz w:val="20"/>
              </w:rPr>
            </w:pPr>
          </w:p>
        </w:tc>
      </w:tr>
      <w:tr w:rsidR="001C38D4" w:rsidRPr="000A1C8E" w:rsidTr="00FE19D1">
        <w:trPr>
          <w:cantSplit/>
          <w:trHeight w:val="1052"/>
          <w:tblHeader/>
          <w:jc w:val="center"/>
        </w:trPr>
        <w:tc>
          <w:tcPr>
            <w:tcW w:w="2734" w:type="dxa"/>
            <w:gridSpan w:val="2"/>
            <w:vMerge/>
            <w:tcBorders>
              <w:left w:val="single" w:sz="4" w:space="0" w:color="FFFFFF"/>
              <w:bottom w:val="single" w:sz="4" w:space="0" w:color="auto"/>
            </w:tcBorders>
          </w:tcPr>
          <w:p w:rsidR="00C031FA" w:rsidRPr="000A1C8E" w:rsidRDefault="00C031FA">
            <w:pPr>
              <w:rPr>
                <w:rFonts w:cs="Tahoma"/>
                <w:sz w:val="20"/>
              </w:rPr>
            </w:pPr>
          </w:p>
        </w:tc>
        <w:tc>
          <w:tcPr>
            <w:tcW w:w="450" w:type="dxa"/>
            <w:vMerge/>
            <w:tcBorders>
              <w:bottom w:val="single" w:sz="4" w:space="0" w:color="auto"/>
            </w:tcBorders>
          </w:tcPr>
          <w:p w:rsidR="00C031FA" w:rsidRPr="000A1C8E" w:rsidRDefault="00C031FA">
            <w:pPr>
              <w:rPr>
                <w:rFonts w:cs="Tahoma"/>
                <w:b/>
                <w:sz w:val="20"/>
              </w:rPr>
            </w:pPr>
          </w:p>
        </w:tc>
        <w:tc>
          <w:tcPr>
            <w:tcW w:w="433" w:type="dxa"/>
            <w:vMerge/>
            <w:tcBorders>
              <w:bottom w:val="single" w:sz="4" w:space="0" w:color="auto"/>
            </w:tcBorders>
          </w:tcPr>
          <w:p w:rsidR="00C031FA" w:rsidRPr="000A1C8E" w:rsidRDefault="00C031FA">
            <w:pPr>
              <w:rPr>
                <w:rFonts w:cs="Tahoma"/>
                <w:sz w:val="20"/>
              </w:rPr>
            </w:pPr>
          </w:p>
        </w:tc>
        <w:tc>
          <w:tcPr>
            <w:tcW w:w="377" w:type="dxa"/>
            <w:vMerge/>
            <w:tcBorders>
              <w:bottom w:val="single" w:sz="4" w:space="0" w:color="auto"/>
              <w:right w:val="single" w:sz="18" w:space="0" w:color="auto"/>
            </w:tcBorders>
          </w:tcPr>
          <w:p w:rsidR="00C031FA" w:rsidRPr="000A1C8E" w:rsidRDefault="00C031FA">
            <w:pPr>
              <w:rPr>
                <w:rFonts w:cs="Tahoma"/>
                <w:sz w:val="20"/>
              </w:rPr>
            </w:pPr>
          </w:p>
        </w:tc>
        <w:tc>
          <w:tcPr>
            <w:tcW w:w="360" w:type="dxa"/>
            <w:vMerge/>
            <w:tcBorders>
              <w:left w:val="single" w:sz="18" w:space="0" w:color="auto"/>
              <w:bottom w:val="single" w:sz="4" w:space="0" w:color="auto"/>
            </w:tcBorders>
            <w:vAlign w:val="center"/>
          </w:tcPr>
          <w:p w:rsidR="00C031FA" w:rsidRPr="000A1C8E" w:rsidRDefault="00C031FA">
            <w:pPr>
              <w:jc w:val="center"/>
              <w:rPr>
                <w:rFonts w:cs="Tahoma"/>
                <w:sz w:val="20"/>
              </w:rPr>
            </w:pPr>
          </w:p>
        </w:tc>
        <w:tc>
          <w:tcPr>
            <w:tcW w:w="450" w:type="dxa"/>
            <w:tcBorders>
              <w:bottom w:val="single" w:sz="4" w:space="0" w:color="auto"/>
            </w:tcBorders>
            <w:vAlign w:val="center"/>
          </w:tcPr>
          <w:p w:rsidR="00C031FA" w:rsidRPr="000A1C8E" w:rsidRDefault="00C031FA">
            <w:pPr>
              <w:pStyle w:val="TableHeadingsGreen"/>
              <w:rPr>
                <w:rFonts w:ascii="Tahoma" w:hAnsi="Tahoma" w:cs="Tahoma"/>
                <w:sz w:val="9"/>
              </w:rPr>
            </w:pPr>
            <w:r w:rsidRPr="000A1C8E">
              <w:rPr>
                <w:rFonts w:ascii="Tahoma" w:hAnsi="Tahoma" w:cs="Tahoma"/>
                <w:sz w:val="9"/>
              </w:rPr>
              <w:t>3An</w:t>
            </w:r>
          </w:p>
        </w:tc>
        <w:tc>
          <w:tcPr>
            <w:tcW w:w="450" w:type="dxa"/>
            <w:tcBorders>
              <w:bottom w:val="single" w:sz="4" w:space="0" w:color="auto"/>
            </w:tcBorders>
            <w:vAlign w:val="center"/>
          </w:tcPr>
          <w:p w:rsidR="00C031FA" w:rsidRPr="000A1C8E" w:rsidRDefault="00C031FA">
            <w:pPr>
              <w:pStyle w:val="TableHeadingsGreen"/>
              <w:rPr>
                <w:rFonts w:ascii="Tahoma" w:hAnsi="Tahoma" w:cs="Tahoma"/>
                <w:sz w:val="9"/>
              </w:rPr>
            </w:pPr>
            <w:r w:rsidRPr="000A1C8E">
              <w:rPr>
                <w:rFonts w:ascii="Tahoma" w:hAnsi="Tahoma" w:cs="Tahoma"/>
                <w:sz w:val="9"/>
              </w:rPr>
              <w:t>2An</w:t>
            </w:r>
          </w:p>
        </w:tc>
        <w:tc>
          <w:tcPr>
            <w:tcW w:w="450" w:type="dxa"/>
            <w:tcBorders>
              <w:bottom w:val="single" w:sz="4" w:space="0" w:color="auto"/>
            </w:tcBorders>
            <w:vAlign w:val="center"/>
          </w:tcPr>
          <w:p w:rsidR="00C031FA" w:rsidRPr="000A1C8E" w:rsidRDefault="00C031FA">
            <w:pPr>
              <w:pStyle w:val="TableHeadingsGreen"/>
              <w:rPr>
                <w:rFonts w:ascii="Tahoma" w:hAnsi="Tahoma" w:cs="Tahoma"/>
                <w:sz w:val="9"/>
              </w:rPr>
            </w:pPr>
            <w:r w:rsidRPr="000A1C8E">
              <w:rPr>
                <w:rFonts w:ascii="Tahoma" w:hAnsi="Tahoma" w:cs="Tahoma"/>
                <w:sz w:val="9"/>
              </w:rPr>
              <w:t>1An</w:t>
            </w:r>
          </w:p>
        </w:tc>
        <w:tc>
          <w:tcPr>
            <w:tcW w:w="450" w:type="dxa"/>
            <w:tcBorders>
              <w:bottom w:val="single" w:sz="4" w:space="0" w:color="auto"/>
            </w:tcBorders>
            <w:vAlign w:val="center"/>
          </w:tcPr>
          <w:p w:rsidR="00C031FA" w:rsidRPr="000A1C8E" w:rsidRDefault="00C031FA">
            <w:pPr>
              <w:pStyle w:val="TableHeadingsBlue"/>
              <w:rPr>
                <w:rFonts w:ascii="Tahoma" w:hAnsi="Tahoma" w:cs="Tahoma"/>
                <w:sz w:val="9"/>
              </w:rPr>
            </w:pPr>
            <w:r w:rsidRPr="000A1C8E">
              <w:rPr>
                <w:rFonts w:ascii="Tahoma" w:hAnsi="Tahoma" w:cs="Tahoma"/>
                <w:sz w:val="9"/>
              </w:rPr>
              <w:t>3An</w:t>
            </w:r>
          </w:p>
        </w:tc>
        <w:tc>
          <w:tcPr>
            <w:tcW w:w="450" w:type="dxa"/>
            <w:tcBorders>
              <w:bottom w:val="single" w:sz="4" w:space="0" w:color="auto"/>
            </w:tcBorders>
            <w:vAlign w:val="center"/>
          </w:tcPr>
          <w:p w:rsidR="00C031FA" w:rsidRPr="000A1C8E" w:rsidRDefault="00C031FA">
            <w:pPr>
              <w:pStyle w:val="TableHeadingsBlue"/>
              <w:rPr>
                <w:rFonts w:ascii="Tahoma" w:hAnsi="Tahoma" w:cs="Tahoma"/>
                <w:sz w:val="9"/>
              </w:rPr>
            </w:pPr>
            <w:r w:rsidRPr="000A1C8E">
              <w:rPr>
                <w:rFonts w:ascii="Tahoma" w:hAnsi="Tahoma" w:cs="Tahoma"/>
                <w:sz w:val="9"/>
              </w:rPr>
              <w:t>2An</w:t>
            </w:r>
          </w:p>
        </w:tc>
        <w:tc>
          <w:tcPr>
            <w:tcW w:w="360" w:type="dxa"/>
            <w:tcBorders>
              <w:bottom w:val="single" w:sz="4" w:space="0" w:color="auto"/>
              <w:right w:val="single" w:sz="18" w:space="0" w:color="auto"/>
            </w:tcBorders>
            <w:vAlign w:val="center"/>
          </w:tcPr>
          <w:p w:rsidR="00C031FA" w:rsidRPr="000A1C8E" w:rsidRDefault="00C031FA">
            <w:pPr>
              <w:pStyle w:val="TableHeadingsBlue"/>
              <w:rPr>
                <w:rFonts w:ascii="Tahoma" w:hAnsi="Tahoma" w:cs="Tahoma"/>
                <w:sz w:val="9"/>
              </w:rPr>
            </w:pPr>
            <w:r w:rsidRPr="000A1C8E">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0A1C8E" w:rsidRDefault="00C031FA">
            <w:pPr>
              <w:jc w:val="center"/>
              <w:rPr>
                <w:rFonts w:cs="Tahoma"/>
                <w:sz w:val="20"/>
              </w:rPr>
            </w:pPr>
          </w:p>
        </w:tc>
        <w:tc>
          <w:tcPr>
            <w:tcW w:w="450" w:type="dxa"/>
            <w:tcBorders>
              <w:bottom w:val="single" w:sz="4" w:space="0" w:color="auto"/>
            </w:tcBorders>
            <w:vAlign w:val="center"/>
          </w:tcPr>
          <w:p w:rsidR="00C031FA" w:rsidRPr="000A1C8E" w:rsidRDefault="00C031FA">
            <w:pPr>
              <w:pStyle w:val="TableHeadingsGreen"/>
              <w:rPr>
                <w:rFonts w:ascii="Tahoma" w:hAnsi="Tahoma" w:cs="Tahoma"/>
                <w:sz w:val="9"/>
              </w:rPr>
            </w:pPr>
            <w:r w:rsidRPr="000A1C8E">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0A1C8E" w:rsidRDefault="00C031FA">
            <w:pPr>
              <w:jc w:val="center"/>
              <w:rPr>
                <w:rFonts w:cs="Tahoma"/>
                <w:sz w:val="20"/>
              </w:rPr>
            </w:pPr>
          </w:p>
        </w:tc>
        <w:tc>
          <w:tcPr>
            <w:tcW w:w="369" w:type="dxa"/>
            <w:vMerge/>
            <w:tcBorders>
              <w:left w:val="single" w:sz="18" w:space="0" w:color="auto"/>
              <w:bottom w:val="single" w:sz="4" w:space="0" w:color="auto"/>
            </w:tcBorders>
          </w:tcPr>
          <w:p w:rsidR="00C031FA" w:rsidRPr="000A1C8E" w:rsidRDefault="00C031FA">
            <w:pPr>
              <w:rPr>
                <w:rFonts w:cs="Tahoma"/>
                <w:sz w:val="20"/>
              </w:rPr>
            </w:pPr>
          </w:p>
        </w:tc>
        <w:tc>
          <w:tcPr>
            <w:tcW w:w="396" w:type="dxa"/>
            <w:vMerge/>
            <w:tcBorders>
              <w:bottom w:val="single" w:sz="4" w:space="0" w:color="auto"/>
              <w:right w:val="single" w:sz="18" w:space="0" w:color="auto"/>
            </w:tcBorders>
          </w:tcPr>
          <w:p w:rsidR="00C031FA" w:rsidRPr="000A1C8E" w:rsidRDefault="00C031FA">
            <w:pPr>
              <w:rPr>
                <w:rFonts w:cs="Tahoma"/>
                <w:sz w:val="20"/>
              </w:rPr>
            </w:pPr>
          </w:p>
        </w:tc>
        <w:tc>
          <w:tcPr>
            <w:tcW w:w="396" w:type="dxa"/>
            <w:vMerge/>
            <w:tcBorders>
              <w:left w:val="single" w:sz="18" w:space="0" w:color="auto"/>
              <w:bottom w:val="single" w:sz="4" w:space="0" w:color="auto"/>
              <w:right w:val="single" w:sz="18" w:space="0" w:color="auto"/>
            </w:tcBorders>
          </w:tcPr>
          <w:p w:rsidR="00C031FA" w:rsidRPr="000A1C8E" w:rsidRDefault="00C031FA">
            <w:pPr>
              <w:rPr>
                <w:rFonts w:cs="Tahoma"/>
                <w:sz w:val="20"/>
              </w:rPr>
            </w:pPr>
          </w:p>
        </w:tc>
        <w:tc>
          <w:tcPr>
            <w:tcW w:w="693" w:type="dxa"/>
            <w:vMerge/>
            <w:tcBorders>
              <w:bottom w:val="single" w:sz="4" w:space="0" w:color="auto"/>
            </w:tcBorders>
          </w:tcPr>
          <w:p w:rsidR="00C031FA" w:rsidRPr="000A1C8E" w:rsidRDefault="00C031FA">
            <w:pPr>
              <w:rPr>
                <w:rFonts w:cs="Tahoma"/>
                <w:sz w:val="20"/>
              </w:rPr>
            </w:pPr>
          </w:p>
        </w:tc>
        <w:tc>
          <w:tcPr>
            <w:tcW w:w="486" w:type="dxa"/>
            <w:vMerge/>
            <w:tcBorders>
              <w:bottom w:val="single" w:sz="4" w:space="0" w:color="auto"/>
            </w:tcBorders>
          </w:tcPr>
          <w:p w:rsidR="00C031FA" w:rsidRPr="000A1C8E" w:rsidRDefault="00C031FA">
            <w:pPr>
              <w:rPr>
                <w:rFonts w:cs="Tahoma"/>
                <w:sz w:val="20"/>
              </w:rPr>
            </w:pPr>
          </w:p>
        </w:tc>
      </w:tr>
      <w:tr w:rsidR="00EF228F" w:rsidRPr="000A1C8E" w:rsidTr="00C16156">
        <w:trPr>
          <w:trHeight w:val="145"/>
          <w:jc w:val="center"/>
        </w:trPr>
        <w:tc>
          <w:tcPr>
            <w:tcW w:w="2734" w:type="dxa"/>
            <w:gridSpan w:val="2"/>
            <w:tcBorders>
              <w:bottom w:val="single" w:sz="4" w:space="0" w:color="auto"/>
            </w:tcBorders>
            <w:shd w:val="clear" w:color="auto" w:fill="auto"/>
            <w:vAlign w:val="center"/>
          </w:tcPr>
          <w:p w:rsidR="00DC5AE8" w:rsidRPr="000A1C8E" w:rsidRDefault="00DC5AE8" w:rsidP="007E466C">
            <w:pPr>
              <w:pStyle w:val="ProductNames"/>
              <w:spacing w:before="0" w:after="0"/>
              <w:rPr>
                <w:rFonts w:ascii="Tahoma" w:hAnsi="Tahoma" w:cs="Tahoma"/>
                <w:sz w:val="14"/>
              </w:rPr>
            </w:pPr>
            <w:bookmarkStart w:id="138" w:name="_Toc361829015"/>
            <w:r w:rsidRPr="000A1C8E">
              <w:rPr>
                <w:rFonts w:ascii="Tahoma" w:hAnsi="Tahoma" w:cs="Tahoma"/>
                <w:sz w:val="14"/>
              </w:rPr>
              <w:t>Bing Maps Consumer Controlado por Assinatura Mensal de Ativos</w:t>
            </w:r>
            <w:bookmarkEnd w:id="138"/>
          </w:p>
        </w:tc>
        <w:tc>
          <w:tcPr>
            <w:tcW w:w="450" w:type="dxa"/>
            <w:tcBorders>
              <w:bottom w:val="single" w:sz="4" w:space="0" w:color="auto"/>
            </w:tcBorders>
            <w:shd w:val="clear" w:color="auto" w:fill="auto"/>
            <w:vAlign w:val="center"/>
          </w:tcPr>
          <w:p w:rsidR="00DC5AE8" w:rsidRPr="00DC1AC3" w:rsidRDefault="006C57E7" w:rsidP="009D43FB">
            <w:pPr>
              <w:jc w:val="center"/>
              <w:rPr>
                <w:rFonts w:ascii="Trebuchet MS" w:hAnsi="Trebuchet MS" w:cs="Tahoma"/>
                <w:b/>
                <w:sz w:val="13"/>
                <w:szCs w:val="13"/>
              </w:rPr>
            </w:pPr>
            <w:hyperlink w:anchor="_35_Complemento_de" w:history="1">
              <w:r w:rsidR="003D47E7"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DC5AE8" w:rsidRPr="000A1C8E" w:rsidRDefault="00DB3ECB" w:rsidP="002253A3">
            <w:pPr>
              <w:jc w:val="center"/>
              <w:rPr>
                <w:rFonts w:cs="Tahoma"/>
                <w:sz w:val="13"/>
              </w:rPr>
            </w:pPr>
            <w:r w:rsidRPr="000A1C8E">
              <w:rPr>
                <w:rFonts w:cs="Tahoma"/>
                <w:sz w:val="13"/>
              </w:rPr>
              <w:t>04/13</w:t>
            </w:r>
          </w:p>
        </w:tc>
        <w:tc>
          <w:tcPr>
            <w:tcW w:w="377" w:type="dxa"/>
            <w:tcBorders>
              <w:bottom w:val="single" w:sz="4" w:space="0" w:color="auto"/>
              <w:right w:val="single" w:sz="18" w:space="0" w:color="auto"/>
            </w:tcBorders>
            <w:shd w:val="clear" w:color="auto" w:fill="auto"/>
            <w:vAlign w:val="center"/>
          </w:tcPr>
          <w:p w:rsidR="00DC5AE8" w:rsidRPr="000A1C8E"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0A1C8E" w:rsidRDefault="00DC5AE8" w:rsidP="002253A3">
            <w:pPr>
              <w:jc w:val="center"/>
              <w:rPr>
                <w:rFonts w:cs="Tahoma"/>
                <w:sz w:val="13"/>
              </w:rPr>
            </w:pPr>
            <w:r w:rsidRPr="000A1C8E">
              <w:rPr>
                <w:rFonts w:cs="Tahoma"/>
                <w:sz w:val="13"/>
              </w:rPr>
              <w:t>1 ponto</w:t>
            </w:r>
          </w:p>
        </w:tc>
        <w:tc>
          <w:tcPr>
            <w:tcW w:w="450" w:type="dxa"/>
            <w:tcBorders>
              <w:left w:val="single" w:sz="18" w:space="0" w:color="auto"/>
              <w:bottom w:val="single" w:sz="4" w:space="0" w:color="auto"/>
            </w:tcBorders>
            <w:shd w:val="clear" w:color="auto" w:fill="auto"/>
            <w:vAlign w:val="center"/>
          </w:tcPr>
          <w:p w:rsidR="00DC5AE8" w:rsidRPr="000A1C8E" w:rsidRDefault="00DC5AE8" w:rsidP="002253A3">
            <w:pPr>
              <w:jc w:val="center"/>
              <w:rPr>
                <w:rFonts w:cs="Tahoma"/>
                <w:sz w:val="13"/>
              </w:rPr>
            </w:pPr>
            <w:r w:rsidRPr="000A1C8E">
              <w:rPr>
                <w:rFonts w:cs="Tahoma"/>
                <w:sz w:val="13"/>
              </w:rPr>
              <w:t>1</w:t>
            </w:r>
          </w:p>
        </w:tc>
        <w:tc>
          <w:tcPr>
            <w:tcW w:w="450" w:type="dxa"/>
            <w:tcBorders>
              <w:bottom w:val="single" w:sz="4" w:space="0" w:color="auto"/>
            </w:tcBorders>
            <w:shd w:val="clear" w:color="auto" w:fill="auto"/>
            <w:vAlign w:val="center"/>
          </w:tcPr>
          <w:p w:rsidR="00DC5AE8" w:rsidRPr="000A1C8E"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0A1C8E" w:rsidRDefault="00DC5AE8" w:rsidP="002253A3">
            <w:pPr>
              <w:jc w:val="center"/>
              <w:rPr>
                <w:rFonts w:cs="Tahoma"/>
                <w:sz w:val="13"/>
              </w:rPr>
            </w:pPr>
          </w:p>
        </w:tc>
        <w:tc>
          <w:tcPr>
            <w:tcW w:w="369" w:type="dxa"/>
            <w:tcBorders>
              <w:left w:val="single" w:sz="18" w:space="0" w:color="auto"/>
              <w:bottom w:val="single" w:sz="4" w:space="0" w:color="auto"/>
            </w:tcBorders>
            <w:shd w:val="clear" w:color="auto" w:fill="auto"/>
            <w:vAlign w:val="center"/>
          </w:tcPr>
          <w:p w:rsidR="00DC5AE8" w:rsidRPr="000A1C8E" w:rsidRDefault="00DC5AE8" w:rsidP="002253A3">
            <w:pPr>
              <w:jc w:val="center"/>
              <w:rPr>
                <w:rFonts w:cs="Tahoma"/>
                <w:sz w:val="13"/>
              </w:rPr>
            </w:pPr>
          </w:p>
        </w:tc>
        <w:tc>
          <w:tcPr>
            <w:tcW w:w="396" w:type="dxa"/>
            <w:tcBorders>
              <w:bottom w:val="single" w:sz="4" w:space="0" w:color="auto"/>
              <w:right w:val="single" w:sz="18" w:space="0" w:color="auto"/>
            </w:tcBorders>
            <w:shd w:val="clear" w:color="auto" w:fill="auto"/>
            <w:vAlign w:val="center"/>
          </w:tcPr>
          <w:p w:rsidR="00DC5AE8" w:rsidRPr="000A1C8E" w:rsidRDefault="00DC5AE8" w:rsidP="002253A3">
            <w:pPr>
              <w:jc w:val="center"/>
              <w:rPr>
                <w:rFonts w:cs="Tahoma"/>
                <w:sz w:val="13"/>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DC5AE8" w:rsidRPr="000A1C8E" w:rsidRDefault="00DC5AE8" w:rsidP="002253A3">
            <w:pPr>
              <w:jc w:val="center"/>
              <w:rPr>
                <w:rFonts w:cs="Tahoma"/>
                <w:sz w:val="13"/>
              </w:rPr>
            </w:pPr>
            <w:r w:rsidRPr="000A1C8E">
              <w:rPr>
                <w:rFonts w:cs="Tahoma"/>
                <w:sz w:val="13"/>
              </w:rPr>
              <w:t>P</w:t>
            </w:r>
          </w:p>
        </w:tc>
        <w:tc>
          <w:tcPr>
            <w:tcW w:w="693" w:type="dxa"/>
            <w:tcBorders>
              <w:bottom w:val="single" w:sz="4" w:space="0" w:color="auto"/>
            </w:tcBorders>
            <w:shd w:val="clear" w:color="auto" w:fill="auto"/>
            <w:vAlign w:val="center"/>
          </w:tcPr>
          <w:p w:rsidR="00DC5AE8" w:rsidRPr="000A1C8E" w:rsidRDefault="00DC5AE8" w:rsidP="002253A3">
            <w:pPr>
              <w:jc w:val="center"/>
              <w:rPr>
                <w:rFonts w:cs="Tahoma"/>
                <w:sz w:val="13"/>
              </w:rPr>
            </w:pPr>
          </w:p>
        </w:tc>
        <w:tc>
          <w:tcPr>
            <w:tcW w:w="486" w:type="dxa"/>
            <w:tcBorders>
              <w:bottom w:val="single" w:sz="4" w:space="0" w:color="auto"/>
            </w:tcBorders>
            <w:shd w:val="clear" w:color="auto" w:fill="auto"/>
            <w:vAlign w:val="center"/>
          </w:tcPr>
          <w:p w:rsidR="00DC5AE8" w:rsidRPr="000A1C8E" w:rsidRDefault="00DC5AE8" w:rsidP="002253A3">
            <w:pPr>
              <w:jc w:val="center"/>
              <w:rPr>
                <w:rFonts w:cs="Tahoma"/>
                <w:sz w:val="13"/>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AD481C">
            <w:pPr>
              <w:pStyle w:val="ProductNames"/>
              <w:spacing w:before="0" w:after="0"/>
              <w:rPr>
                <w:rFonts w:ascii="Tahoma" w:hAnsi="Tahoma" w:cs="Tahoma"/>
                <w:sz w:val="14"/>
              </w:rPr>
            </w:pPr>
            <w:bookmarkStart w:id="139" w:name="_Toc361829016"/>
            <w:r w:rsidRPr="000A1C8E">
              <w:rPr>
                <w:rFonts w:ascii="Tahoma" w:hAnsi="Tahoma" w:cs="Tahoma"/>
                <w:sz w:val="14"/>
              </w:rPr>
              <w:t>Valor da Assinatura Mensal do Bing Maps Enterprise</w:t>
            </w:r>
            <w:bookmarkEnd w:id="139"/>
          </w:p>
        </w:tc>
        <w:tc>
          <w:tcPr>
            <w:tcW w:w="450" w:type="dxa"/>
            <w:tcBorders>
              <w:bottom w:val="single" w:sz="4" w:space="0" w:color="auto"/>
            </w:tcBorders>
            <w:shd w:val="clear" w:color="auto" w:fill="FABF8F"/>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FABF8F"/>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50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50</w:t>
            </w:r>
          </w:p>
        </w:tc>
        <w:tc>
          <w:tcPr>
            <w:tcW w:w="450" w:type="dxa"/>
            <w:tcBorders>
              <w:bottom w:val="single" w:sz="4" w:space="0" w:color="auto"/>
            </w:tcBorders>
            <w:shd w:val="clear" w:color="auto" w:fill="FABF8F"/>
            <w:vAlign w:val="center"/>
          </w:tcPr>
          <w:p w:rsidR="001A63C6" w:rsidRPr="000A1C8E"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FABF8F"/>
            <w:vAlign w:val="center"/>
          </w:tcPr>
          <w:p w:rsidR="001A63C6" w:rsidRPr="000A1C8E" w:rsidRDefault="001A63C6" w:rsidP="002253A3">
            <w:pPr>
              <w:jc w:val="center"/>
              <w:rPr>
                <w:rFonts w:cs="Tahoma"/>
                <w:sz w:val="14"/>
              </w:rPr>
            </w:pPr>
          </w:p>
        </w:tc>
        <w:tc>
          <w:tcPr>
            <w:tcW w:w="486" w:type="dxa"/>
            <w:tcBorders>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ProductNames"/>
              <w:spacing w:before="0" w:after="0"/>
              <w:rPr>
                <w:rFonts w:ascii="Tahoma" w:hAnsi="Tahoma" w:cs="Tahoma"/>
                <w:sz w:val="14"/>
              </w:rPr>
            </w:pPr>
            <w:bookmarkStart w:id="140" w:name="_Toc361829017"/>
            <w:r w:rsidRPr="000A1C8E">
              <w:rPr>
                <w:rFonts w:ascii="Tahoma" w:hAnsi="Tahoma" w:cs="Tahoma"/>
                <w:sz w:val="14"/>
              </w:rPr>
              <w:t>Assinatura Mensal de 100 Mil Transações de Uso de Site Público do Bing Maps</w:t>
            </w:r>
            <w:bookmarkEnd w:id="140"/>
          </w:p>
        </w:tc>
        <w:tc>
          <w:tcPr>
            <w:tcW w:w="450" w:type="dxa"/>
            <w:tcBorders>
              <w:bottom w:val="single" w:sz="4" w:space="0" w:color="auto"/>
            </w:tcBorders>
            <w:shd w:val="clear" w:color="auto" w:fill="auto"/>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50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50</w:t>
            </w:r>
          </w:p>
        </w:tc>
        <w:tc>
          <w:tcPr>
            <w:tcW w:w="450" w:type="dxa"/>
            <w:tcBorders>
              <w:bottom w:val="single" w:sz="4" w:space="0" w:color="auto"/>
            </w:tcBorders>
            <w:shd w:val="clear" w:color="auto" w:fill="auto"/>
            <w:vAlign w:val="center"/>
          </w:tcPr>
          <w:p w:rsidR="001A63C6" w:rsidRPr="000A1C8E"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auto"/>
            <w:vAlign w:val="center"/>
          </w:tcPr>
          <w:p w:rsidR="001A63C6" w:rsidRPr="000A1C8E" w:rsidRDefault="001A63C6" w:rsidP="002253A3">
            <w:pPr>
              <w:jc w:val="center"/>
              <w:rPr>
                <w:rFonts w:cs="Tahoma"/>
                <w:sz w:val="14"/>
              </w:rPr>
            </w:pPr>
          </w:p>
        </w:tc>
        <w:tc>
          <w:tcPr>
            <w:tcW w:w="486" w:type="dxa"/>
            <w:tcBorders>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spacing w:before="0" w:after="0"/>
              <w:rPr>
                <w:rFonts w:ascii="Tahoma" w:hAnsi="Tahoma" w:cs="Tahoma"/>
                <w:sz w:val="14"/>
              </w:rPr>
            </w:pPr>
            <w:bookmarkStart w:id="141" w:name="_Toc361829018"/>
            <w:r w:rsidRPr="000A1C8E">
              <w:rPr>
                <w:rFonts w:ascii="Tahoma" w:hAnsi="Tahoma" w:cs="Tahoma"/>
                <w:sz w:val="14"/>
              </w:rPr>
              <w:t>Assinatura Mensal de 250 Mil Transações de Uso de Site Público do Bing Maps</w:t>
            </w:r>
            <w:bookmarkEnd w:id="141"/>
          </w:p>
        </w:tc>
        <w:tc>
          <w:tcPr>
            <w:tcW w:w="450" w:type="dxa"/>
            <w:tcBorders>
              <w:bottom w:val="single" w:sz="4" w:space="0" w:color="auto"/>
            </w:tcBorders>
            <w:shd w:val="clear" w:color="auto" w:fill="FABF8F"/>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FABF8F"/>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125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125</w:t>
            </w:r>
          </w:p>
        </w:tc>
        <w:tc>
          <w:tcPr>
            <w:tcW w:w="450" w:type="dxa"/>
            <w:tcBorders>
              <w:bottom w:val="single" w:sz="4" w:space="0" w:color="auto"/>
            </w:tcBorders>
            <w:shd w:val="clear" w:color="auto" w:fill="FABF8F"/>
            <w:vAlign w:val="center"/>
          </w:tcPr>
          <w:p w:rsidR="001A63C6" w:rsidRPr="000A1C8E"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FABF8F"/>
            <w:vAlign w:val="center"/>
          </w:tcPr>
          <w:p w:rsidR="001A63C6" w:rsidRPr="000A1C8E" w:rsidRDefault="001A63C6" w:rsidP="002253A3">
            <w:pPr>
              <w:jc w:val="center"/>
              <w:rPr>
                <w:rFonts w:cs="Tahoma"/>
                <w:sz w:val="14"/>
              </w:rPr>
            </w:pPr>
          </w:p>
        </w:tc>
        <w:tc>
          <w:tcPr>
            <w:tcW w:w="486" w:type="dxa"/>
            <w:tcBorders>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ProductNames"/>
              <w:spacing w:before="0" w:after="0"/>
              <w:rPr>
                <w:rFonts w:ascii="Tahoma" w:hAnsi="Tahoma" w:cs="Tahoma"/>
                <w:sz w:val="14"/>
              </w:rPr>
            </w:pPr>
            <w:bookmarkStart w:id="142" w:name="_Toc361829019"/>
            <w:r w:rsidRPr="000A1C8E">
              <w:rPr>
                <w:rFonts w:ascii="Tahoma" w:hAnsi="Tahoma" w:cs="Tahoma"/>
                <w:sz w:val="14"/>
              </w:rPr>
              <w:t>Assinatura Mensal de 420 Mil (e valores superiores) Transações de Uso de Site Público do Bing Maps</w:t>
            </w:r>
            <w:bookmarkEnd w:id="142"/>
          </w:p>
        </w:tc>
        <w:tc>
          <w:tcPr>
            <w:tcW w:w="450" w:type="dxa"/>
            <w:tcBorders>
              <w:bottom w:val="single" w:sz="4" w:space="0" w:color="auto"/>
            </w:tcBorders>
            <w:shd w:val="clear" w:color="auto" w:fill="auto"/>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200</w:t>
            </w:r>
          </w:p>
        </w:tc>
        <w:tc>
          <w:tcPr>
            <w:tcW w:w="450" w:type="dxa"/>
            <w:tcBorders>
              <w:bottom w:val="single" w:sz="4" w:space="0" w:color="auto"/>
            </w:tcBorders>
            <w:shd w:val="clear" w:color="auto" w:fill="auto"/>
            <w:vAlign w:val="center"/>
          </w:tcPr>
          <w:p w:rsidR="001A63C6" w:rsidRPr="000A1C8E"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auto"/>
            <w:vAlign w:val="center"/>
          </w:tcPr>
          <w:p w:rsidR="001A63C6" w:rsidRPr="000A1C8E" w:rsidRDefault="001A63C6" w:rsidP="002253A3">
            <w:pPr>
              <w:jc w:val="center"/>
              <w:rPr>
                <w:rFonts w:cs="Tahoma"/>
                <w:sz w:val="14"/>
              </w:rPr>
            </w:pPr>
          </w:p>
        </w:tc>
        <w:tc>
          <w:tcPr>
            <w:tcW w:w="486" w:type="dxa"/>
            <w:tcBorders>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spacing w:before="0" w:after="0"/>
              <w:rPr>
                <w:rFonts w:ascii="Tahoma" w:hAnsi="Tahoma" w:cs="Tahoma"/>
                <w:sz w:val="14"/>
              </w:rPr>
            </w:pPr>
            <w:bookmarkStart w:id="143" w:name="_Toc361829020"/>
            <w:r w:rsidRPr="000A1C8E">
              <w:rPr>
                <w:rFonts w:ascii="Tahoma" w:hAnsi="Tahoma" w:cs="Tahoma"/>
                <w:sz w:val="14"/>
              </w:rPr>
              <w:t>Assinatura Mensal de 100 Mil Transações de Uso de Site Interno do Bing Maps</w:t>
            </w:r>
            <w:bookmarkEnd w:id="143"/>
          </w:p>
        </w:tc>
        <w:tc>
          <w:tcPr>
            <w:tcW w:w="450" w:type="dxa"/>
            <w:tcBorders>
              <w:bottom w:val="single" w:sz="4" w:space="0" w:color="auto"/>
            </w:tcBorders>
            <w:shd w:val="clear" w:color="auto" w:fill="FABF8F"/>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FABF8F"/>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125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125</w:t>
            </w:r>
          </w:p>
        </w:tc>
        <w:tc>
          <w:tcPr>
            <w:tcW w:w="450" w:type="dxa"/>
            <w:tcBorders>
              <w:bottom w:val="single" w:sz="4" w:space="0" w:color="auto"/>
            </w:tcBorders>
            <w:shd w:val="clear" w:color="auto" w:fill="FABF8F"/>
            <w:vAlign w:val="center"/>
          </w:tcPr>
          <w:p w:rsidR="001A63C6" w:rsidRPr="000A1C8E"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FABF8F"/>
            <w:vAlign w:val="center"/>
          </w:tcPr>
          <w:p w:rsidR="001A63C6" w:rsidRPr="000A1C8E" w:rsidRDefault="001A63C6" w:rsidP="002253A3">
            <w:pPr>
              <w:jc w:val="center"/>
              <w:rPr>
                <w:rFonts w:cs="Tahoma"/>
                <w:sz w:val="14"/>
              </w:rPr>
            </w:pPr>
          </w:p>
        </w:tc>
        <w:tc>
          <w:tcPr>
            <w:tcW w:w="486" w:type="dxa"/>
            <w:tcBorders>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ProductNames"/>
              <w:spacing w:before="0" w:after="0"/>
              <w:rPr>
                <w:rFonts w:ascii="Tahoma" w:hAnsi="Tahoma" w:cs="Tahoma"/>
                <w:sz w:val="14"/>
              </w:rPr>
            </w:pPr>
            <w:bookmarkStart w:id="144" w:name="_Toc361829021"/>
            <w:r w:rsidRPr="000A1C8E">
              <w:rPr>
                <w:rFonts w:ascii="Tahoma" w:hAnsi="Tahoma" w:cs="Tahoma"/>
                <w:sz w:val="14"/>
              </w:rPr>
              <w:t>Assinatura Mensal de 250 Mil (e valores superiores) Transações de Uso de Site Interno do Bing Maps</w:t>
            </w:r>
            <w:bookmarkEnd w:id="144"/>
          </w:p>
        </w:tc>
        <w:tc>
          <w:tcPr>
            <w:tcW w:w="450" w:type="dxa"/>
            <w:tcBorders>
              <w:bottom w:val="single" w:sz="4" w:space="0" w:color="auto"/>
            </w:tcBorders>
            <w:shd w:val="clear" w:color="auto" w:fill="auto"/>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200</w:t>
            </w:r>
          </w:p>
        </w:tc>
        <w:tc>
          <w:tcPr>
            <w:tcW w:w="450" w:type="dxa"/>
            <w:tcBorders>
              <w:bottom w:val="single" w:sz="4" w:space="0" w:color="auto"/>
            </w:tcBorders>
            <w:shd w:val="clear" w:color="auto" w:fill="auto"/>
            <w:vAlign w:val="center"/>
          </w:tcPr>
          <w:p w:rsidR="001A63C6" w:rsidRPr="000A1C8E"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auto"/>
            <w:vAlign w:val="center"/>
          </w:tcPr>
          <w:p w:rsidR="001A63C6" w:rsidRPr="000A1C8E" w:rsidRDefault="001A63C6" w:rsidP="002253A3">
            <w:pPr>
              <w:jc w:val="center"/>
              <w:rPr>
                <w:rFonts w:cs="Tahoma"/>
                <w:sz w:val="14"/>
              </w:rPr>
            </w:pPr>
          </w:p>
        </w:tc>
        <w:tc>
          <w:tcPr>
            <w:tcW w:w="486" w:type="dxa"/>
            <w:tcBorders>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4F6A95">
            <w:pPr>
              <w:pStyle w:val="ProductNames"/>
              <w:spacing w:beforeLines="20" w:before="48" w:afterLines="20" w:after="48"/>
              <w:rPr>
                <w:rFonts w:ascii="Tahoma" w:hAnsi="Tahoma" w:cs="Tahoma"/>
                <w:sz w:val="14"/>
              </w:rPr>
            </w:pPr>
            <w:bookmarkStart w:id="145" w:name="_Toc361829022"/>
            <w:r w:rsidRPr="000A1C8E">
              <w:rPr>
                <w:rFonts w:ascii="Tahoma" w:hAnsi="Tahoma" w:cs="Tahoma"/>
                <w:sz w:val="14"/>
              </w:rPr>
              <w:t>Bing Maps por Assinatura Mensal de Usuários Conhecidos</w:t>
            </w:r>
            <w:bookmarkEnd w:id="145"/>
          </w:p>
        </w:tc>
        <w:tc>
          <w:tcPr>
            <w:tcW w:w="450" w:type="dxa"/>
            <w:tcBorders>
              <w:bottom w:val="single" w:sz="4" w:space="0" w:color="auto"/>
            </w:tcBorders>
            <w:shd w:val="clear" w:color="auto" w:fill="FABF8F"/>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FABF8F"/>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w:t>
            </w:r>
          </w:p>
        </w:tc>
        <w:tc>
          <w:tcPr>
            <w:tcW w:w="450" w:type="dxa"/>
            <w:tcBorders>
              <w:bottom w:val="single" w:sz="4" w:space="0" w:color="auto"/>
            </w:tcBorders>
            <w:shd w:val="clear" w:color="auto" w:fill="FABF8F"/>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FABF8F"/>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4F6A95">
            <w:pPr>
              <w:pStyle w:val="ProductNames"/>
              <w:spacing w:beforeLines="20" w:before="48" w:afterLines="20" w:after="48"/>
              <w:rPr>
                <w:rFonts w:ascii="Tahoma" w:hAnsi="Tahoma" w:cs="Tahoma"/>
                <w:sz w:val="14"/>
              </w:rPr>
            </w:pPr>
            <w:bookmarkStart w:id="146" w:name="_Toc361829023"/>
            <w:r w:rsidRPr="000A1C8E">
              <w:rPr>
                <w:rFonts w:ascii="Tahoma" w:hAnsi="Tahoma" w:cs="Tahoma"/>
                <w:sz w:val="14"/>
              </w:rPr>
              <w:lastRenderedPageBreak/>
              <w:t>Bing Maps por Assinatura Mensal de Pacote de 5 Mil Usuários Conhecidos</w:t>
            </w:r>
            <w:bookmarkEnd w:id="146"/>
          </w:p>
        </w:tc>
        <w:tc>
          <w:tcPr>
            <w:tcW w:w="450" w:type="dxa"/>
            <w:tcBorders>
              <w:bottom w:val="single" w:sz="4" w:space="0" w:color="auto"/>
            </w:tcBorders>
            <w:shd w:val="clear" w:color="auto" w:fill="auto"/>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200</w:t>
            </w:r>
          </w:p>
        </w:tc>
        <w:tc>
          <w:tcPr>
            <w:tcW w:w="450"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4F6A95">
            <w:pPr>
              <w:pStyle w:val="ProductNames"/>
              <w:spacing w:beforeLines="20" w:before="48" w:afterLines="20" w:after="48"/>
              <w:rPr>
                <w:rFonts w:ascii="Tahoma" w:hAnsi="Tahoma" w:cs="Tahoma"/>
                <w:sz w:val="14"/>
              </w:rPr>
            </w:pPr>
            <w:bookmarkStart w:id="147" w:name="_Toc361829024"/>
            <w:r w:rsidRPr="000A1C8E">
              <w:rPr>
                <w:rFonts w:ascii="Tahoma" w:hAnsi="Tahoma" w:cs="Tahoma"/>
                <w:sz w:val="14"/>
              </w:rPr>
              <w:t>Bing Maps Light Conhecido por Assinatura Mensal de Usuários</w:t>
            </w:r>
            <w:bookmarkEnd w:id="147"/>
          </w:p>
        </w:tc>
        <w:tc>
          <w:tcPr>
            <w:tcW w:w="450" w:type="dxa"/>
            <w:tcBorders>
              <w:bottom w:val="single" w:sz="4" w:space="0" w:color="auto"/>
            </w:tcBorders>
            <w:shd w:val="clear" w:color="auto" w:fill="FABF8F"/>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FABF8F"/>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w:t>
            </w:r>
          </w:p>
        </w:tc>
        <w:tc>
          <w:tcPr>
            <w:tcW w:w="450" w:type="dxa"/>
            <w:tcBorders>
              <w:bottom w:val="single" w:sz="4" w:space="0" w:color="auto"/>
            </w:tcBorders>
            <w:shd w:val="clear" w:color="auto" w:fill="FABF8F"/>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FABF8F"/>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4F6A95">
            <w:pPr>
              <w:pStyle w:val="ProductNames"/>
              <w:spacing w:beforeLines="20" w:before="48" w:afterLines="20" w:after="48"/>
              <w:rPr>
                <w:rFonts w:ascii="Tahoma" w:hAnsi="Tahoma" w:cs="Tahoma"/>
                <w:sz w:val="14"/>
              </w:rPr>
            </w:pPr>
            <w:bookmarkStart w:id="148" w:name="_Toc361829025"/>
            <w:r w:rsidRPr="000A1C8E">
              <w:rPr>
                <w:rFonts w:ascii="Tahoma" w:hAnsi="Tahoma" w:cs="Tahoma"/>
                <w:sz w:val="14"/>
              </w:rPr>
              <w:t>Bing Maps Light Conhecido por Assinatura Mensal de Pacote de 5 Mil Usuários</w:t>
            </w:r>
            <w:bookmarkEnd w:id="148"/>
          </w:p>
        </w:tc>
        <w:tc>
          <w:tcPr>
            <w:tcW w:w="450" w:type="dxa"/>
            <w:tcBorders>
              <w:bottom w:val="single" w:sz="4" w:space="0" w:color="auto"/>
            </w:tcBorders>
            <w:shd w:val="clear" w:color="auto" w:fill="auto"/>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125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125</w:t>
            </w:r>
          </w:p>
        </w:tc>
        <w:tc>
          <w:tcPr>
            <w:tcW w:w="450"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4F6A95">
            <w:pPr>
              <w:pStyle w:val="ProductNames"/>
              <w:spacing w:beforeLines="20" w:before="48" w:afterLines="20" w:after="48"/>
              <w:rPr>
                <w:rFonts w:ascii="Tahoma" w:hAnsi="Tahoma" w:cs="Tahoma"/>
                <w:sz w:val="14"/>
              </w:rPr>
            </w:pPr>
            <w:bookmarkStart w:id="149" w:name="_Toc361829026"/>
            <w:r w:rsidRPr="000A1C8E">
              <w:rPr>
                <w:rFonts w:ascii="Tahoma" w:hAnsi="Tahoma" w:cs="Tahoma"/>
                <w:sz w:val="14"/>
              </w:rPr>
              <w:t>Assinatura Mensal de Tarifa por Plataforma de Gerenciamento de Ativos Móveis do Bing Maps</w:t>
            </w:r>
            <w:bookmarkEnd w:id="149"/>
          </w:p>
        </w:tc>
        <w:tc>
          <w:tcPr>
            <w:tcW w:w="450" w:type="dxa"/>
            <w:tcBorders>
              <w:bottom w:val="single" w:sz="4" w:space="0" w:color="auto"/>
            </w:tcBorders>
            <w:shd w:val="clear" w:color="auto" w:fill="FABF8F"/>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FABF8F"/>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50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50</w:t>
            </w:r>
          </w:p>
        </w:tc>
        <w:tc>
          <w:tcPr>
            <w:tcW w:w="450" w:type="dxa"/>
            <w:tcBorders>
              <w:bottom w:val="single" w:sz="4" w:space="0" w:color="auto"/>
            </w:tcBorders>
            <w:shd w:val="clear" w:color="auto" w:fill="FABF8F"/>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FABF8F"/>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4F6A95">
            <w:pPr>
              <w:pStyle w:val="ProductNames"/>
              <w:spacing w:beforeLines="20" w:before="48" w:afterLines="20" w:after="48"/>
              <w:rPr>
                <w:rFonts w:ascii="Tahoma" w:hAnsi="Tahoma" w:cs="Tahoma"/>
                <w:sz w:val="14"/>
              </w:rPr>
            </w:pPr>
            <w:bookmarkStart w:id="150" w:name="_Toc361829027"/>
            <w:r w:rsidRPr="000A1C8E">
              <w:rPr>
                <w:rFonts w:ascii="Tahoma" w:hAnsi="Tahoma" w:cs="Tahoma"/>
                <w:sz w:val="14"/>
              </w:rPr>
              <w:t>Gerenciamento de Ativos Móveis do Bing Maps (América do Norte) com roteamento por Assinatura Mensal de Ativos</w:t>
            </w:r>
            <w:bookmarkEnd w:id="150"/>
          </w:p>
        </w:tc>
        <w:tc>
          <w:tcPr>
            <w:tcW w:w="450" w:type="dxa"/>
            <w:tcBorders>
              <w:bottom w:val="single" w:sz="4" w:space="0" w:color="auto"/>
            </w:tcBorders>
            <w:shd w:val="clear" w:color="auto" w:fill="auto"/>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1</w:t>
            </w:r>
          </w:p>
        </w:tc>
        <w:tc>
          <w:tcPr>
            <w:tcW w:w="450"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4F6A95">
            <w:pPr>
              <w:pStyle w:val="ProductNames"/>
              <w:spacing w:beforeLines="20" w:before="48" w:afterLines="20" w:after="48"/>
              <w:rPr>
                <w:rFonts w:ascii="Tahoma" w:hAnsi="Tahoma" w:cs="Tahoma"/>
                <w:sz w:val="14"/>
              </w:rPr>
            </w:pPr>
            <w:bookmarkStart w:id="151" w:name="_Toc361829028"/>
            <w:r w:rsidRPr="000A1C8E">
              <w:rPr>
                <w:rFonts w:ascii="Tahoma" w:hAnsi="Tahoma" w:cs="Tahoma"/>
                <w:sz w:val="14"/>
              </w:rPr>
              <w:t>Gerenciamento de Ativos Móveis do Bing Maps (América do Norte) sem roteamento por Assinatura Mensal de Ativos</w:t>
            </w:r>
            <w:bookmarkEnd w:id="151"/>
          </w:p>
        </w:tc>
        <w:tc>
          <w:tcPr>
            <w:tcW w:w="450" w:type="dxa"/>
            <w:tcBorders>
              <w:bottom w:val="single" w:sz="4" w:space="0" w:color="auto"/>
            </w:tcBorders>
            <w:shd w:val="clear" w:color="auto" w:fill="auto"/>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1</w:t>
            </w:r>
          </w:p>
        </w:tc>
        <w:tc>
          <w:tcPr>
            <w:tcW w:w="450"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4F6A95">
            <w:pPr>
              <w:pStyle w:val="ProductNames"/>
              <w:spacing w:beforeLines="20" w:before="48" w:afterLines="20" w:after="48"/>
              <w:rPr>
                <w:rFonts w:ascii="Tahoma" w:hAnsi="Tahoma" w:cs="Tahoma"/>
                <w:sz w:val="14"/>
              </w:rPr>
            </w:pPr>
            <w:bookmarkStart w:id="152" w:name="_Toc361829029"/>
            <w:r w:rsidRPr="000A1C8E">
              <w:rPr>
                <w:rFonts w:ascii="Tahoma" w:hAnsi="Tahoma" w:cs="Tahoma"/>
                <w:sz w:val="14"/>
              </w:rPr>
              <w:t>Gerenciamento de Ativos Móveis do Bing Maps (Europa) com roteamento por Assinatura Mensal de Ativos</w:t>
            </w:r>
            <w:bookmarkEnd w:id="152"/>
          </w:p>
        </w:tc>
        <w:tc>
          <w:tcPr>
            <w:tcW w:w="450" w:type="dxa"/>
            <w:tcBorders>
              <w:bottom w:val="single" w:sz="4" w:space="0" w:color="auto"/>
            </w:tcBorders>
            <w:shd w:val="clear" w:color="auto" w:fill="FABF8F"/>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FABF8F"/>
            <w:vAlign w:val="center"/>
          </w:tcPr>
          <w:p w:rsidR="001A63C6" w:rsidRPr="000A1C8E" w:rsidRDefault="00DB3ECB" w:rsidP="002253A3">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4"/>
              </w:rPr>
              <w:t>1</w:t>
            </w:r>
          </w:p>
        </w:tc>
        <w:tc>
          <w:tcPr>
            <w:tcW w:w="450" w:type="dxa"/>
            <w:tcBorders>
              <w:bottom w:val="single" w:sz="4" w:space="0" w:color="auto"/>
            </w:tcBorders>
            <w:shd w:val="clear" w:color="auto" w:fill="FABF8F"/>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FABF8F"/>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FABF8F"/>
            <w:vAlign w:val="center"/>
          </w:tcPr>
          <w:p w:rsidR="001A63C6" w:rsidRPr="000A1C8E" w:rsidRDefault="001A63C6" w:rsidP="002253A3">
            <w:pPr>
              <w:jc w:val="center"/>
              <w:rPr>
                <w:rFonts w:cs="Tahoma"/>
                <w:sz w:val="14"/>
              </w:rPr>
            </w:pPr>
            <w:r w:rsidRPr="000A1C8E">
              <w:rPr>
                <w:rFonts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4F6A95">
            <w:pPr>
              <w:pStyle w:val="ProductNames"/>
              <w:spacing w:beforeLines="20" w:before="48" w:afterLines="20" w:after="48"/>
              <w:rPr>
                <w:rFonts w:ascii="Tahoma" w:hAnsi="Tahoma" w:cs="Tahoma"/>
                <w:sz w:val="14"/>
              </w:rPr>
            </w:pPr>
            <w:bookmarkStart w:id="153" w:name="_Toc361829030"/>
            <w:r w:rsidRPr="000A1C8E">
              <w:rPr>
                <w:rFonts w:ascii="Tahoma" w:hAnsi="Tahoma" w:cs="Tahoma"/>
                <w:sz w:val="14"/>
              </w:rPr>
              <w:t>Gerenciamento de Ativos Móveis do Bing Maps (Europa) sem roteamento por Assinatura Mensal de Ativos</w:t>
            </w:r>
            <w:bookmarkEnd w:id="153"/>
          </w:p>
        </w:tc>
        <w:tc>
          <w:tcPr>
            <w:tcW w:w="450" w:type="dxa"/>
            <w:tcBorders>
              <w:bottom w:val="single" w:sz="4" w:space="0" w:color="auto"/>
            </w:tcBorders>
            <w:shd w:val="clear" w:color="auto" w:fill="auto"/>
            <w:vAlign w:val="center"/>
          </w:tcPr>
          <w:p w:rsidR="001A63C6" w:rsidRPr="00DC1AC3" w:rsidRDefault="006C57E7" w:rsidP="009D43FB">
            <w:pPr>
              <w:jc w:val="center"/>
              <w:rPr>
                <w:rFonts w:ascii="Trebuchet MS" w:hAnsi="Trebuchet MS" w:cs="Tahoma"/>
                <w:b/>
                <w:sz w:val="13"/>
                <w:szCs w:val="13"/>
              </w:rPr>
            </w:pPr>
            <w:hyperlink w:anchor="_35_Complemento_de" w:history="1">
              <w:r w:rsidR="008E6264" w:rsidRPr="00DC1AC3">
                <w:rPr>
                  <w:rStyle w:val="Hyperlink"/>
                  <w:rFonts w:ascii="Trebuchet MS" w:hAnsi="Trebuchet MS" w:cs="Tahoma"/>
                  <w:b/>
                  <w:sz w:val="13"/>
                  <w:szCs w:val="13"/>
                </w:rPr>
                <w:t>35</w:t>
              </w:r>
            </w:hyperlink>
          </w:p>
        </w:tc>
        <w:tc>
          <w:tcPr>
            <w:tcW w:w="433" w:type="dxa"/>
            <w:tcBorders>
              <w:bottom w:val="single" w:sz="4" w:space="0" w:color="auto"/>
            </w:tcBorders>
            <w:shd w:val="clear" w:color="auto" w:fill="auto"/>
            <w:vAlign w:val="center"/>
          </w:tcPr>
          <w:p w:rsidR="00D15BAA" w:rsidRPr="000A1C8E" w:rsidRDefault="00DB3ECB" w:rsidP="00D15BAA">
            <w:pPr>
              <w:jc w:val="center"/>
              <w:rPr>
                <w:rFonts w:cs="Tahoma"/>
                <w:sz w:val="14"/>
              </w:rPr>
            </w:pPr>
            <w:r w:rsidRPr="000A1C8E">
              <w:rPr>
                <w:rFonts w:cs="Tahoma"/>
                <w:sz w:val="14"/>
              </w:rPr>
              <w:t>04/13</w:t>
            </w:r>
          </w:p>
        </w:tc>
        <w:tc>
          <w:tcPr>
            <w:tcW w:w="377"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4"/>
              </w:rPr>
              <w:t>1</w:t>
            </w:r>
          </w:p>
        </w:tc>
        <w:tc>
          <w:tcPr>
            <w:tcW w:w="450"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2253A3">
            <w:pPr>
              <w:jc w:val="center"/>
              <w:rPr>
                <w:rFonts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P</w:t>
            </w:r>
          </w:p>
        </w:tc>
        <w:tc>
          <w:tcPr>
            <w:tcW w:w="693" w:type="dxa"/>
            <w:tcBorders>
              <w:bottom w:val="single" w:sz="4" w:space="0" w:color="auto"/>
            </w:tcBorders>
            <w:shd w:val="clear" w:color="auto" w:fill="auto"/>
            <w:vAlign w:val="center"/>
          </w:tcPr>
          <w:p w:rsidR="001A63C6" w:rsidRPr="000A1C8E" w:rsidRDefault="001A63C6" w:rsidP="002253A3">
            <w:pPr>
              <w:jc w:val="center"/>
              <w:rPr>
                <w:rFonts w:cs="Tahoma"/>
                <w:sz w:val="13"/>
              </w:rPr>
            </w:pPr>
          </w:p>
        </w:tc>
        <w:tc>
          <w:tcPr>
            <w:tcW w:w="486" w:type="dxa"/>
            <w:tcBorders>
              <w:bottom w:val="single" w:sz="4" w:space="0" w:color="auto"/>
            </w:tcBorders>
            <w:shd w:val="clear" w:color="auto" w:fill="auto"/>
            <w:vAlign w:val="center"/>
          </w:tcPr>
          <w:p w:rsidR="001A63C6" w:rsidRPr="000A1C8E" w:rsidRDefault="001A63C6" w:rsidP="002253A3">
            <w:pPr>
              <w:jc w:val="center"/>
              <w:rPr>
                <w:rFonts w:cs="Tahoma"/>
                <w:sz w:val="14"/>
              </w:rPr>
            </w:pPr>
            <w:r w:rsidRPr="000A1C8E">
              <w:rPr>
                <w:rFonts w:cs="Tahoma"/>
                <w:sz w:val="13"/>
              </w:rPr>
              <w:t>LO/OV</w:t>
            </w:r>
          </w:p>
        </w:tc>
      </w:tr>
      <w:tr w:rsidR="00B33D0E" w:rsidRPr="000A1C8E" w:rsidTr="00C16156">
        <w:trPr>
          <w:trHeight w:val="64"/>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154" w:name="_Toc336337919"/>
            <w:bookmarkStart w:id="155" w:name="_Toc361829031"/>
            <w:r w:rsidRPr="000A1C8E">
              <w:rPr>
                <w:rFonts w:ascii="Tahoma" w:hAnsi="Tahoma" w:cs="Tahoma"/>
                <w:sz w:val="14"/>
              </w:rPr>
              <w:t>BizTalk</w:t>
            </w:r>
            <w:r w:rsidR="00C83286" w:rsidRPr="000A1C8E">
              <w:rPr>
                <w:rFonts w:ascii="Tahoma" w:hAnsi="Tahoma" w:cs="Tahoma"/>
                <w:szCs w:val="18"/>
                <w:vertAlign w:val="superscript"/>
              </w:rPr>
              <w:t>®</w:t>
            </w:r>
            <w:r w:rsidRPr="000A1C8E">
              <w:rPr>
                <w:rFonts w:ascii="Tahoma" w:hAnsi="Tahoma" w:cs="Tahoma"/>
                <w:sz w:val="14"/>
              </w:rPr>
              <w:t xml:space="preserve"> Server 2013 Branch Edition</w:t>
            </w:r>
            <w:bookmarkEnd w:id="154"/>
            <w:bookmarkEnd w:id="155"/>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6C57E7" w:rsidP="009D43FB">
            <w:pPr>
              <w:pStyle w:val="TableText"/>
              <w:widowControl w:val="0"/>
              <w:rPr>
                <w:rStyle w:val="EndnoteReference"/>
                <w:rFonts w:cs="Tahoma"/>
                <w:b w:val="0"/>
                <w:color w:val="0000FF"/>
                <w:sz w:val="13"/>
                <w:szCs w:val="13"/>
                <w:u w:val="single"/>
              </w:rPr>
            </w:pPr>
            <w:hyperlink w:anchor="_29_BizTalk®_Server" w:history="1">
              <w:r w:rsidR="003D47E7" w:rsidRPr="00DC1AC3">
                <w:rPr>
                  <w:rStyle w:val="Hyperlink"/>
                  <w:rFonts w:cs="Tahoma"/>
                  <w:b/>
                  <w:sz w:val="13"/>
                  <w:szCs w:val="13"/>
                </w:rPr>
                <w:t>36</w:t>
              </w:r>
            </w:hyperlink>
            <w:hyperlink w:anchor="Srv_26_BizTalkServerBranch" w:history="1"/>
          </w:p>
        </w:tc>
        <w:tc>
          <w:tcPr>
            <w:tcW w:w="433" w:type="dxa"/>
            <w:tcBorders>
              <w:bottom w:val="single" w:sz="4" w:space="0" w:color="auto"/>
            </w:tcBorders>
            <w:shd w:val="clear" w:color="auto" w:fill="FABF8F"/>
            <w:vAlign w:val="center"/>
          </w:tcPr>
          <w:p w:rsidR="001A63C6" w:rsidRPr="000A1C8E" w:rsidRDefault="00DB3ECB" w:rsidP="001A63C6">
            <w:pPr>
              <w:pStyle w:val="TableText"/>
              <w:widowControl w:val="0"/>
              <w:rPr>
                <w:rFonts w:ascii="Tahoma" w:hAnsi="Tahoma" w:cs="Tahoma"/>
                <w:color w:val="000000"/>
                <w:sz w:val="13"/>
              </w:rPr>
            </w:pPr>
            <w:r w:rsidRPr="000A1C8E">
              <w:rPr>
                <w:rFonts w:ascii="Tahoma" w:hAnsi="Tahoma" w:cs="Tahoma"/>
                <w:color w:val="000000"/>
                <w:sz w:val="13"/>
              </w:rPr>
              <w:t>03/13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63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A,S,D</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156" w:name="_Toc336337920"/>
            <w:bookmarkStart w:id="157" w:name="_Toc361829032"/>
            <w:r w:rsidRPr="000A1C8E">
              <w:rPr>
                <w:rFonts w:ascii="Tahoma" w:hAnsi="Tahoma" w:cs="Tahoma"/>
                <w:sz w:val="14"/>
              </w:rPr>
              <w:t>BizTalk</w:t>
            </w:r>
            <w:r w:rsidR="00C83286" w:rsidRPr="000A1C8E">
              <w:rPr>
                <w:rFonts w:ascii="Tahoma" w:hAnsi="Tahoma" w:cs="Tahoma"/>
                <w:szCs w:val="18"/>
                <w:vertAlign w:val="superscript"/>
              </w:rPr>
              <w:t>®</w:t>
            </w:r>
            <w:r w:rsidRPr="000A1C8E">
              <w:rPr>
                <w:rFonts w:ascii="Tahoma" w:hAnsi="Tahoma" w:cs="Tahoma"/>
                <w:sz w:val="14"/>
              </w:rPr>
              <w:t xml:space="preserve"> Server 2013 Enterprise Edition</w:t>
            </w:r>
            <w:bookmarkEnd w:id="156"/>
            <w:bookmarkEnd w:id="157"/>
          </w:p>
        </w:tc>
        <w:tc>
          <w:tcPr>
            <w:tcW w:w="450" w:type="dxa"/>
            <w:tcBorders>
              <w:bottom w:val="single" w:sz="4" w:space="0" w:color="auto"/>
            </w:tcBorders>
            <w:shd w:val="clear" w:color="auto" w:fill="auto"/>
            <w:vAlign w:val="center"/>
          </w:tcPr>
          <w:p w:rsidR="001A63C6" w:rsidRPr="00DC1AC3" w:rsidRDefault="006C57E7" w:rsidP="009D43FB">
            <w:pPr>
              <w:pStyle w:val="TableText"/>
              <w:widowControl w:val="0"/>
              <w:rPr>
                <w:rStyle w:val="EndnoteReference"/>
                <w:rFonts w:cs="Tahoma"/>
                <w:b w:val="0"/>
                <w:color w:val="0000FF"/>
                <w:sz w:val="13"/>
                <w:szCs w:val="13"/>
                <w:u w:val="single"/>
              </w:rPr>
            </w:pPr>
            <w:hyperlink w:anchor="_36_BizTalk_Server®" w:history="1">
              <w:r w:rsidR="003D47E7" w:rsidRPr="00DC1AC3">
                <w:rPr>
                  <w:rStyle w:val="Hyperlink"/>
                  <w:rFonts w:cs="Tahoma"/>
                  <w:b/>
                  <w:sz w:val="13"/>
                  <w:szCs w:val="13"/>
                </w:rPr>
                <w:t>37</w:t>
              </w:r>
            </w:hyperlink>
          </w:p>
        </w:tc>
        <w:tc>
          <w:tcPr>
            <w:tcW w:w="433" w:type="dxa"/>
            <w:tcBorders>
              <w:bottom w:val="single" w:sz="4" w:space="0" w:color="auto"/>
            </w:tcBorders>
            <w:shd w:val="clear" w:color="auto" w:fill="auto"/>
            <w:vAlign w:val="center"/>
          </w:tcPr>
          <w:p w:rsidR="001A63C6" w:rsidRPr="000A1C8E" w:rsidRDefault="00DB3ECB" w:rsidP="001A63C6">
            <w:pPr>
              <w:pStyle w:val="TableText"/>
              <w:widowControl w:val="0"/>
              <w:rPr>
                <w:rFonts w:ascii="Tahoma" w:hAnsi="Tahoma" w:cs="Tahoma"/>
                <w:color w:val="000000"/>
                <w:sz w:val="13"/>
              </w:rPr>
            </w:pPr>
            <w:r w:rsidRPr="000A1C8E">
              <w:rPr>
                <w:rFonts w:ascii="Tahoma" w:hAnsi="Tahoma" w:cs="Tahoma"/>
                <w:color w:val="000000"/>
                <w:sz w:val="13"/>
              </w:rPr>
              <w:t>03/13</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400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200</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200</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LO/OV</w:t>
            </w:r>
          </w:p>
        </w:tc>
      </w:tr>
      <w:tr w:rsidR="002B327C" w:rsidRPr="000A1C8E" w:rsidTr="00C16156">
        <w:trPr>
          <w:trHeight w:val="145"/>
          <w:jc w:val="center"/>
        </w:trPr>
        <w:tc>
          <w:tcPr>
            <w:tcW w:w="2734" w:type="dxa"/>
            <w:gridSpan w:val="2"/>
            <w:tcBorders>
              <w:bottom w:val="single" w:sz="4" w:space="0" w:color="auto"/>
            </w:tcBorders>
            <w:shd w:val="clear" w:color="auto" w:fill="FABF8F"/>
            <w:vAlign w:val="center"/>
          </w:tcPr>
          <w:p w:rsidR="002B327C" w:rsidRPr="000A1C8E" w:rsidRDefault="002B327C" w:rsidP="004F6A95">
            <w:pPr>
              <w:pStyle w:val="ProductNames"/>
              <w:spacing w:beforeLines="20" w:before="48" w:afterLines="20" w:after="48"/>
              <w:rPr>
                <w:rFonts w:ascii="Tahoma" w:hAnsi="Tahoma" w:cs="Tahoma"/>
                <w:sz w:val="14"/>
              </w:rPr>
            </w:pPr>
            <w:bookmarkStart w:id="158" w:name="_Toc361829033"/>
            <w:r w:rsidRPr="000A1C8E">
              <w:rPr>
                <w:rFonts w:ascii="Tahoma" w:hAnsi="Tahoma" w:cs="Tahoma"/>
                <w:sz w:val="14"/>
              </w:rPr>
              <w:t>BizTalk</w:t>
            </w:r>
            <w:r w:rsidR="00C83286" w:rsidRPr="000A1C8E">
              <w:rPr>
                <w:rFonts w:ascii="Tahoma" w:hAnsi="Tahoma" w:cs="Tahoma"/>
                <w:szCs w:val="18"/>
                <w:vertAlign w:val="superscript"/>
              </w:rPr>
              <w:t>®</w:t>
            </w:r>
            <w:r w:rsidRPr="000A1C8E">
              <w:rPr>
                <w:rFonts w:ascii="Tahoma" w:hAnsi="Tahoma" w:cs="Tahoma"/>
                <w:sz w:val="14"/>
              </w:rPr>
              <w:t xml:space="preserve"> Server 2013 Branch IDC</w:t>
            </w:r>
            <w:bookmarkEnd w:id="158"/>
          </w:p>
        </w:tc>
        <w:tc>
          <w:tcPr>
            <w:tcW w:w="450" w:type="dxa"/>
            <w:tcBorders>
              <w:bottom w:val="single" w:sz="4" w:space="0" w:color="auto"/>
            </w:tcBorders>
            <w:shd w:val="clear" w:color="auto" w:fill="FABF8F"/>
            <w:vAlign w:val="center"/>
          </w:tcPr>
          <w:p w:rsidR="002B327C" w:rsidRPr="00DC1AC3" w:rsidRDefault="002B327C" w:rsidP="001A63C6">
            <w:pPr>
              <w:pStyle w:val="TableText"/>
              <w:widowControl w:val="0"/>
              <w:rPr>
                <w:rFonts w:cs="Tahoma"/>
              </w:rPr>
            </w:pPr>
          </w:p>
        </w:tc>
        <w:tc>
          <w:tcPr>
            <w:tcW w:w="433" w:type="dxa"/>
            <w:tcBorders>
              <w:bottom w:val="single" w:sz="4" w:space="0" w:color="auto"/>
            </w:tcBorders>
            <w:shd w:val="clear" w:color="auto" w:fill="FABF8F"/>
            <w:vAlign w:val="center"/>
          </w:tcPr>
          <w:p w:rsidR="002B327C" w:rsidRPr="000A1C8E" w:rsidDel="004D199A" w:rsidRDefault="00DB3ECB" w:rsidP="001A63C6">
            <w:pPr>
              <w:pStyle w:val="TableText"/>
              <w:widowControl w:val="0"/>
              <w:rPr>
                <w:rFonts w:ascii="Tahoma" w:hAnsi="Tahoma" w:cs="Tahoma"/>
                <w:color w:val="000000"/>
                <w:sz w:val="13"/>
              </w:rPr>
            </w:pPr>
            <w:r w:rsidRPr="000A1C8E">
              <w:rPr>
                <w:rFonts w:ascii="Tahoma" w:hAnsi="Tahoma" w:cs="Tahoma"/>
                <w:color w:val="000000"/>
                <w:sz w:val="13"/>
              </w:rPr>
              <w:t>03/13</w:t>
            </w:r>
          </w:p>
        </w:tc>
        <w:tc>
          <w:tcPr>
            <w:tcW w:w="377" w:type="dxa"/>
            <w:tcBorders>
              <w:bottom w:val="single" w:sz="4" w:space="0" w:color="auto"/>
              <w:right w:val="single" w:sz="18" w:space="0" w:color="auto"/>
            </w:tcBorders>
            <w:shd w:val="clear" w:color="auto" w:fill="FABF8F"/>
            <w:vAlign w:val="center"/>
          </w:tcPr>
          <w:p w:rsidR="002B327C" w:rsidRPr="000A1C8E"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r w:rsidRPr="000A1C8E">
              <w:rPr>
                <w:rFonts w:ascii="Tahoma" w:hAnsi="Tahoma" w:cs="Tahoma"/>
                <w:sz w:val="13"/>
              </w:rPr>
              <w:t>D</w:t>
            </w:r>
          </w:p>
        </w:tc>
        <w:tc>
          <w:tcPr>
            <w:tcW w:w="396" w:type="dxa"/>
            <w:tcBorders>
              <w:left w:val="single" w:sz="18" w:space="0" w:color="auto"/>
              <w:bottom w:val="single" w:sz="4" w:space="0" w:color="auto"/>
              <w:right w:val="single" w:sz="18"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2B327C" w:rsidRPr="000A1C8E" w:rsidRDefault="002B327C"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159" w:name="_Toc336337922"/>
            <w:bookmarkStart w:id="160" w:name="_Toc361829034"/>
            <w:r w:rsidRPr="000A1C8E">
              <w:rPr>
                <w:rFonts w:ascii="Tahoma" w:hAnsi="Tahoma" w:cs="Tahoma"/>
                <w:sz w:val="14"/>
              </w:rPr>
              <w:t>BizTalk</w:t>
            </w:r>
            <w:r w:rsidR="00C83286" w:rsidRPr="000A1C8E">
              <w:rPr>
                <w:rFonts w:ascii="Tahoma" w:hAnsi="Tahoma" w:cs="Tahoma"/>
                <w:szCs w:val="18"/>
                <w:vertAlign w:val="superscript"/>
              </w:rPr>
              <w:t>®</w:t>
            </w:r>
            <w:r w:rsidRPr="000A1C8E">
              <w:rPr>
                <w:rFonts w:ascii="Tahoma" w:hAnsi="Tahoma" w:cs="Tahoma"/>
                <w:sz w:val="14"/>
              </w:rPr>
              <w:t xml:space="preserve"> Server 2013 Standard Edition</w:t>
            </w:r>
            <w:bookmarkEnd w:id="159"/>
            <w:bookmarkEnd w:id="160"/>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6C57E7" w:rsidP="009D43FB">
            <w:pPr>
              <w:pStyle w:val="TableText"/>
              <w:widowControl w:val="0"/>
              <w:rPr>
                <w:rStyle w:val="EndnoteReference"/>
                <w:rFonts w:cs="Tahoma"/>
                <w:b w:val="0"/>
                <w:color w:val="0000FF"/>
                <w:sz w:val="13"/>
                <w:szCs w:val="13"/>
                <w:u w:val="single"/>
              </w:rPr>
            </w:pPr>
            <w:hyperlink w:anchor="_38_BizTalk_Server®" w:history="1">
              <w:r w:rsidR="003D47E7" w:rsidRPr="00DC1AC3">
                <w:rPr>
                  <w:rStyle w:val="Hyperlink"/>
                  <w:rFonts w:cs="Tahoma"/>
                  <w:b/>
                  <w:sz w:val="13"/>
                  <w:szCs w:val="13"/>
                </w:rPr>
                <w:t>38</w:t>
              </w:r>
            </w:hyperlink>
          </w:p>
        </w:tc>
        <w:tc>
          <w:tcPr>
            <w:tcW w:w="433" w:type="dxa"/>
            <w:tcBorders>
              <w:bottom w:val="single" w:sz="4" w:space="0" w:color="auto"/>
            </w:tcBorders>
            <w:shd w:val="clear" w:color="auto" w:fill="auto"/>
            <w:vAlign w:val="center"/>
          </w:tcPr>
          <w:p w:rsidR="001A63C6" w:rsidRPr="000A1C8E" w:rsidRDefault="00DB3ECB" w:rsidP="001A63C6">
            <w:pPr>
              <w:pStyle w:val="TableText"/>
              <w:widowControl w:val="0"/>
              <w:rPr>
                <w:rFonts w:ascii="Tahoma" w:hAnsi="Tahoma" w:cs="Tahoma"/>
                <w:color w:val="000000"/>
                <w:sz w:val="13"/>
              </w:rPr>
            </w:pPr>
            <w:r w:rsidRPr="000A1C8E">
              <w:rPr>
                <w:rFonts w:ascii="Tahoma" w:hAnsi="Tahoma" w:cs="Tahoma"/>
                <w:color w:val="000000"/>
                <w:sz w:val="13"/>
              </w:rPr>
              <w:t>03/13</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auto"/>
            <w:vAlign w:val="center"/>
          </w:tcPr>
          <w:p w:rsidR="001A63C6" w:rsidRPr="000A1C8E" w:rsidRDefault="004D199A"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LO/OV</w:t>
            </w:r>
          </w:p>
        </w:tc>
      </w:tr>
      <w:tr w:rsidR="00B33D0E" w:rsidRPr="000A1C8E" w:rsidDel="00E7100E" w:rsidTr="00C16156">
        <w:trPr>
          <w:trHeight w:val="145"/>
          <w:jc w:val="center"/>
        </w:trPr>
        <w:tc>
          <w:tcPr>
            <w:tcW w:w="2734" w:type="dxa"/>
            <w:gridSpan w:val="2"/>
            <w:tcBorders>
              <w:bottom w:val="single" w:sz="4" w:space="0" w:color="auto"/>
            </w:tcBorders>
            <w:shd w:val="clear" w:color="auto" w:fill="FABF8F"/>
            <w:vAlign w:val="center"/>
          </w:tcPr>
          <w:p w:rsidR="002B327C" w:rsidRPr="000A1C8E" w:rsidDel="002B327C" w:rsidRDefault="002B327C" w:rsidP="004F6A95">
            <w:pPr>
              <w:pStyle w:val="Heading2"/>
              <w:spacing w:beforeLines="20" w:before="48" w:afterLines="20" w:after="48"/>
              <w:ind w:left="0"/>
              <w:rPr>
                <w:rFonts w:ascii="Tahoma" w:hAnsi="Tahoma" w:cs="Tahoma"/>
                <w:b w:val="0"/>
                <w:sz w:val="14"/>
              </w:rPr>
            </w:pPr>
            <w:bookmarkStart w:id="161" w:name="_Toc361829035"/>
            <w:r w:rsidRPr="000A1C8E">
              <w:rPr>
                <w:rFonts w:ascii="Tahoma" w:hAnsi="Tahoma" w:cs="Tahoma"/>
                <w:b w:val="0"/>
                <w:sz w:val="14"/>
              </w:rPr>
              <w:t>BizTalk</w:t>
            </w:r>
            <w:r w:rsidR="00C83286" w:rsidRPr="000A1C8E">
              <w:rPr>
                <w:rFonts w:ascii="Tahoma" w:hAnsi="Tahoma" w:cs="Tahoma"/>
                <w:b w:val="0"/>
                <w:sz w:val="14"/>
                <w:vertAlign w:val="superscript"/>
              </w:rPr>
              <w:t>®</w:t>
            </w:r>
            <w:r w:rsidRPr="000A1C8E">
              <w:rPr>
                <w:rFonts w:ascii="Tahoma" w:hAnsi="Tahoma" w:cs="Tahoma"/>
                <w:b w:val="0"/>
                <w:sz w:val="14"/>
              </w:rPr>
              <w:t xml:space="preserve"> Server 2013 Standard Edition IDC</w:t>
            </w:r>
            <w:bookmarkEnd w:id="161"/>
          </w:p>
        </w:tc>
        <w:tc>
          <w:tcPr>
            <w:tcW w:w="450" w:type="dxa"/>
            <w:tcBorders>
              <w:bottom w:val="single" w:sz="4" w:space="0" w:color="auto"/>
            </w:tcBorders>
            <w:shd w:val="clear" w:color="auto" w:fill="FABF8F"/>
            <w:vAlign w:val="center"/>
          </w:tcPr>
          <w:p w:rsidR="002B327C" w:rsidRPr="00DC1AC3" w:rsidDel="00E7100E" w:rsidRDefault="002B327C" w:rsidP="002253A3">
            <w:pPr>
              <w:jc w:val="center"/>
              <w:rPr>
                <w:rFonts w:ascii="Trebuchet MS" w:hAnsi="Trebuchet MS" w:cs="Tahoma"/>
                <w:sz w:val="13"/>
                <w:szCs w:val="13"/>
              </w:rPr>
            </w:pPr>
          </w:p>
        </w:tc>
        <w:tc>
          <w:tcPr>
            <w:tcW w:w="433" w:type="dxa"/>
            <w:tcBorders>
              <w:bottom w:val="single" w:sz="4" w:space="0" w:color="auto"/>
            </w:tcBorders>
            <w:shd w:val="clear" w:color="auto" w:fill="FABF8F"/>
            <w:vAlign w:val="center"/>
          </w:tcPr>
          <w:p w:rsidR="002B327C" w:rsidRPr="000A1C8E" w:rsidDel="00A53269" w:rsidRDefault="00DB3ECB" w:rsidP="002253A3">
            <w:pPr>
              <w:jc w:val="center"/>
              <w:rPr>
                <w:rFonts w:cs="Tahoma"/>
                <w:color w:val="000000"/>
                <w:sz w:val="13"/>
                <w:szCs w:val="13"/>
              </w:rPr>
            </w:pPr>
            <w:r w:rsidRPr="000A1C8E">
              <w:rPr>
                <w:rFonts w:cs="Tahoma"/>
                <w:color w:val="000000"/>
                <w:sz w:val="13"/>
                <w:szCs w:val="13"/>
              </w:rPr>
              <w:t>03/13</w:t>
            </w:r>
          </w:p>
        </w:tc>
        <w:tc>
          <w:tcPr>
            <w:tcW w:w="377" w:type="dxa"/>
            <w:tcBorders>
              <w:bottom w:val="single" w:sz="4" w:space="0" w:color="auto"/>
              <w:right w:val="single" w:sz="18" w:space="0" w:color="auto"/>
            </w:tcBorders>
            <w:shd w:val="clear" w:color="auto" w:fill="FABF8F"/>
            <w:vAlign w:val="center"/>
          </w:tcPr>
          <w:p w:rsidR="002B327C" w:rsidRPr="000A1C8E"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369" w:type="dxa"/>
            <w:tcBorders>
              <w:left w:val="single" w:sz="18" w:space="0" w:color="auto"/>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396" w:type="dxa"/>
            <w:tcBorders>
              <w:bottom w:val="single" w:sz="4" w:space="0" w:color="auto"/>
              <w:right w:val="single" w:sz="18" w:space="0" w:color="auto"/>
            </w:tcBorders>
            <w:shd w:val="clear" w:color="auto" w:fill="FABF8F"/>
            <w:vAlign w:val="center"/>
          </w:tcPr>
          <w:p w:rsidR="002B327C" w:rsidRPr="000A1C8E" w:rsidDel="00A53269" w:rsidRDefault="002253A3" w:rsidP="002253A3">
            <w:pPr>
              <w:jc w:val="center"/>
              <w:rPr>
                <w:rFonts w:cs="Tahoma"/>
                <w:sz w:val="13"/>
                <w:szCs w:val="13"/>
              </w:rPr>
            </w:pPr>
            <w:r w:rsidRPr="000A1C8E">
              <w:rPr>
                <w:rFonts w:cs="Tahoma"/>
                <w:sz w:val="13"/>
                <w:szCs w:val="13"/>
              </w:rPr>
              <w:t>D</w:t>
            </w:r>
          </w:p>
        </w:tc>
        <w:tc>
          <w:tcPr>
            <w:tcW w:w="396" w:type="dxa"/>
            <w:tcBorders>
              <w:left w:val="single" w:sz="18" w:space="0" w:color="auto"/>
              <w:bottom w:val="single" w:sz="4" w:space="0" w:color="auto"/>
              <w:right w:val="single" w:sz="18"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693" w:type="dxa"/>
            <w:tcBorders>
              <w:bottom w:val="single" w:sz="4" w:space="0" w:color="auto"/>
            </w:tcBorders>
            <w:shd w:val="clear" w:color="auto" w:fill="FABF8F"/>
            <w:vAlign w:val="center"/>
          </w:tcPr>
          <w:p w:rsidR="002B327C" w:rsidRPr="000A1C8E" w:rsidDel="00E7100E" w:rsidRDefault="002B327C" w:rsidP="002253A3">
            <w:pPr>
              <w:jc w:val="center"/>
              <w:rPr>
                <w:rFonts w:cs="Tahoma"/>
                <w:sz w:val="13"/>
                <w:szCs w:val="13"/>
              </w:rPr>
            </w:pPr>
          </w:p>
        </w:tc>
        <w:tc>
          <w:tcPr>
            <w:tcW w:w="486" w:type="dxa"/>
            <w:tcBorders>
              <w:bottom w:val="single" w:sz="4" w:space="0" w:color="auto"/>
            </w:tcBorders>
            <w:shd w:val="clear" w:color="auto" w:fill="FABF8F"/>
            <w:vAlign w:val="center"/>
          </w:tcPr>
          <w:p w:rsidR="002B327C" w:rsidRPr="000A1C8E" w:rsidDel="00E7100E" w:rsidRDefault="002B327C" w:rsidP="002253A3">
            <w:pPr>
              <w:jc w:val="center"/>
              <w:rPr>
                <w:rFonts w:cs="Tahoma"/>
                <w:color w:val="000000"/>
                <w:sz w:val="13"/>
                <w:szCs w:val="13"/>
              </w:rPr>
            </w:pP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Heading2"/>
              <w:spacing w:beforeLines="20" w:before="48" w:afterLines="20" w:after="48"/>
              <w:ind w:left="0"/>
              <w:rPr>
                <w:rFonts w:ascii="Tahoma" w:hAnsi="Tahoma" w:cs="Tahoma"/>
                <w:b w:val="0"/>
                <w:sz w:val="16"/>
                <w:szCs w:val="16"/>
              </w:rPr>
            </w:pPr>
            <w:bookmarkStart w:id="162" w:name="_Toc336337925"/>
            <w:bookmarkStart w:id="163" w:name="_Toc361829036"/>
            <w:r w:rsidRPr="000A1C8E">
              <w:rPr>
                <w:rFonts w:ascii="Tahoma" w:hAnsi="Tahoma" w:cs="Tahoma"/>
                <w:b w:val="0"/>
                <w:sz w:val="14"/>
                <w:szCs w:val="16"/>
              </w:rPr>
              <w:t>Business Intelligence Appliance 2012</w:t>
            </w:r>
            <w:bookmarkEnd w:id="162"/>
            <w:bookmarkEnd w:id="163"/>
          </w:p>
        </w:tc>
        <w:tc>
          <w:tcPr>
            <w:tcW w:w="450" w:type="dxa"/>
            <w:tcBorders>
              <w:bottom w:val="single" w:sz="4" w:space="0" w:color="auto"/>
            </w:tcBorders>
            <w:shd w:val="clear" w:color="auto" w:fill="auto"/>
            <w:vAlign w:val="center"/>
          </w:tcPr>
          <w:p w:rsidR="001A63C6" w:rsidRPr="00DC1AC3" w:rsidRDefault="006C57E7" w:rsidP="009D43FB">
            <w:pPr>
              <w:pStyle w:val="TableText"/>
              <w:widowControl w:val="0"/>
              <w:rPr>
                <w:rStyle w:val="EndnoteReference"/>
                <w:rFonts w:cs="Tahoma"/>
                <w:b w:val="0"/>
                <w:color w:val="0000FF"/>
                <w:sz w:val="13"/>
                <w:szCs w:val="13"/>
                <w:u w:val="single"/>
              </w:rPr>
            </w:pPr>
            <w:hyperlink w:anchor="_39_Business_Intelligence" w:history="1">
              <w:r w:rsidR="003D47E7" w:rsidRPr="00DC1AC3">
                <w:rPr>
                  <w:rStyle w:val="Hyperlink"/>
                  <w:rFonts w:cs="Tahoma"/>
                  <w:b/>
                  <w:sz w:val="13"/>
                  <w:szCs w:val="13"/>
                </w:rPr>
                <w:t>39</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11/11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EF228F"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164" w:name="_Toc336337926"/>
            <w:bookmarkStart w:id="165" w:name="_Toc361829037"/>
            <w:r w:rsidRPr="000A1C8E">
              <w:rPr>
                <w:rFonts w:ascii="Tahoma" w:hAnsi="Tahoma" w:cs="Tahoma"/>
                <w:sz w:val="14"/>
              </w:rPr>
              <w:t>Bridge do Pacote de CALs Principais para Office 365 (Usuário e Dispositivo)</w:t>
            </w:r>
            <w:bookmarkEnd w:id="164"/>
            <w:bookmarkEnd w:id="165"/>
          </w:p>
        </w:tc>
        <w:tc>
          <w:tcPr>
            <w:tcW w:w="450" w:type="dxa"/>
            <w:tcBorders>
              <w:bottom w:val="single" w:sz="4" w:space="0" w:color="auto"/>
            </w:tcBorders>
            <w:shd w:val="clear" w:color="auto" w:fill="FABF8F"/>
            <w:vAlign w:val="center"/>
          </w:tcPr>
          <w:p w:rsidR="001A63C6" w:rsidRPr="00DC1AC3" w:rsidRDefault="006C57E7" w:rsidP="009D43FB">
            <w:pPr>
              <w:pStyle w:val="TableText"/>
              <w:widowControl w:val="0"/>
              <w:rPr>
                <w:rFonts w:cs="Tahoma"/>
                <w:b/>
                <w:color w:val="0000FF"/>
                <w:sz w:val="13"/>
                <w:szCs w:val="13"/>
                <w:u w:val="single"/>
              </w:rPr>
            </w:pPr>
            <w:hyperlink w:anchor="_40_Bridge_do" w:history="1">
              <w:r w:rsidR="003D47E7" w:rsidRPr="00DC1AC3">
                <w:rPr>
                  <w:rStyle w:val="Hyperlink"/>
                  <w:rFonts w:cs="Tahoma"/>
                  <w:b/>
                  <w:sz w:val="13"/>
                  <w:szCs w:val="13"/>
                </w:rPr>
                <w:t>40</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w:t>
            </w: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166" w:name="_Toc336337927"/>
            <w:bookmarkStart w:id="167" w:name="_Toc361829038"/>
            <w:r w:rsidRPr="000A1C8E">
              <w:rPr>
                <w:rFonts w:ascii="Tahoma" w:hAnsi="Tahoma" w:cs="Tahoma"/>
                <w:sz w:val="14"/>
              </w:rPr>
              <w:t>Bridge do Pacote de CALs Principais para Office 365 e Windows</w:t>
            </w:r>
            <w:r w:rsidR="00C83286" w:rsidRPr="000A1C8E">
              <w:rPr>
                <w:rFonts w:ascii="Tahoma" w:hAnsi="Tahoma" w:cs="Tahoma"/>
                <w:sz w:val="14"/>
                <w:vertAlign w:val="superscript"/>
              </w:rPr>
              <w:t>®</w:t>
            </w:r>
            <w:r w:rsidRPr="000A1C8E">
              <w:rPr>
                <w:rFonts w:ascii="Tahoma" w:hAnsi="Tahoma" w:cs="Tahoma"/>
                <w:sz w:val="14"/>
              </w:rPr>
              <w:t xml:space="preserve"> Intune (Usuário e Dispositivo)</w:t>
            </w:r>
            <w:bookmarkEnd w:id="166"/>
            <w:bookmarkEnd w:id="167"/>
          </w:p>
        </w:tc>
        <w:tc>
          <w:tcPr>
            <w:tcW w:w="450" w:type="dxa"/>
            <w:tcBorders>
              <w:bottom w:val="single" w:sz="4" w:space="0" w:color="auto"/>
            </w:tcBorders>
            <w:shd w:val="clear" w:color="auto" w:fill="auto"/>
            <w:vAlign w:val="center"/>
          </w:tcPr>
          <w:p w:rsidR="001A63C6" w:rsidRPr="00DC1AC3" w:rsidRDefault="006C57E7" w:rsidP="00E0507D">
            <w:pPr>
              <w:pStyle w:val="TableText"/>
              <w:widowControl w:val="0"/>
              <w:rPr>
                <w:rFonts w:cs="Tahoma"/>
                <w:b/>
                <w:color w:val="0000FF"/>
                <w:sz w:val="13"/>
                <w:szCs w:val="13"/>
                <w:u w:val="single"/>
              </w:rPr>
            </w:pPr>
            <w:hyperlink w:anchor="_40_Bridge_do" w:history="1">
              <w:r w:rsidR="008E6264" w:rsidRPr="00DC1AC3">
                <w:rPr>
                  <w:rStyle w:val="Hyperlink"/>
                  <w:rFonts w:cs="Tahoma"/>
                  <w:b/>
                  <w:sz w:val="13"/>
                  <w:szCs w:val="13"/>
                </w:rPr>
                <w:t>40</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w:t>
            </w: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168" w:name="_Toc336337928"/>
            <w:bookmarkStart w:id="169" w:name="_Toc361829039"/>
            <w:r w:rsidRPr="000A1C8E">
              <w:rPr>
                <w:rFonts w:ascii="Tahoma" w:hAnsi="Tahoma" w:cs="Tahoma"/>
                <w:sz w:val="14"/>
              </w:rPr>
              <w:t>Bridge do Pacote de CALs Principais para Windows</w:t>
            </w:r>
            <w:r w:rsidR="00C83286" w:rsidRPr="000A1C8E">
              <w:rPr>
                <w:rFonts w:ascii="Tahoma" w:hAnsi="Tahoma" w:cs="Tahoma"/>
                <w:sz w:val="14"/>
                <w:vertAlign w:val="superscript"/>
              </w:rPr>
              <w:t>®</w:t>
            </w:r>
            <w:r w:rsidRPr="000A1C8E">
              <w:rPr>
                <w:rFonts w:ascii="Tahoma" w:hAnsi="Tahoma" w:cs="Tahoma"/>
                <w:sz w:val="14"/>
              </w:rPr>
              <w:t xml:space="preserve"> Intune (Usuário e Dispositivo)</w:t>
            </w:r>
            <w:bookmarkEnd w:id="168"/>
            <w:bookmarkEnd w:id="169"/>
          </w:p>
        </w:tc>
        <w:tc>
          <w:tcPr>
            <w:tcW w:w="450" w:type="dxa"/>
            <w:tcBorders>
              <w:bottom w:val="single" w:sz="4" w:space="0" w:color="auto"/>
            </w:tcBorders>
            <w:shd w:val="clear" w:color="auto" w:fill="FABF8F"/>
            <w:vAlign w:val="center"/>
          </w:tcPr>
          <w:p w:rsidR="001A63C6" w:rsidRPr="00DC1AC3" w:rsidRDefault="006C57E7" w:rsidP="00E0507D">
            <w:pPr>
              <w:pStyle w:val="TableText"/>
              <w:widowControl w:val="0"/>
              <w:rPr>
                <w:rFonts w:cs="Tahoma"/>
                <w:b/>
                <w:color w:val="0000FF"/>
                <w:sz w:val="13"/>
                <w:szCs w:val="13"/>
                <w:u w:val="single"/>
              </w:rPr>
            </w:pPr>
            <w:hyperlink w:anchor="_40_Bridge_do" w:history="1">
              <w:r w:rsidR="008E6264" w:rsidRPr="00DC1AC3">
                <w:rPr>
                  <w:rStyle w:val="Hyperlink"/>
                  <w:rFonts w:cs="Tahoma"/>
                  <w:b/>
                  <w:sz w:val="13"/>
                  <w:szCs w:val="13"/>
                </w:rPr>
                <w:t>40</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04/11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170" w:name="_Toc336337929"/>
            <w:bookmarkStart w:id="171" w:name="_Toc361829040"/>
            <w:r w:rsidRPr="000A1C8E">
              <w:rPr>
                <w:rFonts w:ascii="Tahoma" w:hAnsi="Tahoma" w:cs="Tahoma"/>
                <w:sz w:val="14"/>
              </w:rPr>
              <w:t>Core CAL Suite (Usuário e Dispositivo)</w:t>
            </w:r>
            <w:bookmarkEnd w:id="170"/>
            <w:bookmarkEnd w:id="171"/>
          </w:p>
        </w:tc>
        <w:tc>
          <w:tcPr>
            <w:tcW w:w="450" w:type="dxa"/>
            <w:tcBorders>
              <w:bottom w:val="single" w:sz="4" w:space="0" w:color="auto"/>
            </w:tcBorders>
            <w:shd w:val="clear" w:color="auto" w:fill="auto"/>
            <w:vAlign w:val="center"/>
          </w:tcPr>
          <w:p w:rsidR="001A63C6" w:rsidRPr="00DC1AC3" w:rsidRDefault="006C57E7" w:rsidP="00E0507D">
            <w:pPr>
              <w:pStyle w:val="TableText"/>
              <w:widowControl w:val="0"/>
              <w:rPr>
                <w:rStyle w:val="EndnoteReference"/>
                <w:rFonts w:cs="Tahoma"/>
                <w:color w:val="0000FF"/>
                <w:sz w:val="13"/>
                <w:szCs w:val="13"/>
                <w:u w:val="single"/>
              </w:rPr>
            </w:pPr>
            <w:hyperlink w:anchor="_41_Pacote_de" w:history="1">
              <w:r w:rsidR="003D47E7" w:rsidRPr="00DC1AC3">
                <w:rPr>
                  <w:rStyle w:val="Hyperlink"/>
                  <w:rFonts w:cs="Tahoma"/>
                  <w:b/>
                  <w:sz w:val="13"/>
                  <w:szCs w:val="13"/>
                </w:rPr>
                <w:t>41</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10/06</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 P</w:t>
            </w: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sz w:val="13"/>
                <w:szCs w:val="13"/>
              </w:rPr>
              <w:t>E</w:t>
            </w:r>
            <w:r w:rsidRPr="000A1C8E">
              <w:rPr>
                <w:rFonts w:ascii="Tahoma" w:hAnsi="Tahoma" w:cs="Tahoma"/>
                <w:sz w:val="13"/>
              </w:rPr>
              <w:t>,</w:t>
            </w:r>
            <w:r w:rsidR="00D21781"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EF228F"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172" w:name="_Toc336337930"/>
            <w:bookmarkStart w:id="173" w:name="_Toc361829041"/>
            <w:r w:rsidRPr="000A1C8E">
              <w:rPr>
                <w:rFonts w:ascii="Tahoma" w:hAnsi="Tahoma" w:cs="Tahoma"/>
                <w:sz w:val="14"/>
              </w:rPr>
              <w:t>Core Infrastructure Server Suite Standard</w:t>
            </w:r>
            <w:bookmarkEnd w:id="172"/>
            <w:bookmarkEnd w:id="173"/>
          </w:p>
        </w:tc>
        <w:tc>
          <w:tcPr>
            <w:tcW w:w="450" w:type="dxa"/>
            <w:tcBorders>
              <w:bottom w:val="single" w:sz="4" w:space="0" w:color="auto"/>
            </w:tcBorders>
            <w:shd w:val="clear" w:color="auto" w:fill="FABF8F"/>
            <w:vAlign w:val="center"/>
          </w:tcPr>
          <w:p w:rsidR="001A63C6" w:rsidRPr="00DC1AC3" w:rsidRDefault="006C57E7" w:rsidP="00E0507D">
            <w:pPr>
              <w:pStyle w:val="TableText"/>
              <w:widowControl w:val="0"/>
              <w:rPr>
                <w:rStyle w:val="EndnoteReference"/>
                <w:rFonts w:cs="Tahoma"/>
                <w:color w:val="0000FF"/>
                <w:sz w:val="13"/>
                <w:szCs w:val="13"/>
                <w:u w:val="single"/>
              </w:rPr>
            </w:pPr>
            <w:hyperlink w:anchor="_41_Core_Infrastructure" w:history="1">
              <w:r w:rsidR="003D47E7" w:rsidRPr="00DC1AC3">
                <w:rPr>
                  <w:rStyle w:val="Hyperlink"/>
                  <w:rFonts w:cs="Tahoma"/>
                  <w:b/>
                  <w:sz w:val="13"/>
                  <w:szCs w:val="13"/>
                </w:rPr>
                <w:t>42</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25</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25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C</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174" w:name="_Toc336337931"/>
            <w:bookmarkStart w:id="175" w:name="_Toc361829042"/>
            <w:r w:rsidRPr="000A1C8E">
              <w:rPr>
                <w:rFonts w:ascii="Tahoma" w:hAnsi="Tahoma" w:cs="Tahoma"/>
                <w:sz w:val="14"/>
              </w:rPr>
              <w:t>Core Infrastructure Server Suite Enterprise</w:t>
            </w:r>
            <w:bookmarkEnd w:id="174"/>
            <w:bookmarkEnd w:id="175"/>
          </w:p>
        </w:tc>
        <w:tc>
          <w:tcPr>
            <w:tcW w:w="450" w:type="dxa"/>
            <w:tcBorders>
              <w:bottom w:val="single" w:sz="4" w:space="0" w:color="auto"/>
            </w:tcBorders>
            <w:shd w:val="clear" w:color="auto" w:fill="auto"/>
            <w:vAlign w:val="center"/>
          </w:tcPr>
          <w:p w:rsidR="001A63C6" w:rsidRPr="00DC1AC3" w:rsidRDefault="006C57E7" w:rsidP="003D5C46">
            <w:pPr>
              <w:pStyle w:val="TableText"/>
              <w:widowControl w:val="0"/>
              <w:rPr>
                <w:rStyle w:val="EndnoteReference"/>
                <w:rFonts w:cs="Tahoma"/>
                <w:color w:val="0000FF"/>
                <w:sz w:val="13"/>
                <w:szCs w:val="13"/>
                <w:u w:val="single"/>
              </w:rPr>
            </w:pPr>
            <w:hyperlink w:anchor="_38_Core_Infrastructure" w:history="1">
              <w:r w:rsidR="003D47E7" w:rsidRPr="00DC1AC3">
                <w:rPr>
                  <w:rStyle w:val="Hyperlink"/>
                  <w:rFonts w:cs="Tahoma"/>
                  <w:b/>
                  <w:sz w:val="13"/>
                  <w:szCs w:val="13"/>
                </w:rPr>
                <w:t>43</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176" w:name="_Toc336337932"/>
            <w:bookmarkStart w:id="177" w:name="_Toc361829043"/>
            <w:r w:rsidRPr="000A1C8E">
              <w:rPr>
                <w:rFonts w:ascii="Tahoma" w:hAnsi="Tahoma" w:cs="Tahoma"/>
                <w:sz w:val="14"/>
              </w:rPr>
              <w:t>Core Infrastructure Server Suite Datacenter</w:t>
            </w:r>
            <w:bookmarkEnd w:id="176"/>
            <w:bookmarkEnd w:id="177"/>
          </w:p>
        </w:tc>
        <w:tc>
          <w:tcPr>
            <w:tcW w:w="450" w:type="dxa"/>
            <w:tcBorders>
              <w:bottom w:val="single" w:sz="4" w:space="0" w:color="auto"/>
            </w:tcBorders>
            <w:shd w:val="clear" w:color="auto" w:fill="FABF8F"/>
            <w:vAlign w:val="center"/>
          </w:tcPr>
          <w:p w:rsidR="001A63C6" w:rsidRPr="00DC1AC3" w:rsidRDefault="006C57E7" w:rsidP="00E0507D">
            <w:pPr>
              <w:pStyle w:val="TableText"/>
              <w:widowControl w:val="0"/>
              <w:rPr>
                <w:rStyle w:val="EndnoteReference"/>
                <w:rFonts w:cs="Tahoma"/>
                <w:color w:val="0000FF"/>
                <w:sz w:val="13"/>
                <w:szCs w:val="13"/>
                <w:u w:val="single"/>
              </w:rPr>
            </w:pPr>
            <w:hyperlink w:anchor="_44_Core_Infrastructure" w:history="1">
              <w:r w:rsidR="003D47E7" w:rsidRPr="00DC1AC3">
                <w:rPr>
                  <w:rStyle w:val="Hyperlink"/>
                  <w:rFonts w:cs="Tahoma"/>
                  <w:b/>
                  <w:sz w:val="13"/>
                  <w:szCs w:val="13"/>
                </w:rPr>
                <w:t>44</w:t>
              </w:r>
            </w:hyperlink>
            <w:hyperlink w:anchor="_39_Core_Infrastructure" w:history="1"/>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lang w:eastAsia="ja-JP"/>
              </w:rPr>
            </w:pPr>
            <w:r w:rsidRPr="000A1C8E">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r w:rsidRPr="000A1C8E">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lang w:eastAsia="ja-JP"/>
              </w:rPr>
            </w:pPr>
            <w:r w:rsidRPr="000A1C8E">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lang w:eastAsia="ja-JP"/>
              </w:rPr>
            </w:pPr>
            <w:r w:rsidRPr="000A1C8E">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lang w:eastAsia="ja-JP"/>
              </w:rPr>
            </w:pPr>
            <w:r w:rsidRPr="000A1C8E">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lang w:eastAsia="ja-JP"/>
              </w:rPr>
            </w:pPr>
            <w:r w:rsidRPr="000A1C8E">
              <w:rPr>
                <w:rFonts w:ascii="Tahoma" w:hAnsi="Tahoma" w:cs="Tahoma"/>
                <w:sz w:val="13"/>
                <w:szCs w:val="13"/>
              </w:rPr>
              <w:t>75</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lang w:eastAsia="ja-JP"/>
              </w:rPr>
            </w:pPr>
            <w:r w:rsidRPr="000A1C8E">
              <w:rPr>
                <w:rFonts w:ascii="Tahoma" w:hAnsi="Tahoma" w:cs="Tahoma"/>
                <w:sz w:val="13"/>
                <w:szCs w:val="13"/>
              </w:rPr>
              <w:t>75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C</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54609D" w:rsidRPr="000A1C8E" w:rsidTr="00C16156">
        <w:trPr>
          <w:trHeight w:val="145"/>
          <w:jc w:val="center"/>
        </w:trPr>
        <w:tc>
          <w:tcPr>
            <w:tcW w:w="2734" w:type="dxa"/>
            <w:gridSpan w:val="2"/>
            <w:tcBorders>
              <w:bottom w:val="single" w:sz="4" w:space="0" w:color="auto"/>
            </w:tcBorders>
            <w:shd w:val="clear" w:color="auto" w:fill="auto"/>
            <w:vAlign w:val="center"/>
          </w:tcPr>
          <w:p w:rsidR="0054609D" w:rsidRPr="000A1C8E" w:rsidRDefault="0054609D" w:rsidP="004F6A95">
            <w:pPr>
              <w:pStyle w:val="ProductNames"/>
              <w:spacing w:beforeLines="20" w:before="48" w:afterLines="20" w:after="48"/>
              <w:rPr>
                <w:rFonts w:ascii="Tahoma" w:hAnsi="Tahoma" w:cs="Tahoma"/>
                <w:color w:val="000000"/>
                <w:sz w:val="14"/>
                <w:szCs w:val="18"/>
              </w:rPr>
            </w:pPr>
            <w:bookmarkStart w:id="178" w:name="_Toc361829044"/>
            <w:r w:rsidRPr="000A1C8E">
              <w:rPr>
                <w:rFonts w:ascii="Tahoma" w:hAnsi="Tahoma" w:cs="Tahoma"/>
                <w:color w:val="000000"/>
                <w:sz w:val="14"/>
                <w:szCs w:val="18"/>
              </w:rPr>
              <w:t>Duet Enterprise 2.0</w:t>
            </w:r>
            <w:bookmarkEnd w:id="178"/>
          </w:p>
        </w:tc>
        <w:tc>
          <w:tcPr>
            <w:tcW w:w="450" w:type="dxa"/>
            <w:tcBorders>
              <w:bottom w:val="single" w:sz="4" w:space="0" w:color="auto"/>
            </w:tcBorders>
            <w:shd w:val="clear" w:color="auto" w:fill="auto"/>
            <w:vAlign w:val="center"/>
          </w:tcPr>
          <w:p w:rsidR="0054609D" w:rsidRPr="00DC1AC3" w:rsidDel="00132E08" w:rsidRDefault="006C57E7" w:rsidP="00E0507D">
            <w:pPr>
              <w:pStyle w:val="TableText"/>
              <w:widowControl w:val="0"/>
              <w:rPr>
                <w:rFonts w:cs="Tahoma"/>
                <w:b/>
                <w:sz w:val="13"/>
                <w:szCs w:val="13"/>
              </w:rPr>
            </w:pPr>
            <w:hyperlink w:anchor="_45_Duet_Enterprise" w:history="1">
              <w:r w:rsidR="003D47E7" w:rsidRPr="00DC1AC3">
                <w:rPr>
                  <w:rStyle w:val="Hyperlink"/>
                  <w:rFonts w:cs="Tahoma"/>
                  <w:b/>
                  <w:sz w:val="13"/>
                  <w:szCs w:val="13"/>
                </w:rPr>
                <w:t>45</w:t>
              </w:r>
            </w:hyperlink>
          </w:p>
        </w:tc>
        <w:tc>
          <w:tcPr>
            <w:tcW w:w="433" w:type="dxa"/>
            <w:tcBorders>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54609D" w:rsidRPr="000A1C8E" w:rsidRDefault="0054609D"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54609D" w:rsidRPr="000A1C8E" w:rsidRDefault="0054609D"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54609D" w:rsidRPr="000A1C8E" w:rsidRDefault="0054609D" w:rsidP="001A63C6">
            <w:pPr>
              <w:pStyle w:val="TableText"/>
              <w:widowControl w:val="0"/>
              <w:jc w:val="left"/>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B413E" w:rsidP="004F6A95">
            <w:pPr>
              <w:pStyle w:val="ProductNames"/>
              <w:spacing w:beforeLines="20" w:before="48" w:afterLines="20" w:after="48"/>
              <w:rPr>
                <w:rFonts w:ascii="Tahoma" w:hAnsi="Tahoma" w:cs="Tahoma"/>
                <w:sz w:val="14"/>
                <w:szCs w:val="18"/>
              </w:rPr>
            </w:pPr>
            <w:bookmarkStart w:id="179" w:name="_Toc336337935"/>
            <w:bookmarkStart w:id="180" w:name="_Toc361829045"/>
            <w:r w:rsidRPr="000A1C8E">
              <w:rPr>
                <w:rFonts w:ascii="Tahoma" w:hAnsi="Tahoma" w:cs="Tahoma"/>
                <w:color w:val="000000"/>
                <w:sz w:val="14"/>
                <w:szCs w:val="18"/>
              </w:rPr>
              <w:t>Armazenamento Adicional para Microsoft Dynamics CRM Online</w:t>
            </w:r>
            <w:bookmarkEnd w:id="179"/>
            <w:bookmarkEnd w:id="180"/>
          </w:p>
        </w:tc>
        <w:tc>
          <w:tcPr>
            <w:tcW w:w="450" w:type="dxa"/>
            <w:tcBorders>
              <w:bottom w:val="single" w:sz="4" w:space="0" w:color="auto"/>
            </w:tcBorders>
            <w:shd w:val="clear" w:color="auto" w:fill="FABF8F"/>
            <w:vAlign w:val="center"/>
          </w:tcPr>
          <w:p w:rsidR="001A63C6" w:rsidRPr="00DC1AC3" w:rsidRDefault="006C57E7" w:rsidP="00E0507D">
            <w:pPr>
              <w:pStyle w:val="TableText"/>
              <w:widowControl w:val="0"/>
              <w:rPr>
                <w:rStyle w:val="EndnoteReference"/>
                <w:rFonts w:cs="Tahoma"/>
                <w:color w:val="0000FF"/>
                <w:sz w:val="13"/>
                <w:szCs w:val="13"/>
                <w:u w:val="single"/>
              </w:rPr>
            </w:pPr>
            <w:hyperlink w:anchor="_46_Microsoft_Dynamics" w:history="1">
              <w:r w:rsidR="003D47E7" w:rsidRPr="00DC1AC3">
                <w:rPr>
                  <w:rStyle w:val="Hyperlink"/>
                  <w:rFonts w:cs="Tahoma"/>
                  <w:b/>
                  <w:sz w:val="13"/>
                  <w:szCs w:val="13"/>
                </w:rPr>
                <w:t>46</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r w:rsidR="00D21781"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jc w:val="left"/>
              <w:rPr>
                <w:rFonts w:ascii="Tahoma" w:hAnsi="Tahoma" w:cs="Tahoma"/>
                <w:sz w:val="13"/>
              </w:rPr>
            </w:pPr>
          </w:p>
        </w:tc>
      </w:tr>
      <w:tr w:rsidR="006900D9"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B413E" w:rsidP="004F6A95">
            <w:pPr>
              <w:pStyle w:val="ProductNames"/>
              <w:spacing w:beforeLines="20" w:before="48" w:afterLines="20" w:after="48"/>
              <w:rPr>
                <w:rFonts w:ascii="Tahoma" w:hAnsi="Tahoma" w:cs="Tahoma"/>
                <w:sz w:val="14"/>
                <w:szCs w:val="18"/>
              </w:rPr>
            </w:pPr>
            <w:bookmarkStart w:id="181" w:name="_Toc336337936"/>
            <w:bookmarkStart w:id="182" w:name="_Toc361829046"/>
            <w:r w:rsidRPr="000A1C8E">
              <w:rPr>
                <w:rFonts w:ascii="Tahoma" w:hAnsi="Tahoma" w:cs="Tahoma"/>
                <w:color w:val="000000"/>
                <w:sz w:val="14"/>
                <w:szCs w:val="18"/>
              </w:rPr>
              <w:t>Microsoft Dynamics CRM Online por Usuário</w:t>
            </w:r>
            <w:bookmarkEnd w:id="181"/>
            <w:bookmarkEnd w:id="182"/>
          </w:p>
        </w:tc>
        <w:tc>
          <w:tcPr>
            <w:tcW w:w="450" w:type="dxa"/>
            <w:tcBorders>
              <w:bottom w:val="single" w:sz="4" w:space="0" w:color="auto"/>
            </w:tcBorders>
            <w:shd w:val="clear" w:color="auto" w:fill="auto"/>
            <w:vAlign w:val="center"/>
          </w:tcPr>
          <w:p w:rsidR="001A63C6" w:rsidRPr="00DC1AC3" w:rsidRDefault="006C57E7" w:rsidP="00E0507D">
            <w:pPr>
              <w:pStyle w:val="TableText"/>
              <w:widowControl w:val="0"/>
              <w:rPr>
                <w:rStyle w:val="EndnoteReference"/>
                <w:rFonts w:cs="Tahoma"/>
                <w:color w:val="0000FF"/>
                <w:sz w:val="13"/>
                <w:szCs w:val="13"/>
                <w:u w:val="single"/>
              </w:rPr>
            </w:pPr>
            <w:hyperlink w:anchor="_40_Dynamics_CRM" w:history="1">
              <w:r w:rsidR="003D47E7" w:rsidRPr="00DC1AC3">
                <w:rPr>
                  <w:rStyle w:val="Hyperlink"/>
                  <w:rFonts w:cs="Tahoma"/>
                  <w:b/>
                  <w:sz w:val="13"/>
                  <w:szCs w:val="13"/>
                </w:rPr>
                <w:t>46</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12/09</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r w:rsidR="00D21781"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jc w:val="left"/>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B413E" w:rsidP="004F6A95">
            <w:pPr>
              <w:pStyle w:val="ProductNames"/>
              <w:spacing w:beforeLines="20" w:before="48" w:afterLines="20" w:after="48"/>
              <w:rPr>
                <w:rFonts w:ascii="Tahoma" w:hAnsi="Tahoma" w:cs="Tahoma"/>
                <w:sz w:val="14"/>
                <w:szCs w:val="18"/>
              </w:rPr>
            </w:pPr>
            <w:bookmarkStart w:id="183" w:name="_Toc336337937"/>
            <w:bookmarkStart w:id="184" w:name="_Toc361829047"/>
            <w:r w:rsidRPr="000A1C8E">
              <w:rPr>
                <w:rFonts w:ascii="Tahoma" w:hAnsi="Tahoma" w:cs="Tahoma"/>
                <w:color w:val="000000"/>
                <w:sz w:val="14"/>
                <w:szCs w:val="18"/>
              </w:rPr>
              <w:t>Microsoft Dynamics CRM Online para SA</w:t>
            </w:r>
            <w:bookmarkEnd w:id="183"/>
            <w:bookmarkEnd w:id="184"/>
          </w:p>
        </w:tc>
        <w:tc>
          <w:tcPr>
            <w:tcW w:w="450" w:type="dxa"/>
            <w:tcBorders>
              <w:bottom w:val="single" w:sz="4" w:space="0" w:color="auto"/>
            </w:tcBorders>
            <w:shd w:val="clear" w:color="auto" w:fill="FABF8F"/>
            <w:vAlign w:val="center"/>
          </w:tcPr>
          <w:p w:rsidR="001A63C6" w:rsidRPr="00DC1AC3" w:rsidRDefault="006C57E7" w:rsidP="00E0507D">
            <w:pPr>
              <w:pStyle w:val="TableText"/>
              <w:widowControl w:val="0"/>
              <w:rPr>
                <w:rStyle w:val="EndnoteReference"/>
                <w:rFonts w:cs="Tahoma"/>
                <w:color w:val="0000FF"/>
                <w:sz w:val="13"/>
                <w:szCs w:val="13"/>
                <w:u w:val="single"/>
              </w:rPr>
            </w:pPr>
            <w:hyperlink w:anchor="_40_Dynamics_CRM" w:history="1">
              <w:r w:rsidR="008E6264" w:rsidRPr="00DC1AC3">
                <w:rPr>
                  <w:rStyle w:val="Hyperlink"/>
                  <w:rFonts w:cs="Tahoma"/>
                  <w:b/>
                  <w:sz w:val="13"/>
                  <w:szCs w:val="13"/>
                </w:rPr>
                <w:t>46</w:t>
              </w:r>
            </w:hyperlink>
            <w:hyperlink w:anchor="_40_Dynamics_CRM" w:history="1"/>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jc w:val="left"/>
              <w:rPr>
                <w:rFonts w:ascii="Tahoma" w:hAnsi="Tahoma" w:cs="Tahoma"/>
                <w:sz w:val="13"/>
              </w:rPr>
            </w:pPr>
          </w:p>
        </w:tc>
      </w:tr>
      <w:tr w:rsidR="006900D9"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185" w:name="_Toc336337942"/>
            <w:bookmarkStart w:id="186" w:name="_Toc361829048"/>
            <w:r w:rsidRPr="000A1C8E">
              <w:rPr>
                <w:rFonts w:ascii="Tahoma" w:hAnsi="Tahoma" w:cs="Tahoma"/>
                <w:sz w:val="14"/>
              </w:rPr>
              <w:t>Bridge do Pacote de CALs Empresariais para Office 365 (Usuário e Dispositivo)</w:t>
            </w:r>
            <w:bookmarkEnd w:id="185"/>
            <w:bookmarkEnd w:id="186"/>
          </w:p>
        </w:tc>
        <w:tc>
          <w:tcPr>
            <w:tcW w:w="450" w:type="dxa"/>
            <w:tcBorders>
              <w:bottom w:val="single" w:sz="4" w:space="0" w:color="auto"/>
            </w:tcBorders>
            <w:shd w:val="clear" w:color="auto" w:fill="auto"/>
            <w:vAlign w:val="center"/>
          </w:tcPr>
          <w:p w:rsidR="001A63C6" w:rsidRPr="00DC1AC3" w:rsidRDefault="006C57E7" w:rsidP="00BB45D6">
            <w:pPr>
              <w:pStyle w:val="TableText"/>
              <w:widowControl w:val="0"/>
              <w:rPr>
                <w:rFonts w:cs="Tahoma"/>
                <w:b/>
                <w:color w:val="0000FF"/>
                <w:sz w:val="13"/>
                <w:szCs w:val="13"/>
                <w:u w:val="single"/>
              </w:rPr>
            </w:pPr>
            <w:hyperlink w:anchor="_47_Bridge_do" w:history="1">
              <w:r w:rsidR="003D47E7" w:rsidRPr="00DC1AC3">
                <w:rPr>
                  <w:rStyle w:val="Hyperlink"/>
                  <w:rFonts w:cs="Tahoma"/>
                  <w:b/>
                  <w:sz w:val="13"/>
                  <w:szCs w:val="13"/>
                </w:rPr>
                <w:t>47</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spacing w:before="4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0A1C8E" w:rsidRDefault="001A63C6" w:rsidP="001A63C6">
            <w:pPr>
              <w:pStyle w:val="TableText"/>
              <w:widowControl w:val="0"/>
              <w:rPr>
                <w:rFonts w:ascii="Tahoma" w:hAnsi="Tahoma" w:cs="Tahoma"/>
                <w:sz w:val="13"/>
                <w:szCs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w:t>
            </w: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187" w:name="_Toc336337943"/>
            <w:bookmarkStart w:id="188" w:name="_Toc361829049"/>
            <w:r w:rsidRPr="000A1C8E">
              <w:rPr>
                <w:rFonts w:ascii="Tahoma" w:hAnsi="Tahoma" w:cs="Tahoma"/>
                <w:sz w:val="14"/>
              </w:rPr>
              <w:lastRenderedPageBreak/>
              <w:t>Bridge do Pacote de CALs Empresariais para Office 365 e Windows</w:t>
            </w:r>
            <w:r w:rsidR="00C83286" w:rsidRPr="000A1C8E">
              <w:rPr>
                <w:rFonts w:ascii="Tahoma" w:hAnsi="Tahoma" w:cs="Tahoma"/>
                <w:sz w:val="14"/>
                <w:vertAlign w:val="superscript"/>
              </w:rPr>
              <w:t>®</w:t>
            </w:r>
            <w:r w:rsidRPr="000A1C8E">
              <w:rPr>
                <w:rFonts w:ascii="Tahoma" w:hAnsi="Tahoma" w:cs="Tahoma"/>
                <w:sz w:val="14"/>
              </w:rPr>
              <w:t xml:space="preserve"> Intune (Usuário e Dispositivo)</w:t>
            </w:r>
            <w:bookmarkEnd w:id="187"/>
            <w:bookmarkEnd w:id="188"/>
          </w:p>
        </w:tc>
        <w:tc>
          <w:tcPr>
            <w:tcW w:w="450" w:type="dxa"/>
            <w:tcBorders>
              <w:bottom w:val="single" w:sz="4" w:space="0" w:color="auto"/>
            </w:tcBorders>
            <w:shd w:val="clear" w:color="auto" w:fill="FABF8F"/>
            <w:vAlign w:val="center"/>
          </w:tcPr>
          <w:p w:rsidR="001A63C6" w:rsidRPr="00DC1AC3" w:rsidRDefault="006C57E7" w:rsidP="00BB45D6">
            <w:pPr>
              <w:pStyle w:val="TableText"/>
              <w:widowControl w:val="0"/>
              <w:rPr>
                <w:rFonts w:cs="Tahoma"/>
                <w:b/>
                <w:color w:val="0000FF"/>
                <w:sz w:val="13"/>
                <w:szCs w:val="13"/>
                <w:u w:val="single"/>
              </w:rPr>
            </w:pPr>
            <w:hyperlink w:anchor="_47_Bridge_do" w:history="1">
              <w:r w:rsidR="008E6264" w:rsidRPr="00DC1AC3">
                <w:rPr>
                  <w:rStyle w:val="Hyperlink"/>
                  <w:rFonts w:cs="Tahoma"/>
                  <w:b/>
                  <w:sz w:val="13"/>
                  <w:szCs w:val="13"/>
                </w:rPr>
                <w:t>47</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4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0A1C8E" w:rsidRDefault="001A63C6" w:rsidP="001A63C6">
            <w:pPr>
              <w:pStyle w:val="TableText"/>
              <w:widowControl w:val="0"/>
              <w:rPr>
                <w:rFonts w:ascii="Tahoma" w:hAnsi="Tahoma" w:cs="Tahoma"/>
                <w:sz w:val="13"/>
                <w:szCs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szCs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w:t>
            </w: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6900D9" w:rsidRPr="000A1C8E" w:rsidTr="00C16156">
        <w:trPr>
          <w:trHeight w:val="278"/>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189" w:name="_Toc336337944"/>
            <w:bookmarkStart w:id="190" w:name="_Toc361829050"/>
            <w:r w:rsidRPr="000A1C8E">
              <w:rPr>
                <w:rFonts w:ascii="Tahoma" w:hAnsi="Tahoma" w:cs="Tahoma"/>
                <w:sz w:val="14"/>
              </w:rPr>
              <w:t>Bridge do Pacote de CALs Empresariais para Windows</w:t>
            </w:r>
            <w:r w:rsidR="00C83286" w:rsidRPr="000A1C8E">
              <w:rPr>
                <w:rFonts w:ascii="Tahoma" w:hAnsi="Tahoma" w:cs="Tahoma"/>
                <w:sz w:val="14"/>
                <w:vertAlign w:val="superscript"/>
              </w:rPr>
              <w:t>®</w:t>
            </w:r>
            <w:r w:rsidRPr="000A1C8E">
              <w:rPr>
                <w:rFonts w:ascii="Tahoma" w:hAnsi="Tahoma" w:cs="Tahoma"/>
                <w:sz w:val="14"/>
              </w:rPr>
              <w:t xml:space="preserve"> Intune (Usuário e Dispositivo)</w:t>
            </w:r>
            <w:bookmarkEnd w:id="189"/>
            <w:bookmarkEnd w:id="190"/>
          </w:p>
        </w:tc>
        <w:tc>
          <w:tcPr>
            <w:tcW w:w="450" w:type="dxa"/>
            <w:tcBorders>
              <w:bottom w:val="single" w:sz="4" w:space="0" w:color="auto"/>
            </w:tcBorders>
            <w:shd w:val="clear" w:color="auto" w:fill="auto"/>
            <w:vAlign w:val="center"/>
          </w:tcPr>
          <w:p w:rsidR="001A63C6" w:rsidRPr="00DC1AC3" w:rsidRDefault="006C57E7" w:rsidP="00BB45D6">
            <w:pPr>
              <w:pStyle w:val="TableText"/>
              <w:widowControl w:val="0"/>
              <w:rPr>
                <w:rFonts w:cs="Tahoma"/>
                <w:b/>
                <w:color w:val="0000FF"/>
                <w:sz w:val="13"/>
                <w:szCs w:val="13"/>
                <w:u w:val="single"/>
              </w:rPr>
            </w:pPr>
            <w:hyperlink w:anchor="_47_Bridge_do" w:history="1">
              <w:r w:rsidR="008E6264" w:rsidRPr="00DC1AC3">
                <w:rPr>
                  <w:rStyle w:val="Hyperlink"/>
                  <w:rFonts w:cs="Tahoma"/>
                  <w:b/>
                  <w:sz w:val="13"/>
                  <w:szCs w:val="13"/>
                </w:rPr>
                <w:t>47</w:t>
              </w:r>
            </w:hyperlink>
            <w:hyperlink w:anchor="Srv_45EntCALBridgeWinIntune" w:history="1"/>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spacing w:before="40"/>
              <w:rPr>
                <w:rFonts w:ascii="Tahoma" w:hAnsi="Tahoma" w:cs="Tahoma"/>
                <w:sz w:val="13"/>
              </w:rPr>
            </w:pPr>
            <w:r w:rsidRPr="000A1C8E">
              <w:rPr>
                <w:rFonts w:ascii="Tahoma" w:hAnsi="Tahoma" w:cs="Tahoma"/>
                <w:sz w:val="13"/>
              </w:rPr>
              <w:t>04/11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C45FD">
            <w:pPr>
              <w:pStyle w:val="ProductNames"/>
              <w:spacing w:beforeLines="20" w:before="48" w:afterLines="20" w:after="48"/>
              <w:rPr>
                <w:rFonts w:ascii="Tahoma" w:hAnsi="Tahoma" w:cs="Tahoma"/>
                <w:sz w:val="14"/>
              </w:rPr>
            </w:pPr>
            <w:bookmarkStart w:id="191" w:name="_Toc336337945"/>
            <w:bookmarkStart w:id="192" w:name="_Toc361829051"/>
            <w:r w:rsidRPr="000A1C8E">
              <w:rPr>
                <w:rFonts w:ascii="Tahoma" w:hAnsi="Tahoma" w:cs="Tahoma"/>
                <w:sz w:val="14"/>
              </w:rPr>
              <w:t>Pacote de CALs Empresariais (Usuário e</w:t>
            </w:r>
            <w:r w:rsidR="001C45FD" w:rsidRPr="000A1C8E">
              <w:rPr>
                <w:rFonts w:ascii="Tahoma" w:hAnsi="Tahoma" w:cs="Tahoma"/>
                <w:sz w:val="14"/>
              </w:rPr>
              <w:t> </w:t>
            </w:r>
            <w:r w:rsidRPr="000A1C8E">
              <w:rPr>
                <w:rFonts w:ascii="Tahoma" w:hAnsi="Tahoma" w:cs="Tahoma"/>
                <w:sz w:val="14"/>
              </w:rPr>
              <w:t>Dispositivo)</w:t>
            </w:r>
            <w:bookmarkEnd w:id="191"/>
            <w:bookmarkEnd w:id="192"/>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6C57E7" w:rsidP="00BB45D6">
            <w:pPr>
              <w:pStyle w:val="TableText"/>
              <w:widowControl w:val="0"/>
              <w:rPr>
                <w:rStyle w:val="EndnoteReference"/>
                <w:rFonts w:cs="Tahoma"/>
                <w:color w:val="0000FF"/>
                <w:sz w:val="13"/>
                <w:szCs w:val="13"/>
                <w:u w:val="single"/>
              </w:rPr>
            </w:pPr>
            <w:hyperlink w:anchor="_48_Pacotes_CAL" w:history="1">
              <w:r w:rsidR="003D47E7" w:rsidRPr="00DC1AC3">
                <w:rPr>
                  <w:rStyle w:val="Hyperlink"/>
                  <w:rFonts w:cs="Tahoma"/>
                  <w:b/>
                  <w:sz w:val="13"/>
                  <w:szCs w:val="13"/>
                </w:rPr>
                <w:t>48</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40"/>
              <w:rPr>
                <w:rFonts w:ascii="Tahoma" w:hAnsi="Tahoma" w:cs="Tahoma"/>
                <w:sz w:val="13"/>
              </w:rPr>
            </w:pPr>
            <w:r w:rsidRPr="000A1C8E">
              <w:rPr>
                <w:rFonts w:ascii="Tahoma" w:hAnsi="Tahoma" w:cs="Tahoma"/>
                <w:sz w:val="13"/>
              </w:rPr>
              <w:t>10/06</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 E</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 P</w:t>
            </w: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6900D9"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ProductNames"/>
              <w:rPr>
                <w:rFonts w:ascii="Tahoma" w:hAnsi="Tahoma" w:cs="Tahoma"/>
                <w:sz w:val="14"/>
              </w:rPr>
            </w:pPr>
            <w:bookmarkStart w:id="193" w:name="_Toc361829052"/>
            <w:r w:rsidRPr="000A1C8E">
              <w:rPr>
                <w:rFonts w:ascii="Tahoma" w:hAnsi="Tahoma" w:cs="Tahoma"/>
                <w:sz w:val="14"/>
              </w:rPr>
              <w:t>CAL Empresarial do Exchange com Serviços 2013</w:t>
            </w:r>
            <w:bookmarkEnd w:id="193"/>
          </w:p>
        </w:tc>
        <w:tc>
          <w:tcPr>
            <w:tcW w:w="450" w:type="dxa"/>
            <w:tcBorders>
              <w:bottom w:val="single" w:sz="4" w:space="0" w:color="auto"/>
            </w:tcBorders>
            <w:shd w:val="clear" w:color="auto" w:fill="auto"/>
            <w:vAlign w:val="center"/>
          </w:tcPr>
          <w:p w:rsidR="001A63C6" w:rsidRPr="00DC1AC3" w:rsidRDefault="006C57E7" w:rsidP="00BB45D6">
            <w:pPr>
              <w:pStyle w:val="TableText"/>
              <w:widowControl w:val="0"/>
              <w:rPr>
                <w:rFonts w:cs="Tahoma"/>
                <w:b/>
                <w:sz w:val="13"/>
                <w:szCs w:val="13"/>
                <w:u w:val="single"/>
              </w:rPr>
            </w:pPr>
            <w:hyperlink w:anchor="_49_CAL_Empresarial" w:history="1">
              <w:r w:rsidR="003D47E7" w:rsidRPr="00DC1AC3">
                <w:rPr>
                  <w:rStyle w:val="Hyperlink"/>
                  <w:rFonts w:cs="Tahoma"/>
                  <w:b/>
                  <w:sz w:val="13"/>
                  <w:szCs w:val="13"/>
                </w:rPr>
                <w:t>49</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spacing w:before="40"/>
              <w:rPr>
                <w:rFonts w:ascii="Tahoma" w:hAnsi="Tahoma" w:cs="Tahoma"/>
                <w:sz w:val="13"/>
              </w:rPr>
            </w:pPr>
            <w:r w:rsidRPr="000A1C8E">
              <w:rPr>
                <w:rFonts w:ascii="Tahoma" w:hAnsi="Tahoma" w:cs="Tahoma"/>
                <w:sz w:val="13"/>
              </w:rPr>
              <w:t>10/12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r w:rsidRPr="000A1C8E">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r w:rsidRPr="000A1C8E">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r w:rsidRPr="000A1C8E">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r w:rsidRPr="000A1C8E">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bCs/>
                <w:color w:val="000000"/>
                <w:sz w:val="13"/>
              </w:rPr>
            </w:pPr>
            <w:r w:rsidRPr="000A1C8E">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Heading2"/>
              <w:ind w:left="0"/>
              <w:rPr>
                <w:rFonts w:ascii="Tahoma" w:hAnsi="Tahoma" w:cs="Tahoma"/>
                <w:b w:val="0"/>
                <w:sz w:val="14"/>
              </w:rPr>
            </w:pPr>
            <w:bookmarkStart w:id="194" w:name="_Toc361829053"/>
            <w:r w:rsidRPr="000A1C8E">
              <w:rPr>
                <w:rFonts w:ascii="Tahoma" w:hAnsi="Tahoma" w:cs="Tahoma"/>
                <w:b w:val="0"/>
                <w:sz w:val="14"/>
              </w:rPr>
              <w:t>CAL Empresarial do Exchange sem Serviços 2013</w:t>
            </w:r>
            <w:bookmarkEnd w:id="194"/>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Fonts w:cs="Tahoma"/>
                <w:b/>
                <w:color w:val="0000FF"/>
                <w:sz w:val="13"/>
                <w:szCs w:val="13"/>
                <w:u w:val="single"/>
              </w:rPr>
            </w:pPr>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10/12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6900D9"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Heading2"/>
              <w:ind w:left="0"/>
              <w:rPr>
                <w:rFonts w:ascii="Tahoma" w:hAnsi="Tahoma" w:cs="Tahoma"/>
                <w:b w:val="0"/>
                <w:sz w:val="14"/>
              </w:rPr>
            </w:pPr>
            <w:bookmarkStart w:id="195" w:name="_Toc336337946"/>
            <w:bookmarkStart w:id="196" w:name="_Toc361829054"/>
            <w:r w:rsidRPr="000A1C8E">
              <w:rPr>
                <w:rFonts w:ascii="Tahoma" w:hAnsi="Tahoma" w:cs="Tahoma"/>
                <w:b w:val="0"/>
                <w:sz w:val="14"/>
              </w:rPr>
              <w:t>Exchange Online Archiving</w:t>
            </w:r>
            <w:bookmarkEnd w:id="195"/>
            <w:r w:rsidRPr="000A1C8E">
              <w:rPr>
                <w:rFonts w:ascii="Tahoma" w:hAnsi="Tahoma" w:cs="Tahoma"/>
                <w:b w:val="0"/>
                <w:sz w:val="14"/>
              </w:rPr>
              <w:t xml:space="preserve"> para Exchange Server (SL de Usuário)</w:t>
            </w:r>
            <w:bookmarkEnd w:id="196"/>
          </w:p>
        </w:tc>
        <w:tc>
          <w:tcPr>
            <w:tcW w:w="450" w:type="dxa"/>
            <w:tcBorders>
              <w:bottom w:val="single" w:sz="4" w:space="0" w:color="auto"/>
            </w:tcBorders>
            <w:shd w:val="clear" w:color="auto" w:fill="auto"/>
            <w:vAlign w:val="center"/>
          </w:tcPr>
          <w:p w:rsidR="001A63C6" w:rsidRPr="00DC1AC3" w:rsidRDefault="006C57E7" w:rsidP="00BB45D6">
            <w:pPr>
              <w:pStyle w:val="TableText"/>
              <w:widowControl w:val="0"/>
              <w:rPr>
                <w:rFonts w:cs="Tahoma"/>
                <w:b/>
                <w:color w:val="0000FF"/>
                <w:sz w:val="13"/>
                <w:szCs w:val="13"/>
                <w:u w:val="single"/>
              </w:rPr>
            </w:pPr>
            <w:hyperlink w:anchor="_50_Arquivamento_do" w:history="1">
              <w:r w:rsidR="003D47E7" w:rsidRPr="00DC1AC3">
                <w:rPr>
                  <w:rStyle w:val="Hyperlink"/>
                  <w:rFonts w:cs="Tahoma"/>
                  <w:b/>
                  <w:sz w:val="13"/>
                  <w:szCs w:val="13"/>
                </w:rPr>
                <w:t>50</w:t>
              </w:r>
            </w:hyperlink>
          </w:p>
        </w:tc>
        <w:tc>
          <w:tcPr>
            <w:tcW w:w="433" w:type="dxa"/>
            <w:tcBorders>
              <w:bottom w:val="single" w:sz="4" w:space="0" w:color="auto"/>
            </w:tcBorders>
            <w:shd w:val="clear" w:color="auto" w:fill="auto"/>
            <w:vAlign w:val="center"/>
          </w:tcPr>
          <w:p w:rsidR="001A63C6" w:rsidRPr="000A1C8E" w:rsidDel="00876599" w:rsidRDefault="001A63C6" w:rsidP="001A63C6">
            <w:pPr>
              <w:pStyle w:val="TableText"/>
              <w:widowControl w:val="0"/>
              <w:spacing w:before="8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r w:rsidR="001C45FD"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D66F68">
            <w:pPr>
              <w:pStyle w:val="Heading3"/>
              <w:rPr>
                <w:rFonts w:ascii="Tahoma" w:hAnsi="Tahoma" w:cs="Tahoma"/>
                <w:b w:val="0"/>
              </w:rPr>
            </w:pPr>
            <w:bookmarkStart w:id="197" w:name="_Toc336337947"/>
            <w:bookmarkStart w:id="198" w:name="_Toc361829055"/>
            <w:r w:rsidRPr="000A1C8E">
              <w:rPr>
                <w:rFonts w:ascii="Tahoma" w:hAnsi="Tahoma" w:cs="Tahoma"/>
                <w:b w:val="0"/>
                <w:sz w:val="14"/>
              </w:rPr>
              <w:t>Servidor A (SL de Usuário)</w:t>
            </w:r>
            <w:bookmarkEnd w:id="197"/>
            <w:bookmarkEnd w:id="198"/>
          </w:p>
        </w:tc>
        <w:tc>
          <w:tcPr>
            <w:tcW w:w="450" w:type="dxa"/>
            <w:tcBorders>
              <w:bottom w:val="single" w:sz="4" w:space="0" w:color="auto"/>
            </w:tcBorders>
            <w:shd w:val="clear" w:color="auto" w:fill="FABF8F"/>
            <w:vAlign w:val="center"/>
          </w:tcPr>
          <w:p w:rsidR="001A63C6" w:rsidRPr="00DC1AC3" w:rsidRDefault="006C57E7" w:rsidP="00BB45D6">
            <w:pPr>
              <w:pStyle w:val="TableText"/>
              <w:widowControl w:val="0"/>
              <w:rPr>
                <w:rFonts w:cs="Tahoma"/>
                <w:b/>
                <w:color w:val="000000"/>
                <w:sz w:val="13"/>
                <w:szCs w:val="13"/>
                <w:u w:val="single"/>
              </w:rPr>
            </w:pPr>
            <w:hyperlink w:anchor="_51_Arquivamento_do" w:history="1">
              <w:r w:rsidR="003D47E7" w:rsidRPr="00DC1AC3">
                <w:rPr>
                  <w:rStyle w:val="Hyperlink"/>
                  <w:rFonts w:cs="Tahoma"/>
                  <w:b/>
                  <w:sz w:val="13"/>
                  <w:szCs w:val="13"/>
                </w:rPr>
                <w:t>51</w:t>
              </w:r>
            </w:hyperlink>
            <w:hyperlink w:anchor="_47__Exchange" w:history="1"/>
          </w:p>
        </w:tc>
        <w:tc>
          <w:tcPr>
            <w:tcW w:w="433" w:type="dxa"/>
            <w:tcBorders>
              <w:bottom w:val="single" w:sz="4" w:space="0" w:color="auto"/>
            </w:tcBorders>
            <w:shd w:val="clear" w:color="auto" w:fill="FABF8F"/>
            <w:vAlign w:val="center"/>
          </w:tcPr>
          <w:p w:rsidR="001A63C6" w:rsidRPr="000A1C8E" w:rsidRDefault="001A63C6" w:rsidP="007E466C">
            <w:pPr>
              <w:pStyle w:val="TableText"/>
              <w:widowControl w:val="0"/>
              <w:rPr>
                <w:rFonts w:ascii="Tahoma" w:hAnsi="Tahoma" w:cs="Tahoma"/>
                <w:sz w:val="13"/>
              </w:rPr>
            </w:pPr>
            <w:r w:rsidRPr="000A1C8E">
              <w:rPr>
                <w:rFonts w:ascii="Tahoma" w:hAnsi="Tahoma" w:cs="Tahoma"/>
                <w:sz w:val="13"/>
              </w:rPr>
              <w:t>06/12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242B11">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242B11">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EA31A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EA31A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7E466C">
            <w:pPr>
              <w:pStyle w:val="TableText"/>
              <w:widowControl w:val="0"/>
              <w:rPr>
                <w:rFonts w:ascii="Tahoma" w:hAnsi="Tahoma" w:cs="Tahoma"/>
                <w:sz w:val="13"/>
              </w:rPr>
            </w:pPr>
            <w:r w:rsidRPr="000A1C8E">
              <w:rPr>
                <w:rFonts w:ascii="Tahoma" w:hAnsi="Tahoma" w:cs="Tahoma"/>
                <w:sz w:val="13"/>
              </w:rPr>
              <w:t>A, ST (Somente EES)</w:t>
            </w:r>
          </w:p>
        </w:tc>
        <w:tc>
          <w:tcPr>
            <w:tcW w:w="486" w:type="dxa"/>
            <w:tcBorders>
              <w:bottom w:val="single" w:sz="4" w:space="0" w:color="auto"/>
            </w:tcBorders>
            <w:shd w:val="clear" w:color="auto" w:fill="FABF8F"/>
            <w:vAlign w:val="center"/>
          </w:tcPr>
          <w:p w:rsidR="001A63C6" w:rsidRPr="000A1C8E" w:rsidRDefault="001A63C6" w:rsidP="00D66F68">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ProductNames"/>
              <w:rPr>
                <w:rFonts w:ascii="Tahoma" w:hAnsi="Tahoma" w:cs="Tahoma"/>
                <w:sz w:val="14"/>
              </w:rPr>
            </w:pPr>
            <w:bookmarkStart w:id="199" w:name="_Toc336337948"/>
            <w:bookmarkStart w:id="200" w:name="_Toc361829056"/>
            <w:r w:rsidRPr="000A1C8E">
              <w:rPr>
                <w:rFonts w:ascii="Tahoma" w:hAnsi="Tahoma" w:cs="Tahoma"/>
                <w:sz w:val="14"/>
              </w:rPr>
              <w:t>Exchange Hosted Archive (SL de Usuário)</w:t>
            </w:r>
            <w:bookmarkEnd w:id="199"/>
            <w:bookmarkEnd w:id="200"/>
          </w:p>
        </w:tc>
        <w:tc>
          <w:tcPr>
            <w:tcW w:w="450" w:type="dxa"/>
            <w:tcBorders>
              <w:bottom w:val="single" w:sz="4" w:space="0" w:color="auto"/>
            </w:tcBorders>
            <w:shd w:val="clear" w:color="auto" w:fill="FFFFFF" w:themeFill="background1"/>
            <w:vAlign w:val="center"/>
          </w:tcPr>
          <w:p w:rsidR="001A63C6" w:rsidRPr="00DC1AC3" w:rsidRDefault="006C57E7" w:rsidP="00E0507D">
            <w:pPr>
              <w:pStyle w:val="TableText"/>
              <w:widowControl w:val="0"/>
              <w:rPr>
                <w:rFonts w:cs="Tahoma"/>
                <w:b/>
                <w:color w:val="000000"/>
                <w:sz w:val="13"/>
                <w:szCs w:val="13"/>
                <w:u w:val="single"/>
              </w:rPr>
            </w:pPr>
            <w:hyperlink w:anchor="_45_Exchange_Hosted" w:history="1">
              <w:r w:rsidR="003D47E7" w:rsidRPr="00DC1AC3">
                <w:rPr>
                  <w:rStyle w:val="Hyperlink"/>
                  <w:rFonts w:cs="Tahoma"/>
                  <w:b/>
                  <w:sz w:val="13"/>
                  <w:szCs w:val="13"/>
                </w:rPr>
                <w:t>52</w:t>
              </w:r>
            </w:hyperlink>
          </w:p>
        </w:tc>
        <w:tc>
          <w:tcPr>
            <w:tcW w:w="43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FFFFF" w:themeFill="background1"/>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01" w:name="_Toc336337949"/>
            <w:bookmarkStart w:id="202" w:name="_Toc361829057"/>
            <w:r w:rsidRPr="000A1C8E">
              <w:rPr>
                <w:rFonts w:ascii="Tahoma" w:hAnsi="Tahoma" w:cs="Tahoma"/>
                <w:sz w:val="14"/>
              </w:rPr>
              <w:t>Exchange Hosted Archive Extra Storage (SL de Usuário)</w:t>
            </w:r>
            <w:bookmarkEnd w:id="201"/>
            <w:bookmarkEnd w:id="202"/>
          </w:p>
        </w:tc>
        <w:tc>
          <w:tcPr>
            <w:tcW w:w="450" w:type="dxa"/>
            <w:tcBorders>
              <w:bottom w:val="single" w:sz="4" w:space="0" w:color="auto"/>
            </w:tcBorders>
            <w:shd w:val="clear" w:color="auto" w:fill="FABF8F"/>
            <w:vAlign w:val="center"/>
          </w:tcPr>
          <w:p w:rsidR="001A63C6" w:rsidRPr="00DC1AC3" w:rsidRDefault="006C57E7" w:rsidP="00E0507D">
            <w:pPr>
              <w:pStyle w:val="TableText"/>
              <w:widowControl w:val="0"/>
              <w:rPr>
                <w:rFonts w:cs="Tahoma"/>
                <w:b/>
                <w:color w:val="000000"/>
                <w:sz w:val="13"/>
                <w:szCs w:val="13"/>
                <w:u w:val="single"/>
              </w:rPr>
            </w:pPr>
            <w:hyperlink w:anchor="_45_Exchange_Hosted" w:history="1">
              <w:r w:rsidR="008E6264" w:rsidRPr="00DC1AC3">
                <w:rPr>
                  <w:rStyle w:val="Hyperlink"/>
                  <w:rFonts w:cs="Tahoma"/>
                  <w:b/>
                  <w:sz w:val="13"/>
                  <w:szCs w:val="13"/>
                </w:rPr>
                <w:t>52</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ProductNames"/>
              <w:rPr>
                <w:rFonts w:ascii="Tahoma" w:hAnsi="Tahoma" w:cs="Tahoma"/>
                <w:sz w:val="14"/>
              </w:rPr>
            </w:pPr>
            <w:bookmarkStart w:id="203" w:name="_Toc336337950"/>
            <w:bookmarkStart w:id="204" w:name="_Toc361829058"/>
            <w:r w:rsidRPr="000A1C8E">
              <w:rPr>
                <w:rFonts w:ascii="Tahoma" w:hAnsi="Tahoma" w:cs="Tahoma"/>
                <w:sz w:val="14"/>
              </w:rPr>
              <w:t>Exchange Hosted Encryption (SL de Usuário)</w:t>
            </w:r>
            <w:bookmarkEnd w:id="203"/>
            <w:bookmarkEnd w:id="204"/>
          </w:p>
        </w:tc>
        <w:tc>
          <w:tcPr>
            <w:tcW w:w="450" w:type="dxa"/>
            <w:tcBorders>
              <w:bottom w:val="single" w:sz="4" w:space="0" w:color="auto"/>
            </w:tcBorders>
            <w:shd w:val="clear" w:color="auto" w:fill="FFFFFF" w:themeFill="background1"/>
            <w:vAlign w:val="center"/>
          </w:tcPr>
          <w:p w:rsidR="001A63C6" w:rsidRPr="00DC1AC3" w:rsidRDefault="006C57E7" w:rsidP="00E0507D">
            <w:pPr>
              <w:pStyle w:val="TableText"/>
              <w:widowControl w:val="0"/>
              <w:rPr>
                <w:rStyle w:val="EndnoteReference"/>
                <w:rFonts w:cs="Tahoma"/>
                <w:b w:val="0"/>
                <w:color w:val="000000"/>
                <w:sz w:val="13"/>
                <w:szCs w:val="13"/>
                <w:u w:val="single"/>
              </w:rPr>
            </w:pPr>
            <w:hyperlink w:anchor="_53_Exchange_Hosted" w:history="1">
              <w:r w:rsidR="003D47E7" w:rsidRPr="00DC1AC3">
                <w:rPr>
                  <w:rStyle w:val="Hyperlink"/>
                  <w:rFonts w:cs="Tahoma"/>
                  <w:b/>
                  <w:sz w:val="13"/>
                  <w:szCs w:val="13"/>
                </w:rPr>
                <w:t>53</w:t>
              </w:r>
            </w:hyperlink>
          </w:p>
        </w:tc>
        <w:tc>
          <w:tcPr>
            <w:tcW w:w="43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04/06</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 ponto</w:t>
            </w: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FFFFF" w:themeFill="background1"/>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D66F68">
            <w:pPr>
              <w:pStyle w:val="Heading2"/>
              <w:ind w:left="0"/>
              <w:rPr>
                <w:rFonts w:ascii="Tahoma" w:hAnsi="Tahoma" w:cs="Tahoma"/>
                <w:b w:val="0"/>
                <w:sz w:val="14"/>
              </w:rPr>
            </w:pPr>
            <w:bookmarkStart w:id="205" w:name="_Toc361829059"/>
            <w:r w:rsidRPr="000A1C8E">
              <w:rPr>
                <w:rFonts w:ascii="Tahoma" w:hAnsi="Tahoma" w:cs="Tahoma"/>
                <w:b w:val="0"/>
                <w:sz w:val="14"/>
              </w:rPr>
              <w:t>Exchange Online Archiving para Exchange Online A</w:t>
            </w:r>
            <w:bookmarkEnd w:id="205"/>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Fonts w:cs="Tahoma"/>
              </w:rPr>
            </w:pPr>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03/13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ST (Somente EES</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1933C6"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Heading2"/>
              <w:ind w:left="0"/>
              <w:rPr>
                <w:rFonts w:ascii="Tahoma" w:hAnsi="Tahoma" w:cs="Tahoma"/>
                <w:b w:val="0"/>
                <w:sz w:val="14"/>
              </w:rPr>
            </w:pPr>
            <w:bookmarkStart w:id="206" w:name="_Toc361829060"/>
            <w:r w:rsidRPr="000A1C8E">
              <w:rPr>
                <w:rFonts w:ascii="Tahoma" w:hAnsi="Tahoma" w:cs="Tahoma"/>
                <w:b w:val="0"/>
                <w:sz w:val="14"/>
              </w:rPr>
              <w:t>Exchange Online Archiving para Exchange Online</w:t>
            </w:r>
            <w:bookmarkEnd w:id="206"/>
          </w:p>
        </w:tc>
        <w:tc>
          <w:tcPr>
            <w:tcW w:w="450" w:type="dxa"/>
            <w:tcBorders>
              <w:bottom w:val="single" w:sz="4" w:space="0" w:color="auto"/>
            </w:tcBorders>
            <w:shd w:val="clear" w:color="auto" w:fill="FFFFFF" w:themeFill="background1"/>
            <w:vAlign w:val="center"/>
          </w:tcPr>
          <w:p w:rsidR="001A63C6" w:rsidRPr="00DC1AC3" w:rsidRDefault="001A63C6" w:rsidP="001A63C6">
            <w:pPr>
              <w:pStyle w:val="TableText"/>
              <w:widowControl w:val="0"/>
              <w:rPr>
                <w:rFonts w:cs="Tahoma"/>
              </w:rPr>
            </w:pPr>
          </w:p>
        </w:tc>
        <w:tc>
          <w:tcPr>
            <w:tcW w:w="43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03/13</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Heading2"/>
              <w:ind w:left="0"/>
              <w:rPr>
                <w:rFonts w:ascii="Tahoma" w:hAnsi="Tahoma" w:cs="Tahoma"/>
                <w:b w:val="0"/>
                <w:sz w:val="14"/>
              </w:rPr>
            </w:pPr>
            <w:bookmarkStart w:id="207" w:name="_Toc336337951"/>
            <w:bookmarkStart w:id="208" w:name="_Toc361829061"/>
            <w:r w:rsidRPr="000A1C8E">
              <w:rPr>
                <w:rFonts w:ascii="Tahoma" w:hAnsi="Tahoma" w:cs="Tahoma"/>
                <w:b w:val="0"/>
                <w:sz w:val="14"/>
              </w:rPr>
              <w:t>Quiosque do Exchange Online (SL de Usuário)</w:t>
            </w:r>
            <w:bookmarkEnd w:id="207"/>
            <w:bookmarkEnd w:id="208"/>
          </w:p>
        </w:tc>
        <w:tc>
          <w:tcPr>
            <w:tcW w:w="450" w:type="dxa"/>
            <w:tcBorders>
              <w:bottom w:val="single" w:sz="4" w:space="0" w:color="auto"/>
            </w:tcBorders>
            <w:shd w:val="clear" w:color="auto" w:fill="FFFFFF" w:themeFill="background1"/>
            <w:vAlign w:val="center"/>
          </w:tcPr>
          <w:p w:rsidR="001A63C6" w:rsidRPr="00DC1AC3" w:rsidRDefault="006C57E7" w:rsidP="004E1FF6">
            <w:pPr>
              <w:pStyle w:val="TableText"/>
              <w:widowControl w:val="0"/>
              <w:rPr>
                <w:rStyle w:val="EndnoteReference"/>
                <w:rFonts w:cs="Tahoma"/>
                <w:b w:val="0"/>
                <w:color w:val="000000"/>
                <w:sz w:val="13"/>
                <w:szCs w:val="13"/>
                <w:u w:val="single"/>
              </w:rPr>
            </w:pPr>
            <w:hyperlink w:anchor="_50_Exchange_Online" w:history="1">
              <w:r w:rsidR="003D47E7" w:rsidRPr="00DC1AC3">
                <w:rPr>
                  <w:rStyle w:val="Hyperlink"/>
                  <w:rFonts w:cs="Tahoma"/>
                  <w:b/>
                  <w:sz w:val="13"/>
                  <w:szCs w:val="13"/>
                </w:rPr>
                <w:t>54</w:t>
              </w:r>
            </w:hyperlink>
          </w:p>
        </w:tc>
        <w:tc>
          <w:tcPr>
            <w:tcW w:w="43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 xml:space="preserve"> </w:t>
            </w: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9C7B23" w:rsidRPr="000A1C8E" w:rsidTr="00C16156">
        <w:trPr>
          <w:trHeight w:val="395"/>
          <w:jc w:val="center"/>
        </w:trPr>
        <w:tc>
          <w:tcPr>
            <w:tcW w:w="2734" w:type="dxa"/>
            <w:gridSpan w:val="2"/>
            <w:tcBorders>
              <w:bottom w:val="single" w:sz="4" w:space="0" w:color="auto"/>
            </w:tcBorders>
            <w:shd w:val="clear" w:color="auto" w:fill="FABF8F"/>
            <w:vAlign w:val="center"/>
          </w:tcPr>
          <w:p w:rsidR="009C7B23" w:rsidRPr="000A1C8E" w:rsidRDefault="009C7B23" w:rsidP="00D66F68">
            <w:pPr>
              <w:pStyle w:val="Heading2"/>
              <w:ind w:left="0"/>
              <w:rPr>
                <w:rFonts w:ascii="Tahoma" w:hAnsi="Tahoma" w:cs="Tahoma"/>
                <w:b w:val="0"/>
                <w:sz w:val="14"/>
              </w:rPr>
            </w:pPr>
            <w:bookmarkStart w:id="209" w:name="_Toc361829062"/>
            <w:r w:rsidRPr="000A1C8E">
              <w:rPr>
                <w:rFonts w:ascii="Tahoma" w:hAnsi="Tahoma" w:cs="Tahoma"/>
                <w:b w:val="0"/>
                <w:sz w:val="14"/>
              </w:rPr>
              <w:t>Complemento do Exchange Online Plano 1 (SL de Usuário)</w:t>
            </w:r>
            <w:bookmarkEnd w:id="209"/>
          </w:p>
        </w:tc>
        <w:tc>
          <w:tcPr>
            <w:tcW w:w="450" w:type="dxa"/>
            <w:tcBorders>
              <w:bottom w:val="single" w:sz="4" w:space="0" w:color="auto"/>
            </w:tcBorders>
            <w:shd w:val="clear" w:color="auto" w:fill="FABF8F"/>
            <w:vAlign w:val="center"/>
          </w:tcPr>
          <w:p w:rsidR="009C7B23" w:rsidRPr="00DC1AC3" w:rsidRDefault="006C57E7" w:rsidP="004E1FF6">
            <w:pPr>
              <w:pStyle w:val="TableText"/>
              <w:widowControl w:val="0"/>
              <w:rPr>
                <w:rFonts w:cs="Tahoma"/>
                <w:b/>
                <w:sz w:val="13"/>
                <w:szCs w:val="13"/>
              </w:rPr>
            </w:pPr>
            <w:hyperlink w:anchor="_7_Add-on_User" w:history="1">
              <w:r w:rsidR="003D47E7" w:rsidRPr="00DC1AC3">
                <w:rPr>
                  <w:rStyle w:val="Hyperlink"/>
                  <w:rFonts w:cs="Tahoma"/>
                  <w:b/>
                  <w:sz w:val="13"/>
                  <w:szCs w:val="13"/>
                </w:rPr>
                <w:t>7</w:t>
              </w:r>
            </w:hyperlink>
          </w:p>
        </w:tc>
        <w:tc>
          <w:tcPr>
            <w:tcW w:w="433" w:type="dxa"/>
            <w:tcBorders>
              <w:bottom w:val="single" w:sz="4" w:space="0" w:color="auto"/>
            </w:tcBorders>
            <w:shd w:val="clear" w:color="auto" w:fill="FABF8F"/>
            <w:vAlign w:val="center"/>
          </w:tcPr>
          <w:p w:rsidR="009C7B23" w:rsidRPr="000A1C8E" w:rsidRDefault="009C7B23" w:rsidP="001A63C6">
            <w:pPr>
              <w:pStyle w:val="TableText"/>
              <w:widowControl w:val="0"/>
              <w:spacing w:before="80"/>
              <w:rPr>
                <w:rFonts w:ascii="Tahoma" w:hAnsi="Tahoma" w:cs="Tahoma"/>
                <w:sz w:val="13"/>
              </w:rPr>
            </w:pPr>
            <w:r w:rsidRPr="000A1C8E">
              <w:rPr>
                <w:rFonts w:ascii="Tahoma" w:hAnsi="Tahoma" w:cs="Tahoma"/>
                <w:sz w:val="13"/>
              </w:rPr>
              <w:t>08/13</w:t>
            </w:r>
          </w:p>
        </w:tc>
        <w:tc>
          <w:tcPr>
            <w:tcW w:w="377" w:type="dxa"/>
            <w:tcBorders>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r>
      <w:tr w:rsidR="001933C6" w:rsidRPr="000A1C8E" w:rsidTr="00C16156">
        <w:trPr>
          <w:trHeight w:val="395"/>
          <w:jc w:val="center"/>
        </w:trPr>
        <w:tc>
          <w:tcPr>
            <w:tcW w:w="2734" w:type="dxa"/>
            <w:gridSpan w:val="2"/>
            <w:tcBorders>
              <w:bottom w:val="single" w:sz="4" w:space="0" w:color="auto"/>
            </w:tcBorders>
            <w:shd w:val="clear" w:color="auto" w:fill="FFFFFF" w:themeFill="background1"/>
            <w:vAlign w:val="center"/>
          </w:tcPr>
          <w:p w:rsidR="001A63C6" w:rsidRPr="000A1C8E" w:rsidRDefault="001A63C6" w:rsidP="00D66F68">
            <w:pPr>
              <w:pStyle w:val="Heading2"/>
              <w:ind w:left="0"/>
              <w:rPr>
                <w:rFonts w:ascii="Tahoma" w:hAnsi="Tahoma" w:cs="Tahoma"/>
                <w:b w:val="0"/>
                <w:sz w:val="14"/>
              </w:rPr>
            </w:pPr>
            <w:bookmarkStart w:id="210" w:name="_Toc336337952"/>
            <w:bookmarkStart w:id="211" w:name="_Toc361829063"/>
            <w:r w:rsidRPr="000A1C8E">
              <w:rPr>
                <w:rFonts w:ascii="Tahoma" w:hAnsi="Tahoma" w:cs="Tahoma"/>
                <w:b w:val="0"/>
                <w:sz w:val="14"/>
              </w:rPr>
              <w:t>Exchange Online Plano 1 (SL de Usuário)</w:t>
            </w:r>
            <w:bookmarkEnd w:id="210"/>
            <w:bookmarkEnd w:id="211"/>
          </w:p>
        </w:tc>
        <w:tc>
          <w:tcPr>
            <w:tcW w:w="450" w:type="dxa"/>
            <w:tcBorders>
              <w:bottom w:val="single" w:sz="4" w:space="0" w:color="auto"/>
            </w:tcBorders>
            <w:shd w:val="clear" w:color="auto" w:fill="FFFFFF" w:themeFill="background1"/>
            <w:vAlign w:val="center"/>
          </w:tcPr>
          <w:p w:rsidR="001A63C6" w:rsidRPr="00DC1AC3" w:rsidRDefault="006C57E7" w:rsidP="004E1FF6">
            <w:pPr>
              <w:pStyle w:val="TableText"/>
              <w:widowControl w:val="0"/>
              <w:rPr>
                <w:rStyle w:val="EndnoteReference"/>
                <w:rFonts w:cs="Tahoma"/>
                <w:color w:val="0000FF"/>
                <w:sz w:val="13"/>
                <w:szCs w:val="13"/>
                <w:u w:val="single"/>
              </w:rPr>
            </w:pPr>
            <w:hyperlink w:anchor="_48_Exchange_Online" w:history="1">
              <w:r w:rsidR="003D47E7" w:rsidRPr="00DC1AC3">
                <w:rPr>
                  <w:rStyle w:val="Hyperlink"/>
                  <w:rFonts w:cs="Tahoma"/>
                  <w:b/>
                  <w:sz w:val="13"/>
                  <w:szCs w:val="13"/>
                </w:rPr>
                <w:t>55</w:t>
              </w:r>
            </w:hyperlink>
          </w:p>
        </w:tc>
        <w:tc>
          <w:tcPr>
            <w:tcW w:w="43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Heading2"/>
              <w:ind w:left="0"/>
              <w:rPr>
                <w:rFonts w:ascii="Tahoma" w:hAnsi="Tahoma" w:cs="Tahoma"/>
                <w:b w:val="0"/>
                <w:sz w:val="14"/>
              </w:rPr>
            </w:pPr>
            <w:bookmarkStart w:id="212" w:name="_Toc336337953"/>
            <w:bookmarkStart w:id="213" w:name="_Toc361829064"/>
            <w:r w:rsidRPr="000A1C8E">
              <w:rPr>
                <w:rFonts w:ascii="Tahoma" w:hAnsi="Tahoma" w:cs="Tahoma"/>
                <w:b w:val="0"/>
                <w:sz w:val="14"/>
              </w:rPr>
              <w:t>Exchange Online Plano 2 (SL de Usuário)</w:t>
            </w:r>
            <w:bookmarkEnd w:id="212"/>
            <w:bookmarkEnd w:id="213"/>
          </w:p>
        </w:tc>
        <w:tc>
          <w:tcPr>
            <w:tcW w:w="450" w:type="dxa"/>
            <w:tcBorders>
              <w:bottom w:val="single" w:sz="4" w:space="0" w:color="auto"/>
            </w:tcBorders>
            <w:shd w:val="clear" w:color="auto" w:fill="FABF8F"/>
            <w:vAlign w:val="center"/>
          </w:tcPr>
          <w:p w:rsidR="001A63C6" w:rsidRPr="00DC1AC3" w:rsidRDefault="006C57E7" w:rsidP="004E1FF6">
            <w:pPr>
              <w:pStyle w:val="TableText"/>
              <w:widowControl w:val="0"/>
              <w:rPr>
                <w:rStyle w:val="EndnoteReference"/>
                <w:rFonts w:cs="Tahoma"/>
                <w:color w:val="000000"/>
                <w:sz w:val="13"/>
                <w:szCs w:val="13"/>
                <w:u w:val="single"/>
              </w:rPr>
            </w:pPr>
            <w:hyperlink w:anchor="_49_Exchange_Online" w:history="1">
              <w:r w:rsidR="003D47E7" w:rsidRPr="00DC1AC3">
                <w:rPr>
                  <w:rStyle w:val="Hyperlink"/>
                  <w:rFonts w:cs="Tahoma"/>
                  <w:b/>
                  <w:sz w:val="13"/>
                  <w:szCs w:val="13"/>
                </w:rPr>
                <w:t>56</w:t>
              </w:r>
            </w:hyperlink>
            <w:hyperlink w:anchor="_49_Exchange_Online" w:history="1"/>
          </w:p>
        </w:tc>
        <w:tc>
          <w:tcPr>
            <w:tcW w:w="433" w:type="dxa"/>
            <w:tcBorders>
              <w:bottom w:val="single" w:sz="4" w:space="0" w:color="auto"/>
            </w:tcBorders>
            <w:shd w:val="clear" w:color="auto" w:fill="FABF8F"/>
            <w:vAlign w:val="center"/>
          </w:tcPr>
          <w:p w:rsidR="001A63C6" w:rsidRPr="000A1C8E" w:rsidRDefault="001A63C6" w:rsidP="007E466C">
            <w:pPr>
              <w:pStyle w:val="TableText"/>
              <w:widowControl w:val="0"/>
              <w:spacing w:before="8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1933C6"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805E66">
            <w:pPr>
              <w:pStyle w:val="Heading3"/>
              <w:rPr>
                <w:rFonts w:ascii="Tahoma" w:hAnsi="Tahoma" w:cs="Tahoma"/>
                <w:b w:val="0"/>
                <w:sz w:val="14"/>
              </w:rPr>
            </w:pPr>
            <w:bookmarkStart w:id="214" w:name="_Toc336337954"/>
            <w:bookmarkStart w:id="215" w:name="_Toc361829065"/>
            <w:r w:rsidRPr="000A1C8E">
              <w:rPr>
                <w:rFonts w:ascii="Tahoma" w:hAnsi="Tahoma" w:cs="Tahoma"/>
                <w:b w:val="0"/>
                <w:sz w:val="14"/>
              </w:rPr>
              <w:t>Exchange Online Plan 1A para Alunos (SL</w:t>
            </w:r>
            <w:r w:rsidR="00805E66" w:rsidRPr="000A1C8E">
              <w:rPr>
                <w:rFonts w:ascii="Tahoma" w:hAnsi="Tahoma" w:cs="Tahoma"/>
                <w:b w:val="0"/>
                <w:sz w:val="14"/>
              </w:rPr>
              <w:t> </w:t>
            </w:r>
            <w:r w:rsidRPr="000A1C8E">
              <w:rPr>
                <w:rFonts w:ascii="Tahoma" w:hAnsi="Tahoma" w:cs="Tahoma"/>
                <w:b w:val="0"/>
                <w:sz w:val="14"/>
              </w:rPr>
              <w:t>do Usuário)</w:t>
            </w:r>
            <w:bookmarkEnd w:id="214"/>
            <w:bookmarkEnd w:id="215"/>
          </w:p>
        </w:tc>
        <w:tc>
          <w:tcPr>
            <w:tcW w:w="450" w:type="dxa"/>
            <w:tcBorders>
              <w:bottom w:val="single" w:sz="4" w:space="0" w:color="auto"/>
            </w:tcBorders>
            <w:shd w:val="clear" w:color="auto" w:fill="FFFFFF" w:themeFill="background1"/>
            <w:vAlign w:val="center"/>
          </w:tcPr>
          <w:p w:rsidR="001A63C6" w:rsidRPr="00DC1AC3" w:rsidRDefault="001A63C6" w:rsidP="001A63C6">
            <w:pPr>
              <w:pStyle w:val="TableText"/>
              <w:widowControl w:val="0"/>
              <w:rPr>
                <w:rFonts w:cs="Tahoma"/>
                <w:b/>
                <w:color w:val="000000"/>
                <w:sz w:val="13"/>
                <w:szCs w:val="13"/>
                <w:u w:val="single"/>
              </w:rPr>
            </w:pPr>
          </w:p>
        </w:tc>
        <w:tc>
          <w:tcPr>
            <w:tcW w:w="43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06/12</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(somente EES)</w:t>
            </w: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Heading3"/>
              <w:rPr>
                <w:rFonts w:ascii="Tahoma" w:hAnsi="Tahoma" w:cs="Tahoma"/>
                <w:b w:val="0"/>
                <w:sz w:val="14"/>
              </w:rPr>
            </w:pPr>
            <w:bookmarkStart w:id="216" w:name="_Toc336337955"/>
            <w:bookmarkStart w:id="217" w:name="_Toc361829066"/>
            <w:r w:rsidRPr="000A1C8E">
              <w:rPr>
                <w:rFonts w:ascii="Tahoma" w:hAnsi="Tahoma" w:cs="Tahoma"/>
                <w:b w:val="0"/>
                <w:sz w:val="14"/>
              </w:rPr>
              <w:t>Exchange Online Plano 2A (SL de Usuário)</w:t>
            </w:r>
            <w:bookmarkEnd w:id="216"/>
            <w:bookmarkEnd w:id="217"/>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Fonts w:cs="Tahoma"/>
                <w:b/>
                <w:color w:val="000000"/>
                <w:sz w:val="13"/>
                <w:szCs w:val="13"/>
                <w:u w:val="single"/>
              </w:rPr>
            </w:pPr>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06/12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(somente EES)</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1933C6"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ProductNames"/>
              <w:rPr>
                <w:rFonts w:ascii="Tahoma" w:hAnsi="Tahoma" w:cs="Tahoma"/>
                <w:sz w:val="14"/>
              </w:rPr>
            </w:pPr>
            <w:bookmarkStart w:id="218" w:name="_Toc361829067"/>
            <w:r w:rsidRPr="000A1C8E">
              <w:rPr>
                <w:rFonts w:ascii="Tahoma" w:hAnsi="Tahoma" w:cs="Tahoma"/>
                <w:sz w:val="14"/>
              </w:rPr>
              <w:t>Exchange Online Protection (SL de Usuário)</w:t>
            </w:r>
            <w:bookmarkEnd w:id="218"/>
          </w:p>
        </w:tc>
        <w:tc>
          <w:tcPr>
            <w:tcW w:w="450" w:type="dxa"/>
            <w:tcBorders>
              <w:bottom w:val="single" w:sz="4" w:space="0" w:color="auto"/>
            </w:tcBorders>
            <w:shd w:val="clear" w:color="auto" w:fill="FFFFFF" w:themeFill="background1"/>
            <w:vAlign w:val="center"/>
          </w:tcPr>
          <w:p w:rsidR="001A63C6" w:rsidRPr="00DC1AC3" w:rsidRDefault="006C57E7" w:rsidP="004E1FF6">
            <w:pPr>
              <w:pStyle w:val="TableText"/>
              <w:widowControl w:val="0"/>
              <w:rPr>
                <w:rFonts w:cs="Tahoma"/>
              </w:rPr>
            </w:pPr>
            <w:hyperlink w:anchor="_57_Exchange_Online" w:history="1">
              <w:r w:rsidR="003D47E7" w:rsidRPr="00DC1AC3">
                <w:rPr>
                  <w:rStyle w:val="Hyperlink"/>
                  <w:rFonts w:cs="Tahoma"/>
                  <w:b/>
                  <w:sz w:val="13"/>
                  <w:szCs w:val="13"/>
                </w:rPr>
                <w:t>57</w:t>
              </w:r>
            </w:hyperlink>
            <w:hyperlink w:anchor="_49_Exchange_Server" w:history="1"/>
          </w:p>
        </w:tc>
        <w:tc>
          <w:tcPr>
            <w:tcW w:w="433"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FFFFF" w:themeFill="background1"/>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19" w:name="_Toc336337958"/>
            <w:bookmarkStart w:id="220" w:name="_Toc361829068"/>
            <w:r w:rsidRPr="000A1C8E">
              <w:rPr>
                <w:rFonts w:ascii="Tahoma" w:hAnsi="Tahoma" w:cs="Tahoma"/>
                <w:sz w:val="14"/>
              </w:rPr>
              <w:t>Exchange Server Enterprise</w:t>
            </w:r>
            <w:bookmarkEnd w:id="219"/>
            <w:r w:rsidRPr="000A1C8E">
              <w:rPr>
                <w:rFonts w:ascii="Tahoma" w:hAnsi="Tahoma" w:cs="Tahoma"/>
                <w:sz w:val="14"/>
              </w:rPr>
              <w:t xml:space="preserve"> 2013</w:t>
            </w:r>
            <w:bookmarkEnd w:id="220"/>
          </w:p>
        </w:tc>
        <w:tc>
          <w:tcPr>
            <w:tcW w:w="450" w:type="dxa"/>
            <w:tcBorders>
              <w:bottom w:val="single" w:sz="4" w:space="0" w:color="auto"/>
            </w:tcBorders>
            <w:shd w:val="clear" w:color="auto" w:fill="FABF8F"/>
            <w:vAlign w:val="center"/>
          </w:tcPr>
          <w:p w:rsidR="001A63C6" w:rsidRPr="00DC1AC3" w:rsidRDefault="006C57E7" w:rsidP="004E1FF6">
            <w:pPr>
              <w:pStyle w:val="TableText"/>
              <w:widowControl w:val="0"/>
              <w:rPr>
                <w:rFonts w:cs="Tahoma"/>
                <w:b/>
                <w:color w:val="0000FF"/>
                <w:sz w:val="13"/>
                <w:szCs w:val="13"/>
                <w:u w:val="single"/>
              </w:rPr>
            </w:pPr>
            <w:hyperlink w:anchor="_52_51_Exchange" w:history="1">
              <w:r w:rsidR="003D47E7" w:rsidRPr="00DC1AC3">
                <w:rPr>
                  <w:rStyle w:val="Hyperlink"/>
                  <w:rFonts w:cs="Tahoma"/>
                  <w:b/>
                  <w:sz w:val="13"/>
                  <w:szCs w:val="13"/>
                </w:rPr>
                <w:t>58</w:t>
              </w:r>
            </w:hyperlink>
            <w:hyperlink w:anchor="_49_Exchange_Server" w:history="1"/>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10/12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1933C6"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ProductNames"/>
              <w:rPr>
                <w:rFonts w:ascii="Tahoma" w:hAnsi="Tahoma" w:cs="Tahoma"/>
                <w:sz w:val="14"/>
              </w:rPr>
            </w:pPr>
            <w:bookmarkStart w:id="221" w:name="_Toc336337959"/>
            <w:bookmarkStart w:id="222" w:name="_Toc361829069"/>
            <w:r w:rsidRPr="000A1C8E">
              <w:rPr>
                <w:rFonts w:ascii="Tahoma" w:hAnsi="Tahoma" w:cs="Tahoma"/>
                <w:sz w:val="14"/>
              </w:rPr>
              <w:t>Exchange Server Standard</w:t>
            </w:r>
            <w:bookmarkEnd w:id="221"/>
            <w:r w:rsidRPr="000A1C8E">
              <w:rPr>
                <w:rFonts w:ascii="Tahoma" w:hAnsi="Tahoma" w:cs="Tahoma"/>
                <w:sz w:val="14"/>
              </w:rPr>
              <w:t xml:space="preserve"> 2013</w:t>
            </w:r>
            <w:bookmarkEnd w:id="222"/>
          </w:p>
        </w:tc>
        <w:tc>
          <w:tcPr>
            <w:tcW w:w="450" w:type="dxa"/>
            <w:tcBorders>
              <w:bottom w:val="single" w:sz="4" w:space="0" w:color="auto"/>
            </w:tcBorders>
            <w:shd w:val="clear" w:color="auto" w:fill="FFFFFF" w:themeFill="background1"/>
            <w:vAlign w:val="center"/>
          </w:tcPr>
          <w:p w:rsidR="001A63C6" w:rsidRPr="00DC1AC3" w:rsidRDefault="006C57E7" w:rsidP="004E1FF6">
            <w:pPr>
              <w:pStyle w:val="TableText"/>
              <w:widowControl w:val="0"/>
              <w:rPr>
                <w:rFonts w:cs="Tahoma"/>
                <w:b/>
                <w:color w:val="0000FF"/>
                <w:sz w:val="13"/>
                <w:szCs w:val="13"/>
                <w:u w:val="single"/>
              </w:rPr>
            </w:pPr>
            <w:hyperlink w:anchor="_52_51_Exchange" w:history="1">
              <w:r w:rsidR="008E6264" w:rsidRPr="00DC1AC3">
                <w:rPr>
                  <w:rStyle w:val="Hyperlink"/>
                  <w:rFonts w:cs="Tahoma"/>
                  <w:b/>
                  <w:sz w:val="13"/>
                  <w:szCs w:val="13"/>
                </w:rPr>
                <w:t>58</w:t>
              </w:r>
            </w:hyperlink>
            <w:hyperlink w:anchor="_49_Exchange_Server" w:history="1"/>
          </w:p>
        </w:tc>
        <w:tc>
          <w:tcPr>
            <w:tcW w:w="433"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10/12</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FFFFF" w:themeFill="background1"/>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23" w:name="_Toc336337960"/>
            <w:bookmarkStart w:id="224" w:name="_Toc361829070"/>
            <w:r w:rsidRPr="000A1C8E">
              <w:rPr>
                <w:rFonts w:ascii="Tahoma" w:hAnsi="Tahoma" w:cs="Tahoma"/>
                <w:sz w:val="14"/>
              </w:rPr>
              <w:t>Exchange Server 2007 Standard for Small Business</w:t>
            </w:r>
            <w:bookmarkEnd w:id="223"/>
            <w:bookmarkEnd w:id="224"/>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10/09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1933C6"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ProductNames"/>
              <w:rPr>
                <w:rFonts w:ascii="Tahoma" w:hAnsi="Tahoma" w:cs="Tahoma"/>
                <w:sz w:val="14"/>
              </w:rPr>
            </w:pPr>
            <w:bookmarkStart w:id="225" w:name="_Toc336337961"/>
            <w:bookmarkStart w:id="226" w:name="_Toc361829071"/>
            <w:r w:rsidRPr="000A1C8E">
              <w:rPr>
                <w:rFonts w:ascii="Tahoma" w:hAnsi="Tahoma" w:cs="Tahoma"/>
                <w:sz w:val="14"/>
              </w:rPr>
              <w:t>CAL do Exchange Server 2007 Standard for Small Business</w:t>
            </w:r>
            <w:bookmarkEnd w:id="225"/>
            <w:bookmarkEnd w:id="226"/>
          </w:p>
        </w:tc>
        <w:tc>
          <w:tcPr>
            <w:tcW w:w="450" w:type="dxa"/>
            <w:tcBorders>
              <w:bottom w:val="single" w:sz="4" w:space="0" w:color="auto"/>
            </w:tcBorders>
            <w:shd w:val="clear" w:color="auto" w:fill="FFFFFF" w:themeFill="background1"/>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11/09</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FFFFF" w:themeFill="background1"/>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27" w:name="_Toc336337963"/>
            <w:bookmarkStart w:id="228" w:name="_Toc361829072"/>
            <w:r w:rsidRPr="000A1C8E">
              <w:rPr>
                <w:rFonts w:ascii="Tahoma" w:hAnsi="Tahoma" w:cs="Tahoma"/>
                <w:sz w:val="14"/>
              </w:rPr>
              <w:t>CAL do Exchange Server 2010 Standard (Dispositivo e Usuário)</w:t>
            </w:r>
            <w:bookmarkEnd w:id="227"/>
            <w:bookmarkEnd w:id="228"/>
          </w:p>
        </w:tc>
        <w:tc>
          <w:tcPr>
            <w:tcW w:w="450" w:type="dxa"/>
            <w:tcBorders>
              <w:bottom w:val="single" w:sz="4" w:space="0" w:color="auto"/>
            </w:tcBorders>
            <w:shd w:val="clear" w:color="auto" w:fill="FABF8F"/>
            <w:vAlign w:val="center"/>
          </w:tcPr>
          <w:p w:rsidR="001A63C6" w:rsidRPr="00DC1AC3" w:rsidRDefault="006C57E7" w:rsidP="004E1FF6">
            <w:pPr>
              <w:pStyle w:val="TableText"/>
              <w:widowControl w:val="0"/>
              <w:rPr>
                <w:rStyle w:val="EndnoteReference"/>
                <w:rFonts w:cs="Tahoma"/>
                <w:color w:val="0000FF"/>
                <w:sz w:val="13"/>
                <w:szCs w:val="13"/>
                <w:u w:val="single"/>
              </w:rPr>
            </w:pPr>
            <w:hyperlink w:anchor="_59_CAL_do" w:history="1">
              <w:r w:rsidR="003D47E7" w:rsidRPr="00DC1AC3">
                <w:rPr>
                  <w:rStyle w:val="Hyperlink"/>
                  <w:rFonts w:cs="Tahoma"/>
                  <w:b/>
                  <w:sz w:val="13"/>
                  <w:szCs w:val="13"/>
                </w:rPr>
                <w:t>59</w:t>
              </w:r>
            </w:hyperlink>
            <w:hyperlink w:anchor="_50_Exchange_Server" w:history="1"/>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11/09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r>
      <w:tr w:rsidR="00EF228F" w:rsidRPr="000A1C8E" w:rsidDel="00515A83"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Del="00515A83" w:rsidRDefault="001A63C6" w:rsidP="001A63C6">
            <w:pPr>
              <w:pStyle w:val="ProductNames"/>
              <w:rPr>
                <w:rFonts w:ascii="Tahoma" w:hAnsi="Tahoma" w:cs="Tahoma"/>
                <w:sz w:val="14"/>
              </w:rPr>
            </w:pPr>
            <w:bookmarkStart w:id="229" w:name="_Toc336337965"/>
            <w:bookmarkStart w:id="230" w:name="_Toc361829073"/>
            <w:r w:rsidRPr="000A1C8E">
              <w:rPr>
                <w:rFonts w:ascii="Tahoma" w:hAnsi="Tahoma" w:cs="Tahoma"/>
                <w:sz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rsidR="001A63C6" w:rsidRPr="00DC1AC3" w:rsidDel="00515A83" w:rsidRDefault="006C57E7" w:rsidP="004E1FF6">
            <w:pPr>
              <w:pStyle w:val="TableText"/>
              <w:widowControl w:val="0"/>
              <w:rPr>
                <w:rStyle w:val="EndnoteReference"/>
                <w:rFonts w:cs="Tahoma"/>
                <w:color w:val="000000"/>
                <w:sz w:val="13"/>
                <w:szCs w:val="13"/>
                <w:u w:val="single"/>
              </w:rPr>
            </w:pPr>
            <w:hyperlink w:anchor="_60_Forefront_Endpoint" w:history="1">
              <w:r w:rsidR="003D47E7" w:rsidRPr="00DC1AC3">
                <w:rPr>
                  <w:rStyle w:val="Hyperlink"/>
                  <w:rFonts w:cs="Tahoma"/>
                  <w:b/>
                  <w:sz w:val="13"/>
                  <w:szCs w:val="13"/>
                </w:rPr>
                <w:t>60</w:t>
              </w:r>
            </w:hyperlink>
          </w:p>
        </w:tc>
        <w:tc>
          <w:tcPr>
            <w:tcW w:w="433" w:type="dxa"/>
            <w:tcBorders>
              <w:bottom w:val="single" w:sz="4" w:space="0" w:color="auto"/>
            </w:tcBorders>
            <w:shd w:val="clear" w:color="auto" w:fill="FFFFFF" w:themeFill="background1"/>
            <w:vAlign w:val="center"/>
          </w:tcPr>
          <w:p w:rsidR="001A63C6" w:rsidRPr="000A1C8E" w:rsidDel="00515A83"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FFFFF" w:themeFill="background1"/>
            <w:vAlign w:val="center"/>
          </w:tcPr>
          <w:p w:rsidR="001A63C6" w:rsidRPr="000A1C8E"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A1C8E"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A1C8E"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A1C8E"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A1C8E" w:rsidDel="00515A83"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themeFill="background1"/>
            <w:vAlign w:val="center"/>
          </w:tcPr>
          <w:p w:rsidR="001A63C6" w:rsidRPr="000A1C8E" w:rsidDel="00515A83"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1A63C6" w:rsidRPr="000A1C8E" w:rsidDel="00515A83"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Del="00515A83"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FFFFFF" w:themeFill="background1"/>
            <w:vAlign w:val="center"/>
          </w:tcPr>
          <w:p w:rsidR="001A63C6" w:rsidRPr="000A1C8E" w:rsidDel="00515A83" w:rsidRDefault="001A63C6" w:rsidP="00BF08CC">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Del="00515A83" w:rsidRDefault="001A63C6" w:rsidP="00BF08CC">
            <w:pPr>
              <w:pStyle w:val="TableText"/>
              <w:widowControl w:val="0"/>
              <w:rPr>
                <w:rFonts w:ascii="Tahoma" w:hAnsi="Tahoma" w:cs="Tahoma"/>
                <w:sz w:val="13"/>
              </w:rPr>
            </w:pPr>
          </w:p>
        </w:tc>
      </w:tr>
      <w:tr w:rsidR="00B33D0E" w:rsidRPr="000A1C8E" w:rsidTr="001C45FD">
        <w:trPr>
          <w:cantSplit/>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31" w:name="_Toc336337966"/>
            <w:bookmarkStart w:id="232" w:name="_Toc361829074"/>
            <w:r w:rsidRPr="000A1C8E">
              <w:rPr>
                <w:rFonts w:ascii="Tahoma" w:hAnsi="Tahoma" w:cs="Tahoma"/>
                <w:sz w:val="14"/>
              </w:rPr>
              <w:t>CAL do Forefront Identity Manager 2010 R2 (Somente usuário)</w:t>
            </w:r>
            <w:bookmarkEnd w:id="231"/>
            <w:bookmarkEnd w:id="232"/>
          </w:p>
        </w:tc>
        <w:tc>
          <w:tcPr>
            <w:tcW w:w="450" w:type="dxa"/>
            <w:tcBorders>
              <w:bottom w:val="single" w:sz="4" w:space="0" w:color="auto"/>
            </w:tcBorders>
            <w:shd w:val="clear" w:color="auto" w:fill="FABF8F"/>
            <w:vAlign w:val="center"/>
          </w:tcPr>
          <w:p w:rsidR="001A63C6" w:rsidRPr="00DC1AC3" w:rsidRDefault="006C57E7" w:rsidP="001D4103">
            <w:pPr>
              <w:pStyle w:val="TableText"/>
              <w:widowControl w:val="0"/>
              <w:rPr>
                <w:rStyle w:val="EndnoteReference"/>
                <w:rFonts w:cs="Tahoma"/>
                <w:b w:val="0"/>
                <w:color w:val="0000FF"/>
                <w:sz w:val="13"/>
                <w:szCs w:val="13"/>
                <w:u w:val="single"/>
              </w:rPr>
            </w:pPr>
            <w:hyperlink w:anchor="_54_Forefront_Identity" w:history="1">
              <w:r w:rsidR="003D47E7" w:rsidRPr="00DC1AC3">
                <w:rPr>
                  <w:rStyle w:val="Hyperlink"/>
                  <w:rFonts w:cs="Tahoma"/>
                  <w:b/>
                  <w:sz w:val="13"/>
                  <w:szCs w:val="13"/>
                </w:rPr>
                <w:t>61</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07/10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r>
      <w:tr w:rsidR="001933C6"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ProductNames"/>
              <w:rPr>
                <w:rFonts w:ascii="Tahoma" w:hAnsi="Tahoma" w:cs="Tahoma"/>
                <w:sz w:val="14"/>
              </w:rPr>
            </w:pPr>
            <w:bookmarkStart w:id="233" w:name="_Toc336337967"/>
            <w:bookmarkStart w:id="234" w:name="_Toc361829075"/>
            <w:r w:rsidRPr="000A1C8E">
              <w:rPr>
                <w:rFonts w:ascii="Tahoma" w:hAnsi="Tahoma" w:cs="Tahoma"/>
                <w:sz w:val="14"/>
              </w:rPr>
              <w:t>Forefront Identity Manager 2010 R2 External Connector</w:t>
            </w:r>
            <w:bookmarkEnd w:id="233"/>
            <w:bookmarkEnd w:id="234"/>
          </w:p>
        </w:tc>
        <w:tc>
          <w:tcPr>
            <w:tcW w:w="450" w:type="dxa"/>
            <w:tcBorders>
              <w:bottom w:val="single" w:sz="4" w:space="0" w:color="auto"/>
            </w:tcBorders>
            <w:shd w:val="clear" w:color="auto" w:fill="FFFFFF" w:themeFill="background1"/>
            <w:vAlign w:val="center"/>
          </w:tcPr>
          <w:p w:rsidR="001A63C6" w:rsidRPr="00DC1AC3" w:rsidRDefault="006C57E7" w:rsidP="001D4103">
            <w:pPr>
              <w:pStyle w:val="TableText"/>
              <w:widowControl w:val="0"/>
              <w:rPr>
                <w:rStyle w:val="EndnoteReference"/>
                <w:rFonts w:cs="Tahoma"/>
                <w:color w:val="000000"/>
                <w:sz w:val="13"/>
                <w:szCs w:val="13"/>
                <w:u w:val="single"/>
              </w:rPr>
            </w:pPr>
            <w:hyperlink w:anchor="_54_Forefront_Identity" w:history="1">
              <w:r w:rsidR="008E6264" w:rsidRPr="00DC1AC3">
                <w:rPr>
                  <w:rStyle w:val="Hyperlink"/>
                  <w:rFonts w:cs="Tahoma"/>
                  <w:b/>
                  <w:sz w:val="13"/>
                  <w:szCs w:val="13"/>
                </w:rPr>
                <w:t>61</w:t>
              </w:r>
            </w:hyperlink>
          </w:p>
        </w:tc>
        <w:tc>
          <w:tcPr>
            <w:tcW w:w="433"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07/10</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313</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A</w:t>
            </w: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35" w:name="_Toc336337968"/>
            <w:bookmarkStart w:id="236" w:name="_Toc361829076"/>
            <w:r w:rsidRPr="000A1C8E">
              <w:rPr>
                <w:rFonts w:ascii="Tahoma" w:hAnsi="Tahoma" w:cs="Tahoma"/>
                <w:sz w:val="14"/>
              </w:rPr>
              <w:t>Forefront Identity Manager 2010 R2 Server</w:t>
            </w:r>
            <w:bookmarkEnd w:id="235"/>
            <w:bookmarkEnd w:id="236"/>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6C57E7" w:rsidP="001D4103">
            <w:pPr>
              <w:pStyle w:val="TableText"/>
              <w:widowControl w:val="0"/>
              <w:rPr>
                <w:rStyle w:val="EndnoteReference"/>
                <w:rFonts w:cs="Tahoma"/>
                <w:color w:val="000000"/>
                <w:sz w:val="13"/>
                <w:szCs w:val="13"/>
                <w:u w:val="single"/>
              </w:rPr>
            </w:pPr>
            <w:hyperlink w:anchor="_54_Forefront_Identity" w:history="1">
              <w:r w:rsidR="008E6264" w:rsidRPr="00DC1AC3">
                <w:rPr>
                  <w:rStyle w:val="Hyperlink"/>
                  <w:rFonts w:cs="Tahoma"/>
                  <w:b/>
                  <w:sz w:val="13"/>
                  <w:szCs w:val="13"/>
                </w:rPr>
                <w:t>61</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07/10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313</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250</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szCs w:val="13"/>
              </w:rPr>
              <w:t>125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r>
      <w:tr w:rsidR="001933C6" w:rsidRPr="000A1C8E" w:rsidTr="00C16156">
        <w:trPr>
          <w:trHeight w:val="145"/>
          <w:jc w:val="center"/>
        </w:trPr>
        <w:tc>
          <w:tcPr>
            <w:tcW w:w="2734" w:type="dxa"/>
            <w:gridSpan w:val="2"/>
            <w:tcBorders>
              <w:bottom w:val="single" w:sz="4" w:space="0" w:color="auto"/>
            </w:tcBorders>
            <w:shd w:val="clear" w:color="auto" w:fill="FFFFFF" w:themeFill="background1"/>
          </w:tcPr>
          <w:p w:rsidR="001A63C6" w:rsidRPr="000A1C8E" w:rsidRDefault="001A63C6" w:rsidP="001A63C6">
            <w:pPr>
              <w:pStyle w:val="Heading2"/>
              <w:ind w:left="0"/>
              <w:rPr>
                <w:rFonts w:ascii="Tahoma" w:hAnsi="Tahoma" w:cs="Tahoma"/>
                <w:b w:val="0"/>
              </w:rPr>
            </w:pPr>
            <w:bookmarkStart w:id="237" w:name="_Toc336337969"/>
            <w:bookmarkStart w:id="238" w:name="_Toc361829077"/>
            <w:r w:rsidRPr="000A1C8E">
              <w:rPr>
                <w:rFonts w:ascii="Tahoma" w:hAnsi="Tahoma" w:cs="Tahoma"/>
                <w:b w:val="0"/>
                <w:sz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rsidR="001A63C6" w:rsidRPr="00DC1AC3" w:rsidRDefault="006C57E7" w:rsidP="001D4103">
            <w:pPr>
              <w:pStyle w:val="TableText"/>
              <w:widowControl w:val="0"/>
              <w:rPr>
                <w:rFonts w:cs="Tahoma"/>
                <w:b/>
                <w:color w:val="0000FF"/>
                <w:sz w:val="13"/>
                <w:szCs w:val="13"/>
                <w:u w:val="single"/>
              </w:rPr>
            </w:pPr>
            <w:hyperlink w:anchor="_62_Forefront_Identity" w:history="1">
              <w:r w:rsidR="003D47E7" w:rsidRPr="00DC1AC3">
                <w:rPr>
                  <w:rStyle w:val="Hyperlink"/>
                  <w:rFonts w:cs="Tahoma"/>
                  <w:b/>
                  <w:sz w:val="13"/>
                  <w:szCs w:val="13"/>
                </w:rPr>
                <w:t>62</w:t>
              </w:r>
            </w:hyperlink>
          </w:p>
        </w:tc>
        <w:tc>
          <w:tcPr>
            <w:tcW w:w="433"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07/11</w:t>
            </w:r>
          </w:p>
        </w:tc>
        <w:tc>
          <w:tcPr>
            <w:tcW w:w="377"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63</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25</w:t>
            </w:r>
          </w:p>
        </w:tc>
        <w:tc>
          <w:tcPr>
            <w:tcW w:w="369" w:type="dxa"/>
            <w:tcBorders>
              <w:left w:val="single" w:sz="18" w:space="0" w:color="auto"/>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color w:val="000000"/>
                <w:sz w:val="13"/>
                <w:szCs w:val="13"/>
              </w:rPr>
            </w:pPr>
            <w:r w:rsidRPr="000A1C8E">
              <w:rPr>
                <w:rFonts w:ascii="Tahoma" w:hAnsi="Tahoma" w:cs="Tahoma"/>
                <w:sz w:val="13"/>
                <w:szCs w:val="13"/>
              </w:rPr>
              <w:t>25</w:t>
            </w:r>
          </w:p>
        </w:tc>
        <w:tc>
          <w:tcPr>
            <w:tcW w:w="396" w:type="dxa"/>
            <w:tcBorders>
              <w:bottom w:val="single" w:sz="4" w:space="0" w:color="auto"/>
              <w:right w:val="single" w:sz="18" w:space="0" w:color="auto"/>
            </w:tcBorders>
            <w:shd w:val="clear" w:color="auto" w:fill="FFFFFF" w:themeFill="background1"/>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spacing w:before="120"/>
              <w:rPr>
                <w:rFonts w:ascii="Tahoma" w:hAnsi="Tahoma" w:cs="Tahoma"/>
                <w:sz w:val="13"/>
              </w:rPr>
            </w:pPr>
          </w:p>
        </w:tc>
        <w:tc>
          <w:tcPr>
            <w:tcW w:w="486" w:type="dxa"/>
            <w:tcBorders>
              <w:bottom w:val="single" w:sz="4" w:space="0" w:color="auto"/>
            </w:tcBorders>
            <w:shd w:val="clear" w:color="auto" w:fill="FFFFFF" w:themeFill="background1"/>
            <w:vAlign w:val="center"/>
          </w:tcPr>
          <w:p w:rsidR="001A63C6" w:rsidRPr="000A1C8E" w:rsidRDefault="001A63C6" w:rsidP="00BF08CC">
            <w:pPr>
              <w:pStyle w:val="TableText"/>
              <w:widowControl w:val="0"/>
              <w:rPr>
                <w:rFonts w:ascii="Tahoma" w:hAnsi="Tahoma" w:cs="Tahoma"/>
                <w:sz w:val="13"/>
              </w:rPr>
            </w:pPr>
          </w:p>
        </w:tc>
      </w:tr>
      <w:tr w:rsidR="002B5C31" w:rsidRPr="000A1C8E" w:rsidTr="00C16156">
        <w:trPr>
          <w:trHeight w:val="145"/>
          <w:jc w:val="center"/>
        </w:trPr>
        <w:tc>
          <w:tcPr>
            <w:tcW w:w="2734" w:type="dxa"/>
            <w:gridSpan w:val="2"/>
            <w:tcBorders>
              <w:bottom w:val="single" w:sz="4" w:space="0" w:color="auto"/>
            </w:tcBorders>
            <w:shd w:val="clear" w:color="auto" w:fill="FABF8F"/>
          </w:tcPr>
          <w:p w:rsidR="002B5C31" w:rsidRPr="000A1C8E" w:rsidRDefault="002B5C31" w:rsidP="001A63C6">
            <w:pPr>
              <w:pStyle w:val="Heading2"/>
              <w:ind w:left="0"/>
              <w:rPr>
                <w:rFonts w:ascii="Tahoma" w:hAnsi="Tahoma" w:cs="Tahoma"/>
                <w:b w:val="0"/>
                <w:sz w:val="14"/>
              </w:rPr>
            </w:pPr>
            <w:bookmarkStart w:id="239" w:name="_Toc361829078"/>
            <w:r w:rsidRPr="000A1C8E">
              <w:rPr>
                <w:rFonts w:ascii="Tahoma" w:hAnsi="Tahoma" w:cs="Tahoma"/>
                <w:b w:val="0"/>
                <w:sz w:val="14"/>
              </w:rPr>
              <w:lastRenderedPageBreak/>
              <w:t>Forefront Online Protection for Exchange (SL de Dispositivo e Usuário)</w:t>
            </w:r>
            <w:bookmarkEnd w:id="239"/>
          </w:p>
        </w:tc>
        <w:tc>
          <w:tcPr>
            <w:tcW w:w="450" w:type="dxa"/>
            <w:tcBorders>
              <w:bottom w:val="single" w:sz="4" w:space="0" w:color="auto"/>
            </w:tcBorders>
            <w:shd w:val="clear" w:color="auto" w:fill="FABF8F"/>
            <w:vAlign w:val="center"/>
          </w:tcPr>
          <w:p w:rsidR="002B5C31" w:rsidRPr="00DC1AC3" w:rsidRDefault="006C57E7" w:rsidP="003D5C46">
            <w:pPr>
              <w:pStyle w:val="TableText"/>
              <w:widowControl w:val="0"/>
              <w:rPr>
                <w:rFonts w:cs="Tahoma"/>
                <w:b/>
                <w:sz w:val="13"/>
                <w:szCs w:val="13"/>
              </w:rPr>
            </w:pPr>
            <w:hyperlink w:anchor="_63_Forefront_Online" w:history="1">
              <w:r w:rsidR="003D47E7" w:rsidRPr="00DC1AC3">
                <w:rPr>
                  <w:rStyle w:val="Hyperlink"/>
                  <w:rFonts w:cs="Tahoma"/>
                  <w:b/>
                  <w:sz w:val="13"/>
                  <w:szCs w:val="13"/>
                </w:rPr>
                <w:t>63</w:t>
              </w:r>
            </w:hyperlink>
          </w:p>
        </w:tc>
        <w:tc>
          <w:tcPr>
            <w:tcW w:w="433" w:type="dxa"/>
            <w:tcBorders>
              <w:bottom w:val="single" w:sz="4" w:space="0" w:color="auto"/>
            </w:tcBorders>
            <w:shd w:val="clear" w:color="auto" w:fill="FABF8F"/>
            <w:vAlign w:val="center"/>
          </w:tcPr>
          <w:p w:rsidR="002B5C31" w:rsidRPr="000A1C8E" w:rsidRDefault="002B5C31" w:rsidP="00BF08CC">
            <w:pPr>
              <w:pStyle w:val="TableText"/>
              <w:widowControl w:val="0"/>
              <w:rPr>
                <w:rFonts w:ascii="Tahoma" w:hAnsi="Tahoma" w:cs="Tahoma"/>
                <w:sz w:val="13"/>
              </w:rPr>
            </w:pPr>
            <w:r w:rsidRPr="000A1C8E">
              <w:rPr>
                <w:rFonts w:ascii="Tahoma" w:hAnsi="Tahoma" w:cs="Tahoma"/>
                <w:sz w:val="13"/>
              </w:rPr>
              <w:t>07/13</w:t>
            </w:r>
          </w:p>
        </w:tc>
        <w:tc>
          <w:tcPr>
            <w:tcW w:w="377" w:type="dxa"/>
            <w:tcBorders>
              <w:bottom w:val="single" w:sz="4" w:space="0" w:color="auto"/>
              <w:right w:val="single" w:sz="18" w:space="0" w:color="auto"/>
            </w:tcBorders>
            <w:shd w:val="clear" w:color="auto" w:fill="FABF8F"/>
            <w:vAlign w:val="center"/>
          </w:tcPr>
          <w:p w:rsidR="002B5C31" w:rsidRPr="000A1C8E"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369" w:type="dxa"/>
            <w:tcBorders>
              <w:left w:val="single" w:sz="18" w:space="0" w:color="auto"/>
              <w:bottom w:val="single" w:sz="4" w:space="0" w:color="auto"/>
            </w:tcBorders>
            <w:shd w:val="clear" w:color="auto" w:fill="FABF8F"/>
            <w:vAlign w:val="bottom"/>
          </w:tcPr>
          <w:p w:rsidR="002B5C31" w:rsidRPr="000A1C8E" w:rsidRDefault="002B5C31" w:rsidP="001A63C6">
            <w:pPr>
              <w:pStyle w:val="TableText"/>
              <w:widowControl w:val="0"/>
              <w:spacing w:before="100" w:beforeAutospacing="1" w:after="120"/>
              <w:rPr>
                <w:rFonts w:ascii="Tahoma" w:hAnsi="Tahoma" w:cs="Tahoma"/>
                <w:sz w:val="13"/>
                <w:szCs w:val="13"/>
              </w:rPr>
            </w:pPr>
          </w:p>
        </w:tc>
        <w:tc>
          <w:tcPr>
            <w:tcW w:w="396" w:type="dxa"/>
            <w:tcBorders>
              <w:bottom w:val="single" w:sz="4" w:space="0" w:color="auto"/>
              <w:right w:val="single" w:sz="18" w:space="0" w:color="auto"/>
            </w:tcBorders>
            <w:shd w:val="clear" w:color="auto" w:fill="FABF8F"/>
            <w:vAlign w:val="center"/>
          </w:tcPr>
          <w:p w:rsidR="002B5C31" w:rsidRPr="000A1C8E" w:rsidRDefault="002B5C31"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2B5C31" w:rsidRPr="000A1C8E" w:rsidRDefault="002B5C31"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2B5C31" w:rsidRPr="000A1C8E" w:rsidRDefault="002B5C31"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2B5C31" w:rsidRPr="000A1C8E" w:rsidRDefault="002B5C31" w:rsidP="001A63C6">
            <w:pPr>
              <w:pStyle w:val="TableText"/>
              <w:widowControl w:val="0"/>
              <w:rPr>
                <w:rFonts w:ascii="Tahoma" w:hAnsi="Tahoma" w:cs="Tahoma"/>
                <w:sz w:val="13"/>
              </w:rPr>
            </w:pP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ProductNames"/>
              <w:rPr>
                <w:rFonts w:ascii="Tahoma" w:hAnsi="Tahoma" w:cs="Tahoma"/>
                <w:sz w:val="14"/>
              </w:rPr>
            </w:pPr>
            <w:bookmarkStart w:id="240" w:name="_Toc336337971"/>
            <w:bookmarkStart w:id="241" w:name="_Toc361829079"/>
            <w:r w:rsidRPr="000A1C8E">
              <w:rPr>
                <w:rFonts w:ascii="Tahoma" w:hAnsi="Tahoma" w:cs="Tahoma"/>
                <w:sz w:val="14"/>
              </w:rPr>
              <w:t>Forefront Protection 2010 for Exchange Server (SL de Dispositivo e Usuário)</w:t>
            </w:r>
            <w:bookmarkEnd w:id="240"/>
            <w:bookmarkEnd w:id="241"/>
          </w:p>
        </w:tc>
        <w:tc>
          <w:tcPr>
            <w:tcW w:w="450" w:type="dxa"/>
            <w:tcBorders>
              <w:bottom w:val="single" w:sz="4" w:space="0" w:color="auto"/>
            </w:tcBorders>
            <w:shd w:val="clear" w:color="auto" w:fill="auto"/>
            <w:vAlign w:val="center"/>
          </w:tcPr>
          <w:p w:rsidR="001A63C6" w:rsidRPr="00DC1AC3" w:rsidRDefault="006C57E7" w:rsidP="003D5C46">
            <w:pPr>
              <w:pStyle w:val="TableText"/>
              <w:widowControl w:val="0"/>
              <w:rPr>
                <w:rFonts w:cs="Tahoma"/>
                <w:b/>
                <w:color w:val="000000"/>
                <w:sz w:val="13"/>
                <w:szCs w:val="13"/>
                <w:u w:val="single"/>
              </w:rPr>
            </w:pPr>
            <w:hyperlink w:anchor="_54_Forefront_Protection" w:history="1">
              <w:r w:rsidR="003D47E7" w:rsidRPr="00DC1AC3">
                <w:rPr>
                  <w:rStyle w:val="Hyperlink"/>
                  <w:rFonts w:cs="Tahoma"/>
                  <w:b/>
                  <w:sz w:val="13"/>
                  <w:szCs w:val="13"/>
                </w:rPr>
                <w:t>64</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42" w:name="_Toc336337973"/>
            <w:bookmarkStart w:id="243" w:name="_Toc361829080"/>
            <w:r w:rsidRPr="000A1C8E">
              <w:rPr>
                <w:rFonts w:ascii="Tahoma" w:hAnsi="Tahoma" w:cs="Tahoma"/>
                <w:sz w:val="14"/>
              </w:rPr>
              <w:t>Forefront Protection Suite (SL de Dispositivo e Usuário)</w:t>
            </w:r>
            <w:bookmarkEnd w:id="242"/>
            <w:bookmarkEnd w:id="243"/>
          </w:p>
        </w:tc>
        <w:tc>
          <w:tcPr>
            <w:tcW w:w="450" w:type="dxa"/>
            <w:tcBorders>
              <w:bottom w:val="single" w:sz="4" w:space="0" w:color="auto"/>
            </w:tcBorders>
            <w:shd w:val="clear" w:color="auto" w:fill="FABF8F"/>
            <w:vAlign w:val="center"/>
          </w:tcPr>
          <w:p w:rsidR="001A63C6" w:rsidRPr="00DC1AC3" w:rsidRDefault="006C57E7" w:rsidP="009C0A44">
            <w:pPr>
              <w:pStyle w:val="TableText"/>
              <w:widowControl w:val="0"/>
              <w:rPr>
                <w:rStyle w:val="EndnoteReference"/>
                <w:rFonts w:cs="Tahoma"/>
                <w:b w:val="0"/>
                <w:color w:val="0000FF"/>
                <w:sz w:val="13"/>
                <w:szCs w:val="13"/>
                <w:u w:val="single"/>
              </w:rPr>
            </w:pPr>
            <w:hyperlink w:anchor="_61_Forefront_Protection" w:history="1">
              <w:hyperlink w:anchor="_61_Forefront_Protection" w:history="1">
                <w:r w:rsidR="003D47E7" w:rsidRPr="008E6264">
                  <w:rPr>
                    <w:rStyle w:val="Hyperlink"/>
                    <w:rFonts w:cs="Tahoma"/>
                    <w:b/>
                    <w:sz w:val="13"/>
                    <w:szCs w:val="13"/>
                  </w:rPr>
                  <w:t>6</w:t>
                </w:r>
              </w:hyperlink>
              <w:r w:rsidR="003D47E7" w:rsidRPr="008E6264">
                <w:rPr>
                  <w:rStyle w:val="Hyperlink"/>
                  <w:rFonts w:cs="Tahoma"/>
                  <w:b/>
                  <w:sz w:val="13"/>
                  <w:szCs w:val="13"/>
                </w:rPr>
                <w:t>5</w:t>
              </w:r>
            </w:hyperlink>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ProductNames"/>
              <w:rPr>
                <w:rFonts w:ascii="Tahoma" w:hAnsi="Tahoma" w:cs="Tahoma"/>
                <w:sz w:val="14"/>
              </w:rPr>
            </w:pPr>
            <w:bookmarkStart w:id="244" w:name="_Toc336337974"/>
            <w:bookmarkStart w:id="245" w:name="_Toc361829081"/>
            <w:r w:rsidRPr="000A1C8E">
              <w:rPr>
                <w:rFonts w:ascii="Tahoma" w:hAnsi="Tahoma" w:cs="Tahoma"/>
                <w:sz w:val="14"/>
              </w:rPr>
              <w:t>Forefront Security for Office Communications Server (SL de Dispositivo e Usuário)</w:t>
            </w:r>
            <w:bookmarkEnd w:id="244"/>
            <w:bookmarkEnd w:id="245"/>
          </w:p>
        </w:tc>
        <w:tc>
          <w:tcPr>
            <w:tcW w:w="450" w:type="dxa"/>
            <w:tcBorders>
              <w:bottom w:val="single" w:sz="4" w:space="0" w:color="auto"/>
            </w:tcBorders>
            <w:shd w:val="clear" w:color="auto" w:fill="auto"/>
            <w:vAlign w:val="center"/>
          </w:tcPr>
          <w:p w:rsidR="001A63C6" w:rsidRPr="00DC1AC3" w:rsidRDefault="006C57E7" w:rsidP="004E1FF6">
            <w:pPr>
              <w:pStyle w:val="TableText"/>
              <w:widowControl w:val="0"/>
              <w:rPr>
                <w:rStyle w:val="EndnoteReference"/>
                <w:rFonts w:cs="Tahoma"/>
                <w:color w:val="000000"/>
                <w:sz w:val="13"/>
                <w:szCs w:val="13"/>
                <w:u w:val="single"/>
              </w:rPr>
            </w:pPr>
            <w:hyperlink w:anchor="_66_Forefront_Security" w:history="1">
              <w:r w:rsidR="003D47E7" w:rsidRPr="00DC1AC3">
                <w:rPr>
                  <w:rStyle w:val="Hyperlink"/>
                  <w:rFonts w:cs="Tahoma"/>
                  <w:b/>
                  <w:sz w:val="13"/>
                  <w:szCs w:val="13"/>
                </w:rPr>
                <w:t>66</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46" w:name="_Toc336337976"/>
            <w:bookmarkStart w:id="247" w:name="_Toc361829082"/>
            <w:r w:rsidRPr="000A1C8E">
              <w:rPr>
                <w:rFonts w:ascii="Tahoma" w:hAnsi="Tahoma" w:cs="Tahoma"/>
                <w:sz w:val="14"/>
              </w:rPr>
              <w:t>Forefront Protection 2010 for SharePoint (SL de Dispositivo e Usuário)</w:t>
            </w:r>
            <w:bookmarkEnd w:id="246"/>
            <w:bookmarkEnd w:id="247"/>
          </w:p>
        </w:tc>
        <w:tc>
          <w:tcPr>
            <w:tcW w:w="450" w:type="dxa"/>
            <w:tcBorders>
              <w:bottom w:val="single" w:sz="4" w:space="0" w:color="auto"/>
            </w:tcBorders>
            <w:shd w:val="clear" w:color="auto" w:fill="FABF8F"/>
            <w:vAlign w:val="center"/>
          </w:tcPr>
          <w:p w:rsidR="001A63C6" w:rsidRPr="00DC1AC3" w:rsidRDefault="006C57E7" w:rsidP="004E1FF6">
            <w:pPr>
              <w:pStyle w:val="TableText"/>
              <w:widowControl w:val="0"/>
              <w:rPr>
                <w:rStyle w:val="EndnoteReference"/>
                <w:rFonts w:cs="Tahoma"/>
                <w:b w:val="0"/>
                <w:color w:val="000000"/>
                <w:sz w:val="13"/>
                <w:szCs w:val="13"/>
                <w:u w:val="single"/>
              </w:rPr>
            </w:pPr>
            <w:hyperlink w:anchor="_54_Forefront_Protection" w:history="1">
              <w:r w:rsidR="003D47E7" w:rsidRPr="00DC1AC3">
                <w:rPr>
                  <w:rStyle w:val="Hyperlink"/>
                  <w:rFonts w:cs="Tahoma"/>
                  <w:b/>
                  <w:sz w:val="13"/>
                  <w:szCs w:val="13"/>
                </w:rPr>
                <w:t>64</w:t>
              </w:r>
            </w:hyperlink>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ProductNames"/>
              <w:rPr>
                <w:rFonts w:ascii="Tahoma" w:hAnsi="Tahoma" w:cs="Tahoma"/>
                <w:sz w:val="14"/>
              </w:rPr>
            </w:pPr>
            <w:bookmarkStart w:id="248" w:name="_Toc336337977"/>
            <w:bookmarkStart w:id="249" w:name="_Toc361829083"/>
            <w:r w:rsidRPr="000A1C8E">
              <w:rPr>
                <w:rFonts w:ascii="Tahoma" w:hAnsi="Tahoma" w:cs="Tahoma"/>
                <w:sz w:val="14"/>
              </w:rPr>
              <w:t>Forefront Protection 2010 for SharePoint for Internet Sites (SL Complementar)</w:t>
            </w:r>
            <w:bookmarkEnd w:id="248"/>
            <w:bookmarkEnd w:id="249"/>
          </w:p>
        </w:tc>
        <w:tc>
          <w:tcPr>
            <w:tcW w:w="450" w:type="dxa"/>
            <w:tcBorders>
              <w:bottom w:val="single" w:sz="4" w:space="0" w:color="auto"/>
            </w:tcBorders>
            <w:shd w:val="clear" w:color="auto" w:fill="auto"/>
            <w:vAlign w:val="center"/>
          </w:tcPr>
          <w:p w:rsidR="001A63C6" w:rsidRPr="00DC1AC3" w:rsidRDefault="006C57E7" w:rsidP="004E1FF6">
            <w:pPr>
              <w:pStyle w:val="TableText"/>
              <w:widowControl w:val="0"/>
              <w:rPr>
                <w:rStyle w:val="EndnoteReference"/>
                <w:rFonts w:cs="Tahoma"/>
                <w:b w:val="0"/>
                <w:color w:val="000000"/>
                <w:sz w:val="13"/>
                <w:szCs w:val="13"/>
                <w:u w:val="single"/>
              </w:rPr>
            </w:pPr>
            <w:hyperlink w:anchor="_54_Forefront_Protection" w:history="1">
              <w:r w:rsidR="008E6264" w:rsidRPr="00DC1AC3">
                <w:rPr>
                  <w:rStyle w:val="Hyperlink"/>
                  <w:rFonts w:cs="Tahoma"/>
                  <w:b/>
                  <w:sz w:val="13"/>
                  <w:szCs w:val="13"/>
                </w:rPr>
                <w:t>64</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04/10</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OV</w:t>
            </w:r>
          </w:p>
        </w:tc>
      </w:tr>
      <w:tr w:rsidR="00193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50" w:name="_Toc336337981"/>
            <w:bookmarkStart w:id="251" w:name="_Toc361829084"/>
            <w:r w:rsidRPr="000A1C8E">
              <w:rPr>
                <w:rFonts w:ascii="Tahoma" w:hAnsi="Tahoma" w:cs="Tahoma"/>
                <w:sz w:val="14"/>
              </w:rPr>
              <w:t>Forefront Threat Management Gateway Web Protection Services</w:t>
            </w:r>
            <w:bookmarkEnd w:id="250"/>
            <w:bookmarkEnd w:id="251"/>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6C57E7" w:rsidP="004E1FF6">
            <w:pPr>
              <w:pStyle w:val="TableText"/>
              <w:widowControl w:val="0"/>
              <w:rPr>
                <w:rStyle w:val="EndnoteReference"/>
                <w:rFonts w:cs="Tahoma"/>
                <w:b w:val="0"/>
                <w:color w:val="0000FF"/>
                <w:sz w:val="13"/>
                <w:szCs w:val="13"/>
                <w:u w:val="single"/>
              </w:rPr>
            </w:pPr>
            <w:hyperlink w:anchor="_67_Forefront_Threat" w:history="1">
              <w:r w:rsidR="003D47E7" w:rsidRPr="00DC1AC3">
                <w:rPr>
                  <w:rStyle w:val="Hyperlink"/>
                  <w:rFonts w:cs="Tahoma"/>
                  <w:b/>
                  <w:sz w:val="13"/>
                  <w:szCs w:val="13"/>
                </w:rPr>
                <w:t>67</w:t>
              </w:r>
            </w:hyperlink>
            <w:hyperlink w:anchor="_57_Forefront_Threat" w:history="1"/>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C45FD">
            <w:pPr>
              <w:pStyle w:val="ProductNames"/>
              <w:keepNext/>
              <w:rPr>
                <w:rFonts w:ascii="Tahoma" w:hAnsi="Tahoma" w:cs="Tahoma"/>
                <w:sz w:val="14"/>
              </w:rPr>
            </w:pPr>
            <w:bookmarkStart w:id="252" w:name="_Toc336337982"/>
            <w:bookmarkStart w:id="253" w:name="_Toc361829085"/>
            <w:r w:rsidRPr="000A1C8E">
              <w:rPr>
                <w:rFonts w:ascii="Tahoma" w:hAnsi="Tahoma" w:cs="Tahoma"/>
                <w:sz w:val="14"/>
              </w:rPr>
              <w:t>Forefront Unified Access Gateway Server</w:t>
            </w:r>
            <w:r w:rsidR="001C45FD" w:rsidRPr="000A1C8E">
              <w:rPr>
                <w:rFonts w:ascii="Tahoma" w:hAnsi="Tahoma" w:cs="Tahoma"/>
                <w:sz w:val="14"/>
              </w:rPr>
              <w:t> </w:t>
            </w:r>
            <w:r w:rsidRPr="000A1C8E">
              <w:rPr>
                <w:rFonts w:ascii="Tahoma" w:hAnsi="Tahoma" w:cs="Tahoma"/>
                <w:sz w:val="14"/>
              </w:rPr>
              <w:t>2010</w:t>
            </w:r>
            <w:bookmarkEnd w:id="252"/>
            <w:bookmarkEnd w:id="253"/>
          </w:p>
        </w:tc>
        <w:tc>
          <w:tcPr>
            <w:tcW w:w="450" w:type="dxa"/>
            <w:tcBorders>
              <w:bottom w:val="single" w:sz="4" w:space="0" w:color="auto"/>
            </w:tcBorders>
            <w:shd w:val="clear" w:color="auto" w:fill="auto"/>
            <w:vAlign w:val="center"/>
          </w:tcPr>
          <w:p w:rsidR="001A63C6" w:rsidRPr="00DC1AC3" w:rsidRDefault="006C57E7" w:rsidP="00133662">
            <w:pPr>
              <w:pStyle w:val="TableText"/>
              <w:keepNext/>
              <w:keepLines/>
              <w:widowControl w:val="0"/>
              <w:rPr>
                <w:rFonts w:cs="Tahoma"/>
                <w:b/>
                <w:color w:val="000000"/>
                <w:sz w:val="13"/>
                <w:szCs w:val="13"/>
                <w:u w:val="single"/>
              </w:rPr>
            </w:pPr>
            <w:hyperlink w:anchor="_68_Forefront_Unified" w:history="1">
              <w:r w:rsidR="003D47E7" w:rsidRPr="00DC1AC3">
                <w:rPr>
                  <w:rStyle w:val="Hyperlink"/>
                  <w:rFonts w:cs="Tahoma"/>
                  <w:b/>
                  <w:sz w:val="13"/>
                  <w:szCs w:val="13"/>
                </w:rPr>
                <w:t>68</w:t>
              </w:r>
            </w:hyperlink>
            <w:hyperlink w:anchor="Srv_52ForefrontUnifiedAccessGtwy2010" w:history="1"/>
          </w:p>
        </w:tc>
        <w:tc>
          <w:tcPr>
            <w:tcW w:w="433" w:type="dxa"/>
            <w:tcBorders>
              <w:bottom w:val="single" w:sz="4" w:space="0" w:color="auto"/>
            </w:tcBorders>
            <w:shd w:val="clear" w:color="auto" w:fill="auto"/>
          </w:tcPr>
          <w:p w:rsidR="001A63C6" w:rsidRPr="000A1C8E" w:rsidRDefault="001A63C6" w:rsidP="00133662">
            <w:pPr>
              <w:pStyle w:val="TableText"/>
              <w:keepNext/>
              <w:keepLines/>
              <w:widowControl w:val="0"/>
              <w:spacing w:before="80"/>
              <w:rPr>
                <w:rFonts w:ascii="Tahoma" w:hAnsi="Tahoma" w:cs="Tahoma"/>
                <w:sz w:val="13"/>
              </w:rPr>
            </w:pPr>
            <w:r w:rsidRPr="000A1C8E">
              <w:rPr>
                <w:rFonts w:ascii="Tahoma" w:hAnsi="Tahoma" w:cs="Tahoma"/>
                <w:sz w:val="13"/>
              </w:rPr>
              <w:t>01/10</w:t>
            </w:r>
          </w:p>
        </w:tc>
        <w:tc>
          <w:tcPr>
            <w:tcW w:w="377" w:type="dxa"/>
            <w:tcBorders>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33662">
            <w:pPr>
              <w:pStyle w:val="TableText"/>
              <w:keepNext/>
              <w:keepLines/>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sz w:val="13"/>
              </w:rPr>
            </w:pPr>
          </w:p>
        </w:tc>
      </w:tr>
      <w:tr w:rsidR="001933C6"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54" w:name="_Toc336337983"/>
            <w:bookmarkStart w:id="255" w:name="_Toc361829086"/>
            <w:r w:rsidRPr="000A1C8E">
              <w:rPr>
                <w:rFonts w:ascii="Tahoma" w:hAnsi="Tahoma" w:cs="Tahoma"/>
                <w:sz w:val="14"/>
              </w:rPr>
              <w:t>External Connector do Forefront Unified Access Gateway 2010</w:t>
            </w:r>
            <w:bookmarkEnd w:id="254"/>
            <w:bookmarkEnd w:id="255"/>
          </w:p>
        </w:tc>
        <w:tc>
          <w:tcPr>
            <w:tcW w:w="450" w:type="dxa"/>
            <w:tcBorders>
              <w:bottom w:val="single" w:sz="4" w:space="0" w:color="auto"/>
            </w:tcBorders>
            <w:shd w:val="clear" w:color="auto" w:fill="FABF8F"/>
            <w:vAlign w:val="center"/>
          </w:tcPr>
          <w:p w:rsidR="001A63C6" w:rsidRPr="00DC1AC3" w:rsidRDefault="006C57E7" w:rsidP="004E1FF6">
            <w:pPr>
              <w:pStyle w:val="TableText"/>
              <w:widowControl w:val="0"/>
              <w:rPr>
                <w:rFonts w:cs="Tahoma"/>
                <w:b/>
                <w:color w:val="000000"/>
                <w:sz w:val="13"/>
                <w:szCs w:val="13"/>
                <w:u w:val="single"/>
              </w:rPr>
            </w:pPr>
            <w:hyperlink w:anchor="_68_Forefront_Unified" w:history="1">
              <w:r w:rsidR="008E6264" w:rsidRPr="00DC1AC3">
                <w:rPr>
                  <w:rStyle w:val="Hyperlink"/>
                  <w:rFonts w:cs="Tahoma"/>
                  <w:b/>
                  <w:sz w:val="13"/>
                  <w:szCs w:val="13"/>
                </w:rPr>
                <w:t>68</w:t>
              </w:r>
            </w:hyperlink>
            <w:hyperlink w:anchor="Srv_56ForefrontUnifiedAccessGtwy2010" w:history="1"/>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01/10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200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200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C45FD">
            <w:pPr>
              <w:pStyle w:val="ProductNames"/>
              <w:rPr>
                <w:rFonts w:ascii="Tahoma" w:hAnsi="Tahoma" w:cs="Tahoma"/>
                <w:sz w:val="14"/>
              </w:rPr>
            </w:pPr>
            <w:bookmarkStart w:id="256" w:name="_Toc336337984"/>
            <w:bookmarkStart w:id="257" w:name="_Toc361829087"/>
            <w:r w:rsidRPr="000A1C8E">
              <w:rPr>
                <w:rFonts w:ascii="Tahoma" w:hAnsi="Tahoma" w:cs="Tahoma"/>
                <w:sz w:val="14"/>
              </w:rPr>
              <w:t>CAL do Forefront Unified Access Gateway</w:t>
            </w:r>
            <w:r w:rsidR="001C45FD" w:rsidRPr="000A1C8E">
              <w:rPr>
                <w:rFonts w:ascii="Tahoma" w:hAnsi="Tahoma" w:cs="Tahoma"/>
                <w:sz w:val="14"/>
              </w:rPr>
              <w:t> </w:t>
            </w:r>
            <w:r w:rsidRPr="000A1C8E">
              <w:rPr>
                <w:rFonts w:ascii="Tahoma" w:hAnsi="Tahoma" w:cs="Tahoma"/>
                <w:sz w:val="14"/>
              </w:rPr>
              <w:t>2010</w:t>
            </w:r>
            <w:bookmarkEnd w:id="256"/>
            <w:bookmarkEnd w:id="257"/>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6C57E7" w:rsidP="004E1FF6">
            <w:pPr>
              <w:pStyle w:val="TableText"/>
              <w:widowControl w:val="0"/>
              <w:rPr>
                <w:rFonts w:cs="Tahoma"/>
                <w:b/>
                <w:color w:val="000000"/>
                <w:sz w:val="13"/>
                <w:szCs w:val="13"/>
                <w:u w:val="single"/>
              </w:rPr>
            </w:pPr>
            <w:hyperlink w:anchor="_68_Forefront_Unified" w:history="1">
              <w:r w:rsidR="008E6264" w:rsidRPr="00DC1AC3">
                <w:rPr>
                  <w:rStyle w:val="Hyperlink"/>
                  <w:rFonts w:cs="Tahoma"/>
                  <w:b/>
                  <w:sz w:val="13"/>
                  <w:szCs w:val="13"/>
                </w:rPr>
                <w:t>68</w:t>
              </w:r>
            </w:hyperlink>
            <w:hyperlink w:anchor="Srv_52ForefrontUnifiedAccessGtwy2010" w:history="1"/>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01/10</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58" w:name="_Toc336337985"/>
            <w:bookmarkStart w:id="259" w:name="_Toc361829088"/>
            <w:r w:rsidRPr="000A1C8E">
              <w:rPr>
                <w:rFonts w:ascii="Tahoma" w:hAnsi="Tahoma" w:cs="Tahoma"/>
                <w:sz w:val="14"/>
              </w:rPr>
              <w:t>Pacote CAL do Forefront Unified Access Gateway 2010 10K</w:t>
            </w:r>
            <w:bookmarkEnd w:id="258"/>
            <w:bookmarkEnd w:id="259"/>
          </w:p>
        </w:tc>
        <w:tc>
          <w:tcPr>
            <w:tcW w:w="450" w:type="dxa"/>
            <w:tcBorders>
              <w:bottom w:val="single" w:sz="4" w:space="0" w:color="auto"/>
            </w:tcBorders>
            <w:shd w:val="clear" w:color="auto" w:fill="FABF8F"/>
            <w:vAlign w:val="center"/>
          </w:tcPr>
          <w:p w:rsidR="001A63C6" w:rsidRPr="00DC1AC3" w:rsidRDefault="006C57E7" w:rsidP="004E1FF6">
            <w:pPr>
              <w:pStyle w:val="TableText"/>
              <w:widowControl w:val="0"/>
              <w:rPr>
                <w:rFonts w:cs="Tahoma"/>
                <w:b/>
                <w:color w:val="000000"/>
                <w:sz w:val="13"/>
                <w:szCs w:val="13"/>
                <w:u w:val="single"/>
              </w:rPr>
            </w:pPr>
            <w:hyperlink w:anchor="_68_Forefront_Unified" w:history="1">
              <w:r w:rsidR="008E6264" w:rsidRPr="00DC1AC3">
                <w:rPr>
                  <w:rStyle w:val="Hyperlink"/>
                  <w:rFonts w:cs="Tahoma"/>
                  <w:b/>
                  <w:sz w:val="13"/>
                  <w:szCs w:val="13"/>
                </w:rPr>
                <w:t>68</w:t>
              </w:r>
            </w:hyperlink>
            <w:hyperlink w:anchor="Srv_52ForefrontUnifiedAccessGtwy2010" w:history="1"/>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01/10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ProductNames"/>
              <w:rPr>
                <w:rFonts w:ascii="Tahoma" w:hAnsi="Tahoma" w:cs="Tahoma"/>
                <w:sz w:val="14"/>
              </w:rPr>
            </w:pPr>
            <w:bookmarkStart w:id="260" w:name="_Toc336337990"/>
            <w:bookmarkStart w:id="261" w:name="_Toc361829089"/>
            <w:r w:rsidRPr="000A1C8E">
              <w:rPr>
                <w:rFonts w:ascii="Tahoma" w:hAnsi="Tahoma" w:cs="Tahoma"/>
                <w:sz w:val="14"/>
              </w:rPr>
              <w:t>HPC Pack 2008 R2 Enterprise</w:t>
            </w:r>
            <w:bookmarkEnd w:id="260"/>
            <w:bookmarkEnd w:id="261"/>
          </w:p>
        </w:tc>
        <w:tc>
          <w:tcPr>
            <w:tcW w:w="450" w:type="dxa"/>
            <w:tcBorders>
              <w:bottom w:val="single" w:sz="4" w:space="0" w:color="auto"/>
            </w:tcBorders>
            <w:shd w:val="clear" w:color="auto" w:fill="auto"/>
            <w:vAlign w:val="center"/>
          </w:tcPr>
          <w:p w:rsidR="001A63C6" w:rsidRPr="00DC1AC3" w:rsidRDefault="006C57E7" w:rsidP="009C0A44">
            <w:pPr>
              <w:pStyle w:val="TableText"/>
              <w:widowControl w:val="0"/>
              <w:rPr>
                <w:rStyle w:val="EndnoteReference"/>
                <w:rFonts w:cs="Tahoma"/>
                <w:color w:val="000000"/>
                <w:sz w:val="13"/>
                <w:szCs w:val="13"/>
                <w:u w:val="single"/>
              </w:rPr>
            </w:pPr>
            <w:hyperlink w:anchor="_69_HPC_Pack" w:history="1">
              <w:hyperlink w:anchor="_51_High_Performance" w:history="1">
                <w:r w:rsidR="003D47E7" w:rsidRPr="008E6264">
                  <w:rPr>
                    <w:rStyle w:val="Hyperlink"/>
                    <w:rFonts w:cs="Tahoma"/>
                    <w:b/>
                    <w:sz w:val="13"/>
                    <w:szCs w:val="13"/>
                  </w:rPr>
                  <w:t>6</w:t>
                </w:r>
              </w:hyperlink>
              <w:r w:rsidR="003D47E7" w:rsidRPr="008E6264">
                <w:rPr>
                  <w:rStyle w:val="Hyperlink"/>
                  <w:rFonts w:cs="Tahoma"/>
                  <w:b/>
                  <w:sz w:val="13"/>
                  <w:szCs w:val="13"/>
                </w:rPr>
                <w:t>9</w:t>
              </w:r>
            </w:hyperlink>
            <w:hyperlink w:anchor="Srv_54HighPerfComputingPack" w:history="1"/>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09/10</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1A63C6">
            <w:pPr>
              <w:pStyle w:val="ProductNames"/>
              <w:rPr>
                <w:rFonts w:ascii="Tahoma" w:hAnsi="Tahoma" w:cs="Tahoma"/>
                <w:sz w:val="14"/>
              </w:rPr>
            </w:pPr>
            <w:bookmarkStart w:id="262" w:name="_Toc336337991"/>
            <w:bookmarkStart w:id="263" w:name="_Toc361829090"/>
            <w:r w:rsidRPr="000A1C8E">
              <w:rPr>
                <w:rFonts w:ascii="Tahoma" w:hAnsi="Tahoma" w:cs="Tahoma"/>
                <w:sz w:val="14"/>
              </w:rPr>
              <w:t>HPC Pack 2008 R2 para Workstation</w:t>
            </w:r>
            <w:bookmarkEnd w:id="262"/>
            <w:bookmarkEnd w:id="263"/>
          </w:p>
        </w:tc>
        <w:tc>
          <w:tcPr>
            <w:tcW w:w="450" w:type="dxa"/>
            <w:tcBorders>
              <w:bottom w:val="single" w:sz="4" w:space="0" w:color="auto"/>
            </w:tcBorders>
            <w:shd w:val="clear" w:color="auto" w:fill="FABF8F"/>
            <w:vAlign w:val="center"/>
          </w:tcPr>
          <w:p w:rsidR="001A63C6" w:rsidRPr="00DC1AC3" w:rsidRDefault="006C57E7" w:rsidP="009C0A44">
            <w:pPr>
              <w:pStyle w:val="TableText"/>
              <w:widowControl w:val="0"/>
              <w:rPr>
                <w:rStyle w:val="EndnoteReference"/>
                <w:rFonts w:cs="Tahoma"/>
                <w:b w:val="0"/>
                <w:color w:val="000000"/>
                <w:sz w:val="13"/>
                <w:szCs w:val="13"/>
                <w:u w:val="single"/>
              </w:rPr>
            </w:pPr>
            <w:hyperlink w:anchor="_69_HPC_Pack" w:history="1">
              <w:hyperlink w:anchor="_51_High_Performance" w:history="1">
                <w:r w:rsidR="008E6264" w:rsidRPr="008E6264">
                  <w:rPr>
                    <w:rStyle w:val="Hyperlink"/>
                    <w:rFonts w:cs="Tahoma"/>
                    <w:b/>
                    <w:sz w:val="13"/>
                    <w:szCs w:val="13"/>
                  </w:rPr>
                  <w:t>6</w:t>
                </w:r>
              </w:hyperlink>
              <w:r w:rsidR="008E6264" w:rsidRPr="008E6264">
                <w:rPr>
                  <w:rStyle w:val="Hyperlink"/>
                  <w:rFonts w:cs="Tahoma"/>
                  <w:b/>
                  <w:sz w:val="13"/>
                  <w:szCs w:val="13"/>
                </w:rPr>
                <w:t>9</w:t>
              </w:r>
            </w:hyperlink>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09/10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1A63C6">
            <w:pPr>
              <w:pStyle w:val="ProductNames"/>
              <w:rPr>
                <w:rFonts w:ascii="Tahoma" w:hAnsi="Tahoma" w:cs="Tahoma"/>
                <w:sz w:val="14"/>
              </w:rPr>
            </w:pPr>
            <w:bookmarkStart w:id="264" w:name="_Toc336337992"/>
            <w:bookmarkStart w:id="265" w:name="_Toc361829091"/>
            <w:r w:rsidRPr="000A1C8E">
              <w:rPr>
                <w:rFonts w:ascii="Tahoma" w:hAnsi="Tahoma" w:cs="Tahoma"/>
                <w:sz w:val="14"/>
              </w:rPr>
              <w:t xml:space="preserve">Learning Solutions Combination </w:t>
            </w:r>
            <w:r w:rsidR="00805E66" w:rsidRPr="000A1C8E">
              <w:rPr>
                <w:rFonts w:ascii="Tahoma" w:hAnsi="Tahoma" w:cs="Tahoma"/>
                <w:sz w:val="14"/>
              </w:rPr>
              <w:br/>
            </w:r>
            <w:r w:rsidRPr="000A1C8E">
              <w:rPr>
                <w:rFonts w:ascii="Tahoma" w:hAnsi="Tahoma" w:cs="Tahoma"/>
                <w:sz w:val="14"/>
              </w:rPr>
              <w:t>E-Reference Library (SL de Usuário)</w:t>
            </w:r>
            <w:bookmarkEnd w:id="264"/>
            <w:bookmarkEnd w:id="265"/>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12/07</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bottom"/>
          </w:tcPr>
          <w:p w:rsidR="001A63C6" w:rsidRPr="000A1C8E" w:rsidRDefault="001A63C6" w:rsidP="001A63C6">
            <w:pPr>
              <w:pStyle w:val="ProductNames"/>
              <w:rPr>
                <w:rFonts w:ascii="Tahoma" w:hAnsi="Tahoma" w:cs="Tahoma"/>
                <w:sz w:val="14"/>
              </w:rPr>
            </w:pPr>
            <w:bookmarkStart w:id="266" w:name="_Toc336337993"/>
            <w:bookmarkStart w:id="267" w:name="_Toc361829092"/>
            <w:r w:rsidRPr="000A1C8E">
              <w:rPr>
                <w:rFonts w:ascii="Tahoma" w:hAnsi="Tahoma" w:cs="Tahoma"/>
                <w:sz w:val="14"/>
              </w:rPr>
              <w:t>Learning Solutions IT Academy (SL de Serviços)</w:t>
            </w:r>
            <w:bookmarkEnd w:id="266"/>
            <w:bookmarkEnd w:id="267"/>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Fonts w:cs="Tahoma"/>
                <w:b/>
                <w:color w:val="000000"/>
                <w:sz w:val="13"/>
                <w:szCs w:val="13"/>
                <w:u w:val="single"/>
              </w:rPr>
            </w:pPr>
          </w:p>
        </w:tc>
        <w:tc>
          <w:tcPr>
            <w:tcW w:w="433" w:type="dxa"/>
            <w:tcBorders>
              <w:bottom w:val="single" w:sz="4" w:space="0" w:color="auto"/>
            </w:tcBorders>
            <w:shd w:val="clear" w:color="auto" w:fill="FABF8F"/>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01/10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auto"/>
            <w:vAlign w:val="bottom"/>
          </w:tcPr>
          <w:p w:rsidR="001A63C6" w:rsidRPr="000A1C8E" w:rsidRDefault="001A63C6" w:rsidP="001A63C6">
            <w:pPr>
              <w:pStyle w:val="ProductNames"/>
              <w:rPr>
                <w:rFonts w:ascii="Tahoma" w:hAnsi="Tahoma" w:cs="Tahoma"/>
                <w:sz w:val="14"/>
              </w:rPr>
            </w:pPr>
            <w:bookmarkStart w:id="268" w:name="_Toc336337994"/>
            <w:bookmarkStart w:id="269" w:name="_Toc361829093"/>
            <w:r w:rsidRPr="000A1C8E">
              <w:rPr>
                <w:rFonts w:ascii="Tahoma" w:hAnsi="Tahoma" w:cs="Tahoma"/>
                <w:sz w:val="14"/>
              </w:rPr>
              <w:t>Cupons de Exame do Learning Solutions MCP 1 (SL de Serviços)</w:t>
            </w:r>
            <w:bookmarkEnd w:id="268"/>
            <w:bookmarkEnd w:id="269"/>
          </w:p>
        </w:tc>
        <w:tc>
          <w:tcPr>
            <w:tcW w:w="450" w:type="dxa"/>
            <w:tcBorders>
              <w:bottom w:val="single" w:sz="4" w:space="0" w:color="auto"/>
            </w:tcBorders>
            <w:shd w:val="clear" w:color="auto" w:fill="auto"/>
            <w:vAlign w:val="center"/>
          </w:tcPr>
          <w:p w:rsidR="001A63C6" w:rsidRPr="00DC1AC3" w:rsidRDefault="006C57E7" w:rsidP="009C0A44">
            <w:pPr>
              <w:pStyle w:val="TableText"/>
              <w:widowControl w:val="0"/>
              <w:rPr>
                <w:rStyle w:val="EndnoteReference"/>
                <w:rFonts w:cs="Tahoma"/>
                <w:b w:val="0"/>
                <w:color w:val="000000"/>
                <w:sz w:val="13"/>
                <w:szCs w:val="13"/>
                <w:u w:val="single"/>
              </w:rPr>
            </w:pPr>
            <w:hyperlink w:anchor="_70_Learning_Solutions" w:history="1">
              <w:r w:rsidR="009C0A44" w:rsidRPr="008E6264">
                <w:rPr>
                  <w:rStyle w:val="Hyperlink"/>
                  <w:rFonts w:cs="Tahoma"/>
                  <w:b/>
                  <w:sz w:val="13"/>
                  <w:szCs w:val="13"/>
                </w:rPr>
                <w:t>70</w:t>
              </w:r>
            </w:hyperlink>
            <w:hyperlink w:anchor="_69_Learning_Solutions" w:history="1">
              <w:hyperlink w:anchor="_64_62_Learning" w:history="1"/>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01/06</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E6271" w:rsidRPr="000A1C8E" w:rsidTr="00C16156">
        <w:trPr>
          <w:trHeight w:val="145"/>
          <w:jc w:val="center"/>
        </w:trPr>
        <w:tc>
          <w:tcPr>
            <w:tcW w:w="2734" w:type="dxa"/>
            <w:gridSpan w:val="2"/>
            <w:tcBorders>
              <w:bottom w:val="single" w:sz="4" w:space="0" w:color="auto"/>
            </w:tcBorders>
            <w:shd w:val="clear" w:color="auto" w:fill="FABF8F"/>
            <w:vAlign w:val="bottom"/>
          </w:tcPr>
          <w:p w:rsidR="00BE6271" w:rsidRPr="000A1C8E" w:rsidRDefault="00BE6271" w:rsidP="00BE6271">
            <w:pPr>
              <w:pStyle w:val="ProductNames"/>
              <w:rPr>
                <w:rFonts w:ascii="Tahoma" w:hAnsi="Tahoma" w:cs="Tahoma"/>
                <w:sz w:val="14"/>
              </w:rPr>
            </w:pPr>
            <w:bookmarkStart w:id="270" w:name="_Toc361829094"/>
            <w:r w:rsidRPr="000A1C8E">
              <w:rPr>
                <w:rFonts w:ascii="Tahoma" w:hAnsi="Tahoma" w:cs="Tahoma"/>
                <w:sz w:val="14"/>
              </w:rPr>
              <w:t>30 Cupons de Exame do Learning Solutions MCP (SL de Usuário)</w:t>
            </w:r>
            <w:bookmarkEnd w:id="270"/>
          </w:p>
        </w:tc>
        <w:tc>
          <w:tcPr>
            <w:tcW w:w="450" w:type="dxa"/>
            <w:tcBorders>
              <w:bottom w:val="single" w:sz="4" w:space="0" w:color="auto"/>
            </w:tcBorders>
            <w:shd w:val="clear" w:color="auto" w:fill="FABF8F"/>
            <w:vAlign w:val="center"/>
          </w:tcPr>
          <w:p w:rsidR="00BE6271" w:rsidRPr="00DC1AC3" w:rsidRDefault="00BE6271" w:rsidP="001A63C6">
            <w:pPr>
              <w:pStyle w:val="TableText"/>
              <w:widowControl w:val="0"/>
              <w:rPr>
                <w:rFonts w:cs="Tahoma"/>
                <w:b/>
                <w:sz w:val="13"/>
                <w:szCs w:val="13"/>
              </w:rPr>
            </w:pPr>
          </w:p>
        </w:tc>
        <w:tc>
          <w:tcPr>
            <w:tcW w:w="433" w:type="dxa"/>
            <w:tcBorders>
              <w:bottom w:val="single" w:sz="4" w:space="0" w:color="auto"/>
            </w:tcBorders>
            <w:shd w:val="clear" w:color="auto" w:fill="FABF8F"/>
            <w:vAlign w:val="center"/>
          </w:tcPr>
          <w:p w:rsidR="00BE6271" w:rsidRPr="000A1C8E" w:rsidRDefault="00BE6271" w:rsidP="00BF08CC">
            <w:pPr>
              <w:pStyle w:val="TableText"/>
              <w:widowControl w:val="0"/>
              <w:rPr>
                <w:rFonts w:ascii="Tahoma" w:hAnsi="Tahoma" w:cs="Tahoma"/>
                <w:sz w:val="13"/>
              </w:rPr>
            </w:pPr>
            <w:r w:rsidRPr="000A1C8E">
              <w:rPr>
                <w:rFonts w:ascii="Tahoma" w:hAnsi="Tahoma" w:cs="Tahoma"/>
                <w:sz w:val="13"/>
              </w:rPr>
              <w:t>10/12</w:t>
            </w:r>
          </w:p>
        </w:tc>
        <w:tc>
          <w:tcPr>
            <w:tcW w:w="377" w:type="dxa"/>
            <w:tcBorders>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r w:rsidRPr="000A1C8E">
              <w:rPr>
                <w:rFonts w:ascii="Tahoma" w:hAnsi="Tahoma" w:cs="Tahoma"/>
                <w:sz w:val="13"/>
              </w:rPr>
              <w:t>75 ponto</w:t>
            </w:r>
          </w:p>
        </w:tc>
        <w:tc>
          <w:tcPr>
            <w:tcW w:w="450" w:type="dxa"/>
            <w:tcBorders>
              <w:left w:val="single" w:sz="18" w:space="0" w:color="auto"/>
              <w:bottom w:val="single" w:sz="4"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r w:rsidRPr="000A1C8E">
              <w:rPr>
                <w:rFonts w:ascii="Tahoma" w:hAnsi="Tahoma" w:cs="Tahoma"/>
                <w:sz w:val="13"/>
              </w:rPr>
              <w:t>75</w:t>
            </w:r>
          </w:p>
        </w:tc>
        <w:tc>
          <w:tcPr>
            <w:tcW w:w="396" w:type="dxa"/>
            <w:tcBorders>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BE6271" w:rsidRPr="000A1C8E" w:rsidRDefault="00BE6271"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r>
      <w:tr w:rsidR="00BE6271" w:rsidRPr="000A1C8E" w:rsidTr="00C16156">
        <w:trPr>
          <w:trHeight w:val="145"/>
          <w:jc w:val="center"/>
        </w:trPr>
        <w:tc>
          <w:tcPr>
            <w:tcW w:w="2734" w:type="dxa"/>
            <w:gridSpan w:val="2"/>
            <w:tcBorders>
              <w:bottom w:val="single" w:sz="4" w:space="0" w:color="auto"/>
            </w:tcBorders>
            <w:shd w:val="clear" w:color="auto" w:fill="auto"/>
            <w:vAlign w:val="bottom"/>
          </w:tcPr>
          <w:p w:rsidR="00BE6271" w:rsidRPr="000A1C8E" w:rsidRDefault="00BE6271" w:rsidP="001A63C6">
            <w:pPr>
              <w:pStyle w:val="ProductNames"/>
              <w:rPr>
                <w:rFonts w:ascii="Tahoma" w:hAnsi="Tahoma" w:cs="Tahoma"/>
                <w:sz w:val="14"/>
              </w:rPr>
            </w:pPr>
            <w:bookmarkStart w:id="271" w:name="_Toc361829095"/>
            <w:r w:rsidRPr="000A1C8E">
              <w:rPr>
                <w:rFonts w:ascii="Tahoma" w:hAnsi="Tahoma" w:cs="Tahoma"/>
                <w:sz w:val="14"/>
              </w:rPr>
              <w:t>Licença do Site de Exame do Learning Solutions MOS 500 (SL de Serviços)</w:t>
            </w:r>
            <w:bookmarkEnd w:id="271"/>
          </w:p>
        </w:tc>
        <w:tc>
          <w:tcPr>
            <w:tcW w:w="450" w:type="dxa"/>
            <w:tcBorders>
              <w:bottom w:val="single" w:sz="4" w:space="0" w:color="auto"/>
            </w:tcBorders>
            <w:shd w:val="clear" w:color="auto" w:fill="auto"/>
            <w:vAlign w:val="center"/>
          </w:tcPr>
          <w:p w:rsidR="00BE6271" w:rsidRPr="00DC1AC3" w:rsidRDefault="00BE6271" w:rsidP="001A63C6">
            <w:pPr>
              <w:pStyle w:val="TableText"/>
              <w:widowControl w:val="0"/>
              <w:rPr>
                <w:rFonts w:cs="Tahoma"/>
                <w:b/>
                <w:sz w:val="13"/>
                <w:szCs w:val="13"/>
              </w:rPr>
            </w:pPr>
          </w:p>
        </w:tc>
        <w:tc>
          <w:tcPr>
            <w:tcW w:w="433" w:type="dxa"/>
            <w:tcBorders>
              <w:bottom w:val="single" w:sz="4" w:space="0" w:color="auto"/>
            </w:tcBorders>
            <w:shd w:val="clear" w:color="auto" w:fill="auto"/>
            <w:vAlign w:val="center"/>
          </w:tcPr>
          <w:p w:rsidR="00BE6271" w:rsidRPr="000A1C8E" w:rsidRDefault="00BE6271"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r w:rsidRPr="000A1C8E">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r w:rsidRPr="000A1C8E">
              <w:rPr>
                <w:rFonts w:ascii="Tahoma" w:hAnsi="Tahoma" w:cs="Tahoma"/>
                <w:sz w:val="13"/>
              </w:rPr>
              <w:t>125</w:t>
            </w:r>
          </w:p>
        </w:tc>
        <w:tc>
          <w:tcPr>
            <w:tcW w:w="396" w:type="dxa"/>
            <w:tcBorders>
              <w:bottom w:val="single" w:sz="4" w:space="0" w:color="auto"/>
              <w:right w:val="single" w:sz="18"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BE6271" w:rsidRPr="000A1C8E" w:rsidRDefault="00BE6271"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BE6271" w:rsidRPr="000A1C8E" w:rsidRDefault="00BE6271" w:rsidP="001A63C6">
            <w:pPr>
              <w:pStyle w:val="TableText"/>
              <w:widowControl w:val="0"/>
              <w:rPr>
                <w:rFonts w:ascii="Tahoma" w:hAnsi="Tahoma" w:cs="Tahoma"/>
                <w:sz w:val="13"/>
              </w:rPr>
            </w:pPr>
          </w:p>
        </w:tc>
      </w:tr>
      <w:tr w:rsidR="00BE6271" w:rsidRPr="000A1C8E" w:rsidTr="00C16156">
        <w:trPr>
          <w:trHeight w:val="145"/>
          <w:jc w:val="center"/>
        </w:trPr>
        <w:tc>
          <w:tcPr>
            <w:tcW w:w="2734" w:type="dxa"/>
            <w:gridSpan w:val="2"/>
            <w:tcBorders>
              <w:bottom w:val="single" w:sz="4" w:space="0" w:color="auto"/>
            </w:tcBorders>
            <w:shd w:val="clear" w:color="auto" w:fill="FABF8F"/>
            <w:vAlign w:val="bottom"/>
          </w:tcPr>
          <w:p w:rsidR="00BE6271" w:rsidRPr="000A1C8E" w:rsidRDefault="00BE6271" w:rsidP="001A63C6">
            <w:pPr>
              <w:pStyle w:val="ProductNames"/>
              <w:rPr>
                <w:rFonts w:ascii="Tahoma" w:hAnsi="Tahoma" w:cs="Tahoma"/>
                <w:sz w:val="14"/>
              </w:rPr>
            </w:pPr>
            <w:bookmarkStart w:id="272" w:name="_Toc361829096"/>
            <w:r w:rsidRPr="000A1C8E">
              <w:rPr>
                <w:rFonts w:ascii="Tahoma" w:hAnsi="Tahoma" w:cs="Tahoma"/>
                <w:sz w:val="14"/>
              </w:rPr>
              <w:t>Licença do Site de Exame do Learning Solutions MTA 250 (SL de Serviços)</w:t>
            </w:r>
            <w:bookmarkEnd w:id="272"/>
          </w:p>
        </w:tc>
        <w:tc>
          <w:tcPr>
            <w:tcW w:w="450" w:type="dxa"/>
            <w:tcBorders>
              <w:bottom w:val="single" w:sz="4" w:space="0" w:color="auto"/>
            </w:tcBorders>
            <w:shd w:val="clear" w:color="auto" w:fill="FABF8F"/>
            <w:vAlign w:val="center"/>
          </w:tcPr>
          <w:p w:rsidR="00BE6271" w:rsidRPr="00DC1AC3" w:rsidRDefault="00BE6271" w:rsidP="001A63C6">
            <w:pPr>
              <w:pStyle w:val="TableText"/>
              <w:widowControl w:val="0"/>
              <w:rPr>
                <w:rFonts w:cs="Tahoma"/>
                <w:b/>
                <w:sz w:val="13"/>
                <w:szCs w:val="13"/>
              </w:rPr>
            </w:pPr>
          </w:p>
        </w:tc>
        <w:tc>
          <w:tcPr>
            <w:tcW w:w="433" w:type="dxa"/>
            <w:tcBorders>
              <w:bottom w:val="single" w:sz="4" w:space="0" w:color="auto"/>
            </w:tcBorders>
            <w:shd w:val="clear" w:color="auto" w:fill="FABF8F"/>
            <w:vAlign w:val="center"/>
          </w:tcPr>
          <w:p w:rsidR="00BE6271" w:rsidRPr="000A1C8E" w:rsidRDefault="00BE6271"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r w:rsidRPr="000A1C8E">
              <w:rPr>
                <w:rFonts w:ascii="Tahoma" w:hAnsi="Tahoma" w:cs="Tahoma"/>
                <w:sz w:val="13"/>
              </w:rPr>
              <w:t>125 ponto</w:t>
            </w:r>
          </w:p>
        </w:tc>
        <w:tc>
          <w:tcPr>
            <w:tcW w:w="450" w:type="dxa"/>
            <w:tcBorders>
              <w:left w:val="single" w:sz="18" w:space="0" w:color="auto"/>
              <w:bottom w:val="single" w:sz="4"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r w:rsidRPr="000A1C8E">
              <w:rPr>
                <w:rFonts w:ascii="Tahoma" w:hAnsi="Tahoma" w:cs="Tahoma"/>
                <w:sz w:val="13"/>
              </w:rPr>
              <w:t>125</w:t>
            </w:r>
          </w:p>
        </w:tc>
        <w:tc>
          <w:tcPr>
            <w:tcW w:w="396" w:type="dxa"/>
            <w:tcBorders>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BE6271" w:rsidRPr="000A1C8E" w:rsidRDefault="00BE6271"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BE6271" w:rsidRPr="000A1C8E" w:rsidRDefault="00BE6271" w:rsidP="001A63C6">
            <w:pPr>
              <w:pStyle w:val="TableText"/>
              <w:widowControl w:val="0"/>
              <w:rPr>
                <w:rFonts w:ascii="Tahoma" w:hAnsi="Tahoma" w:cs="Tahoma"/>
                <w:sz w:val="13"/>
              </w:rPr>
            </w:pPr>
          </w:p>
        </w:tc>
      </w:tr>
      <w:tr w:rsidR="009C7B23" w:rsidRPr="000A1C8E" w:rsidTr="00C16156">
        <w:trPr>
          <w:trHeight w:val="145"/>
          <w:jc w:val="center"/>
        </w:trPr>
        <w:tc>
          <w:tcPr>
            <w:tcW w:w="2734" w:type="dxa"/>
            <w:gridSpan w:val="2"/>
            <w:tcBorders>
              <w:bottom w:val="single" w:sz="4" w:space="0" w:color="auto"/>
            </w:tcBorders>
            <w:shd w:val="clear" w:color="auto" w:fill="auto"/>
            <w:vAlign w:val="center"/>
          </w:tcPr>
          <w:p w:rsidR="009C7B23" w:rsidRPr="000A1C8E" w:rsidRDefault="009C7B23" w:rsidP="00805E66">
            <w:pPr>
              <w:pStyle w:val="Heading2"/>
              <w:ind w:left="0"/>
              <w:rPr>
                <w:rFonts w:ascii="Tahoma" w:hAnsi="Tahoma" w:cs="Tahoma"/>
                <w:b w:val="0"/>
                <w:sz w:val="14"/>
                <w:szCs w:val="16"/>
              </w:rPr>
            </w:pPr>
            <w:bookmarkStart w:id="273" w:name="_Toc361829097"/>
            <w:r w:rsidRPr="000A1C8E">
              <w:rPr>
                <w:rFonts w:ascii="Tahoma" w:hAnsi="Tahoma" w:cs="Tahoma"/>
                <w:b w:val="0"/>
                <w:sz w:val="14"/>
                <w:szCs w:val="16"/>
              </w:rPr>
              <w:t>Complemento do Lync Online Plano 1 (SL</w:t>
            </w:r>
            <w:r w:rsidR="00805E66" w:rsidRPr="000A1C8E">
              <w:rPr>
                <w:rFonts w:ascii="Tahoma" w:hAnsi="Tahoma" w:cs="Tahoma"/>
                <w:b w:val="0"/>
                <w:sz w:val="14"/>
                <w:szCs w:val="16"/>
              </w:rPr>
              <w:t> </w:t>
            </w:r>
            <w:r w:rsidRPr="000A1C8E">
              <w:rPr>
                <w:rFonts w:ascii="Tahoma" w:hAnsi="Tahoma" w:cs="Tahoma"/>
                <w:b w:val="0"/>
                <w:sz w:val="14"/>
                <w:szCs w:val="16"/>
              </w:rPr>
              <w:t>de Usuário)</w:t>
            </w:r>
            <w:bookmarkEnd w:id="273"/>
          </w:p>
        </w:tc>
        <w:tc>
          <w:tcPr>
            <w:tcW w:w="450" w:type="dxa"/>
            <w:tcBorders>
              <w:bottom w:val="single" w:sz="4" w:space="0" w:color="auto"/>
            </w:tcBorders>
            <w:shd w:val="clear" w:color="auto" w:fill="auto"/>
            <w:vAlign w:val="center"/>
          </w:tcPr>
          <w:p w:rsidR="009C7B23" w:rsidRPr="00DC1AC3" w:rsidRDefault="006C57E7" w:rsidP="006723FB">
            <w:pPr>
              <w:pStyle w:val="TableText"/>
              <w:widowControl w:val="0"/>
              <w:rPr>
                <w:rFonts w:cs="Tahoma"/>
                <w:b/>
                <w:sz w:val="13"/>
                <w:szCs w:val="13"/>
              </w:rPr>
            </w:pPr>
            <w:hyperlink w:anchor="_7_Add-on_User" w:history="1">
              <w:r w:rsidR="003D47E7" w:rsidRPr="00DC1AC3">
                <w:rPr>
                  <w:rStyle w:val="Hyperlink"/>
                  <w:rFonts w:cs="Tahoma"/>
                  <w:b/>
                  <w:sz w:val="13"/>
                  <w:szCs w:val="13"/>
                </w:rPr>
                <w:t>7</w:t>
              </w:r>
            </w:hyperlink>
          </w:p>
        </w:tc>
        <w:tc>
          <w:tcPr>
            <w:tcW w:w="433" w:type="dxa"/>
            <w:tcBorders>
              <w:bottom w:val="single" w:sz="4" w:space="0" w:color="auto"/>
            </w:tcBorders>
            <w:shd w:val="clear" w:color="auto" w:fill="auto"/>
            <w:vAlign w:val="center"/>
          </w:tcPr>
          <w:p w:rsidR="009C7B23" w:rsidRPr="000A1C8E" w:rsidRDefault="009C7B23" w:rsidP="00BF08CC">
            <w:pPr>
              <w:pStyle w:val="TableText"/>
              <w:widowControl w:val="0"/>
              <w:rPr>
                <w:rFonts w:ascii="Tahoma" w:hAnsi="Tahoma" w:cs="Tahoma"/>
                <w:color w:val="000000"/>
                <w:sz w:val="13"/>
              </w:rPr>
            </w:pPr>
            <w:r w:rsidRPr="000A1C8E">
              <w:rPr>
                <w:rFonts w:ascii="Tahoma" w:hAnsi="Tahoma" w:cs="Tahoma"/>
                <w:color w:val="000000"/>
                <w:sz w:val="13"/>
              </w:rPr>
              <w:t>08/13</w:t>
            </w:r>
          </w:p>
        </w:tc>
        <w:tc>
          <w:tcPr>
            <w:tcW w:w="377" w:type="dxa"/>
            <w:tcBorders>
              <w:bottom w:val="single" w:sz="4" w:space="0" w:color="auto"/>
              <w:right w:val="single" w:sz="18"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9C7B23" w:rsidRPr="000A1C8E" w:rsidRDefault="009C7B23"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C7B23" w:rsidRPr="000A1C8E" w:rsidRDefault="009C7B23"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6"/>
              </w:rPr>
            </w:pPr>
            <w:bookmarkStart w:id="274" w:name="_Toc336337995"/>
            <w:bookmarkStart w:id="275" w:name="_Toc361829098"/>
            <w:r w:rsidRPr="000A1C8E">
              <w:rPr>
                <w:rFonts w:ascii="Tahoma" w:hAnsi="Tahoma" w:cs="Tahoma"/>
                <w:b w:val="0"/>
                <w:sz w:val="14"/>
                <w:szCs w:val="16"/>
              </w:rPr>
              <w:t>Lync Online Plano 1 (SL de Usuário)</w:t>
            </w:r>
            <w:bookmarkEnd w:id="274"/>
            <w:bookmarkEnd w:id="275"/>
          </w:p>
        </w:tc>
        <w:tc>
          <w:tcPr>
            <w:tcW w:w="450" w:type="dxa"/>
            <w:tcBorders>
              <w:bottom w:val="single" w:sz="4" w:space="0" w:color="auto"/>
            </w:tcBorders>
            <w:shd w:val="clear" w:color="auto" w:fill="FABF8F"/>
            <w:vAlign w:val="center"/>
          </w:tcPr>
          <w:p w:rsidR="001A63C6" w:rsidRPr="00DC1AC3" w:rsidRDefault="006C57E7" w:rsidP="006723FB">
            <w:pPr>
              <w:pStyle w:val="TableText"/>
              <w:widowControl w:val="0"/>
              <w:rPr>
                <w:rFonts w:cs="Tahoma"/>
                <w:b/>
                <w:color w:val="0000FF"/>
                <w:sz w:val="13"/>
                <w:szCs w:val="13"/>
                <w:u w:val="single"/>
              </w:rPr>
            </w:pPr>
            <w:hyperlink w:anchor="_71_Lync_Online" w:history="1">
              <w:r w:rsidR="003D47E7" w:rsidRPr="00DC1AC3">
                <w:rPr>
                  <w:rStyle w:val="Hyperlink"/>
                  <w:rFonts w:cs="Tahoma"/>
                  <w:b/>
                  <w:sz w:val="13"/>
                  <w:szCs w:val="13"/>
                </w:rPr>
                <w:t>71</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6"/>
              </w:rPr>
            </w:pPr>
            <w:bookmarkStart w:id="276" w:name="_Toc336337996"/>
            <w:bookmarkStart w:id="277" w:name="_Toc361829099"/>
            <w:r w:rsidRPr="000A1C8E">
              <w:rPr>
                <w:rFonts w:ascii="Tahoma" w:hAnsi="Tahoma" w:cs="Tahoma"/>
                <w:b w:val="0"/>
                <w:sz w:val="14"/>
                <w:szCs w:val="16"/>
              </w:rPr>
              <w:t>Lync Online Plano 2 (SL de Usuário)</w:t>
            </w:r>
            <w:bookmarkEnd w:id="276"/>
            <w:bookmarkEnd w:id="277"/>
          </w:p>
        </w:tc>
        <w:tc>
          <w:tcPr>
            <w:tcW w:w="450" w:type="dxa"/>
            <w:tcBorders>
              <w:bottom w:val="single" w:sz="4" w:space="0" w:color="auto"/>
            </w:tcBorders>
            <w:shd w:val="clear" w:color="auto" w:fill="auto"/>
            <w:vAlign w:val="center"/>
          </w:tcPr>
          <w:p w:rsidR="001A63C6" w:rsidRPr="00DC1AC3" w:rsidRDefault="006C57E7" w:rsidP="006723FB">
            <w:pPr>
              <w:pStyle w:val="TableText"/>
              <w:widowControl w:val="0"/>
              <w:rPr>
                <w:rFonts w:cs="Tahoma"/>
                <w:b/>
                <w:color w:val="0000FF"/>
                <w:sz w:val="13"/>
                <w:szCs w:val="13"/>
                <w:u w:val="single"/>
              </w:rPr>
            </w:pPr>
            <w:hyperlink w:anchor="_71_Lync_Online" w:history="1">
              <w:r w:rsidR="008E6264" w:rsidRPr="00DC1AC3">
                <w:rPr>
                  <w:rStyle w:val="Hyperlink"/>
                  <w:rFonts w:cs="Tahoma"/>
                  <w:b/>
                  <w:sz w:val="13"/>
                  <w:szCs w:val="13"/>
                </w:rPr>
                <w:t>71</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6"/>
              </w:rPr>
            </w:pPr>
            <w:bookmarkStart w:id="278" w:name="_Toc336337997"/>
            <w:bookmarkStart w:id="279" w:name="_Toc361829100"/>
            <w:r w:rsidRPr="000A1C8E">
              <w:rPr>
                <w:rFonts w:ascii="Tahoma" w:hAnsi="Tahoma" w:cs="Tahoma"/>
                <w:b w:val="0"/>
                <w:sz w:val="14"/>
                <w:szCs w:val="16"/>
              </w:rPr>
              <w:t>Lync Online Plano 3 (SL de Usuário)</w:t>
            </w:r>
            <w:bookmarkEnd w:id="278"/>
            <w:bookmarkEnd w:id="279"/>
          </w:p>
        </w:tc>
        <w:tc>
          <w:tcPr>
            <w:tcW w:w="450" w:type="dxa"/>
            <w:tcBorders>
              <w:bottom w:val="single" w:sz="4" w:space="0" w:color="auto"/>
            </w:tcBorders>
            <w:shd w:val="clear" w:color="auto" w:fill="FABF8F"/>
            <w:vAlign w:val="center"/>
          </w:tcPr>
          <w:p w:rsidR="001A63C6" w:rsidRPr="00DC1AC3" w:rsidRDefault="006C57E7" w:rsidP="006723FB">
            <w:pPr>
              <w:pStyle w:val="TableText"/>
              <w:widowControl w:val="0"/>
              <w:rPr>
                <w:rFonts w:cs="Tahoma"/>
                <w:b/>
                <w:color w:val="0000FF"/>
                <w:sz w:val="13"/>
                <w:szCs w:val="13"/>
                <w:u w:val="single"/>
              </w:rPr>
            </w:pPr>
            <w:hyperlink w:anchor="_71_Lync_Online" w:history="1">
              <w:r w:rsidR="008E6264" w:rsidRPr="00DC1AC3">
                <w:rPr>
                  <w:rStyle w:val="Hyperlink"/>
                  <w:rFonts w:cs="Tahoma"/>
                  <w:b/>
                  <w:sz w:val="13"/>
                  <w:szCs w:val="13"/>
                </w:rPr>
                <w:t>71</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07/12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6"/>
              </w:rPr>
            </w:pPr>
            <w:bookmarkStart w:id="280" w:name="_Toc336337998"/>
            <w:bookmarkStart w:id="281" w:name="_Toc361829101"/>
            <w:r w:rsidRPr="000A1C8E">
              <w:rPr>
                <w:rFonts w:ascii="Tahoma" w:hAnsi="Tahoma" w:cs="Tahoma"/>
                <w:b w:val="0"/>
                <w:sz w:val="14"/>
                <w:szCs w:val="16"/>
              </w:rPr>
              <w:t>Lync Online Plano 3A (SL de Usuário)</w:t>
            </w:r>
            <w:bookmarkEnd w:id="280"/>
            <w:bookmarkEnd w:id="281"/>
          </w:p>
        </w:tc>
        <w:tc>
          <w:tcPr>
            <w:tcW w:w="450" w:type="dxa"/>
            <w:tcBorders>
              <w:bottom w:val="single" w:sz="4" w:space="0" w:color="auto"/>
            </w:tcBorders>
            <w:shd w:val="clear" w:color="auto" w:fill="auto"/>
            <w:vAlign w:val="center"/>
          </w:tcPr>
          <w:p w:rsidR="001A63C6" w:rsidRPr="00DC1AC3" w:rsidRDefault="006C57E7" w:rsidP="006723FB">
            <w:pPr>
              <w:pStyle w:val="TableText"/>
              <w:widowControl w:val="0"/>
              <w:rPr>
                <w:rFonts w:cs="Tahoma"/>
                <w:b/>
                <w:color w:val="0000FF"/>
                <w:sz w:val="13"/>
                <w:szCs w:val="13"/>
                <w:u w:val="single"/>
              </w:rPr>
            </w:pPr>
            <w:hyperlink w:anchor="_71_Lync_Online" w:history="1">
              <w:r w:rsidR="008E6264" w:rsidRPr="00DC1AC3">
                <w:rPr>
                  <w:rStyle w:val="Hyperlink"/>
                  <w:rFonts w:cs="Tahoma"/>
                  <w:b/>
                  <w:sz w:val="13"/>
                  <w:szCs w:val="13"/>
                </w:rPr>
                <w:t>71</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07/12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ST (Somente EES)</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6"/>
              </w:rPr>
            </w:pPr>
            <w:bookmarkStart w:id="282" w:name="_Toc336337999"/>
            <w:bookmarkStart w:id="283" w:name="_Toc361829102"/>
            <w:r w:rsidRPr="000A1C8E">
              <w:rPr>
                <w:rFonts w:ascii="Tahoma" w:hAnsi="Tahoma" w:cs="Tahoma"/>
                <w:b w:val="0"/>
                <w:sz w:val="14"/>
                <w:szCs w:val="16"/>
              </w:rPr>
              <w:t xml:space="preserve">Lync Server </w:t>
            </w:r>
            <w:bookmarkEnd w:id="282"/>
            <w:r w:rsidRPr="000A1C8E">
              <w:rPr>
                <w:rFonts w:ascii="Tahoma" w:hAnsi="Tahoma" w:cs="Tahoma"/>
                <w:b w:val="0"/>
                <w:sz w:val="14"/>
                <w:szCs w:val="16"/>
              </w:rPr>
              <w:t>2013</w:t>
            </w:r>
            <w:bookmarkEnd w:id="283"/>
          </w:p>
        </w:tc>
        <w:tc>
          <w:tcPr>
            <w:tcW w:w="450" w:type="dxa"/>
            <w:tcBorders>
              <w:bottom w:val="single" w:sz="4" w:space="0" w:color="auto"/>
            </w:tcBorders>
            <w:shd w:val="clear" w:color="auto" w:fill="FABF8F"/>
            <w:vAlign w:val="center"/>
          </w:tcPr>
          <w:p w:rsidR="001A63C6" w:rsidRPr="00DC1AC3" w:rsidRDefault="006C57E7" w:rsidP="006723FB">
            <w:pPr>
              <w:pStyle w:val="TableText"/>
              <w:widowControl w:val="0"/>
              <w:rPr>
                <w:rFonts w:cs="Tahoma"/>
                <w:b/>
                <w:color w:val="0000FF"/>
                <w:sz w:val="13"/>
                <w:szCs w:val="13"/>
                <w:u w:val="single"/>
              </w:rPr>
            </w:pPr>
            <w:hyperlink w:anchor="_72_Lync_Server" w:history="1">
              <w:r w:rsidR="003D47E7" w:rsidRPr="00DC1AC3">
                <w:rPr>
                  <w:rStyle w:val="Hyperlink"/>
                  <w:rFonts w:cs="Tahoma"/>
                  <w:b/>
                  <w:sz w:val="13"/>
                  <w:szCs w:val="13"/>
                </w:rPr>
                <w:t>72</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10/12</w:t>
            </w:r>
          </w:p>
        </w:tc>
        <w:tc>
          <w:tcPr>
            <w:tcW w:w="377" w:type="dxa"/>
            <w:tcBorders>
              <w:bottom w:val="single" w:sz="4" w:space="0" w:color="auto"/>
              <w:right w:val="single" w:sz="18" w:space="0" w:color="auto"/>
            </w:tcBorders>
            <w:shd w:val="clear" w:color="auto" w:fill="FABF8F"/>
            <w:vAlign w:val="center"/>
          </w:tcPr>
          <w:p w:rsidR="001A63C6" w:rsidRPr="000A1C8E" w:rsidRDefault="00D050E2"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Del="006A2F66" w:rsidRDefault="001A63C6" w:rsidP="001A63C6">
            <w:pPr>
              <w:pStyle w:val="Heading2"/>
              <w:ind w:left="0"/>
              <w:rPr>
                <w:rFonts w:ascii="Tahoma" w:hAnsi="Tahoma" w:cs="Tahoma"/>
                <w:b w:val="0"/>
                <w:sz w:val="14"/>
                <w:szCs w:val="16"/>
              </w:rPr>
            </w:pPr>
            <w:bookmarkStart w:id="284" w:name="_Toc336338000"/>
            <w:bookmarkStart w:id="285" w:name="_Toc361829103"/>
            <w:r w:rsidRPr="000A1C8E">
              <w:rPr>
                <w:rFonts w:ascii="Tahoma" w:hAnsi="Tahoma" w:cs="Tahoma"/>
                <w:b w:val="0"/>
                <w:sz w:val="14"/>
                <w:szCs w:val="16"/>
              </w:rPr>
              <w:t>CAL Empresarial do Lync Server</w:t>
            </w:r>
            <w:bookmarkEnd w:id="284"/>
            <w:r w:rsidRPr="000A1C8E">
              <w:rPr>
                <w:rFonts w:ascii="Tahoma" w:hAnsi="Tahoma" w:cs="Tahoma"/>
                <w:b w:val="0"/>
                <w:sz w:val="14"/>
                <w:szCs w:val="16"/>
              </w:rPr>
              <w:t xml:space="preserve"> 2013</w:t>
            </w:r>
            <w:bookmarkEnd w:id="285"/>
          </w:p>
        </w:tc>
        <w:tc>
          <w:tcPr>
            <w:tcW w:w="450" w:type="dxa"/>
            <w:tcBorders>
              <w:bottom w:val="single" w:sz="4" w:space="0" w:color="auto"/>
            </w:tcBorders>
            <w:shd w:val="clear" w:color="auto" w:fill="auto"/>
            <w:vAlign w:val="center"/>
          </w:tcPr>
          <w:p w:rsidR="001A63C6" w:rsidRPr="00DC1AC3" w:rsidDel="006A2F66" w:rsidRDefault="001A63C6" w:rsidP="001A63C6">
            <w:pPr>
              <w:pStyle w:val="TableText"/>
              <w:widowControl w:val="0"/>
              <w:rPr>
                <w:rFonts w:cs="Tahoma"/>
                <w:b/>
                <w:color w:val="0000FF"/>
                <w:sz w:val="13"/>
                <w:szCs w:val="13"/>
                <w:u w:val="single"/>
              </w:rPr>
            </w:pPr>
          </w:p>
        </w:tc>
        <w:tc>
          <w:tcPr>
            <w:tcW w:w="433" w:type="dxa"/>
            <w:tcBorders>
              <w:bottom w:val="single" w:sz="4" w:space="0" w:color="auto"/>
            </w:tcBorders>
            <w:shd w:val="clear" w:color="auto" w:fill="auto"/>
            <w:vAlign w:val="center"/>
          </w:tcPr>
          <w:p w:rsidR="001A63C6" w:rsidRPr="000A1C8E" w:rsidDel="006A2F66" w:rsidRDefault="001A63C6" w:rsidP="00BF08CC">
            <w:pPr>
              <w:pStyle w:val="TableText"/>
              <w:widowControl w:val="0"/>
              <w:rPr>
                <w:rFonts w:ascii="Tahoma" w:hAnsi="Tahoma" w:cs="Tahoma"/>
                <w:color w:val="000000"/>
                <w:sz w:val="13"/>
              </w:rPr>
            </w:pPr>
            <w:r w:rsidRPr="000A1C8E">
              <w:rPr>
                <w:rFonts w:ascii="Tahoma" w:hAnsi="Tahoma" w:cs="Tahoma"/>
                <w:color w:val="000000"/>
                <w:sz w:val="13"/>
              </w:rPr>
              <w:t>10/12</w:t>
            </w:r>
          </w:p>
        </w:tc>
        <w:tc>
          <w:tcPr>
            <w:tcW w:w="377" w:type="dxa"/>
            <w:tcBorders>
              <w:bottom w:val="single" w:sz="4" w:space="0" w:color="auto"/>
              <w:right w:val="single" w:sz="18" w:space="0" w:color="auto"/>
            </w:tcBorders>
            <w:shd w:val="clear" w:color="auto" w:fill="auto"/>
            <w:vAlign w:val="center"/>
          </w:tcPr>
          <w:p w:rsidR="001A63C6" w:rsidRPr="000A1C8E" w:rsidDel="006A2F66" w:rsidRDefault="00D050E2"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Del="006A2F66" w:rsidRDefault="001A63C6" w:rsidP="001A63C6">
            <w:pPr>
              <w:pStyle w:val="TableText"/>
              <w:widowControl w:val="0"/>
              <w:spacing w:before="12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Del="006A2F66" w:rsidRDefault="001A63C6" w:rsidP="001A63C6">
            <w:pPr>
              <w:pStyle w:val="Heading2"/>
              <w:ind w:left="0"/>
              <w:rPr>
                <w:rFonts w:ascii="Tahoma" w:hAnsi="Tahoma" w:cs="Tahoma"/>
                <w:b w:val="0"/>
                <w:sz w:val="14"/>
                <w:szCs w:val="16"/>
              </w:rPr>
            </w:pPr>
            <w:bookmarkStart w:id="286" w:name="_Toc336338002"/>
            <w:bookmarkStart w:id="287" w:name="_Toc361829104"/>
            <w:r w:rsidRPr="000A1C8E">
              <w:rPr>
                <w:rFonts w:ascii="Tahoma" w:hAnsi="Tahoma" w:cs="Tahoma"/>
                <w:b w:val="0"/>
                <w:sz w:val="14"/>
                <w:szCs w:val="16"/>
              </w:rPr>
              <w:t>CAL do Lync Server Plus</w:t>
            </w:r>
            <w:bookmarkEnd w:id="286"/>
            <w:r w:rsidRPr="000A1C8E">
              <w:rPr>
                <w:rFonts w:ascii="Tahoma" w:hAnsi="Tahoma" w:cs="Tahoma"/>
                <w:b w:val="0"/>
                <w:sz w:val="14"/>
                <w:szCs w:val="16"/>
              </w:rPr>
              <w:t xml:space="preserve"> 2013</w:t>
            </w:r>
            <w:bookmarkEnd w:id="287"/>
          </w:p>
        </w:tc>
        <w:tc>
          <w:tcPr>
            <w:tcW w:w="450" w:type="dxa"/>
            <w:tcBorders>
              <w:bottom w:val="single" w:sz="4" w:space="0" w:color="auto"/>
            </w:tcBorders>
            <w:shd w:val="clear" w:color="auto" w:fill="FABF8F"/>
            <w:vAlign w:val="center"/>
          </w:tcPr>
          <w:p w:rsidR="001A63C6" w:rsidRPr="00DC1AC3" w:rsidDel="006A2F66" w:rsidRDefault="001A63C6" w:rsidP="001A63C6">
            <w:pPr>
              <w:pStyle w:val="TableText"/>
              <w:widowControl w:val="0"/>
              <w:rPr>
                <w:rFonts w:cs="Tahoma"/>
                <w:b/>
                <w:color w:val="0000FF"/>
                <w:sz w:val="13"/>
                <w:szCs w:val="13"/>
                <w:u w:val="single"/>
              </w:rPr>
            </w:pPr>
            <w:bookmarkStart w:id="288" w:name="_Hlt335908886"/>
          </w:p>
        </w:tc>
        <w:bookmarkEnd w:id="288"/>
        <w:tc>
          <w:tcPr>
            <w:tcW w:w="433" w:type="dxa"/>
            <w:tcBorders>
              <w:bottom w:val="single" w:sz="4" w:space="0" w:color="auto"/>
            </w:tcBorders>
            <w:shd w:val="clear" w:color="auto" w:fill="FABF8F"/>
            <w:vAlign w:val="center"/>
          </w:tcPr>
          <w:p w:rsidR="001A63C6" w:rsidRPr="000A1C8E" w:rsidDel="006A2F66" w:rsidRDefault="001A63C6" w:rsidP="00BF08CC">
            <w:pPr>
              <w:pStyle w:val="TableText"/>
              <w:widowControl w:val="0"/>
              <w:rPr>
                <w:rFonts w:ascii="Tahoma" w:hAnsi="Tahoma" w:cs="Tahoma"/>
                <w:color w:val="000000"/>
                <w:sz w:val="13"/>
              </w:rPr>
            </w:pPr>
            <w:r w:rsidRPr="000A1C8E">
              <w:rPr>
                <w:rFonts w:ascii="Tahoma" w:hAnsi="Tahoma" w:cs="Tahoma"/>
                <w:color w:val="000000"/>
                <w:sz w:val="13"/>
              </w:rPr>
              <w:t>10/12</w:t>
            </w:r>
          </w:p>
        </w:tc>
        <w:tc>
          <w:tcPr>
            <w:tcW w:w="377" w:type="dxa"/>
            <w:tcBorders>
              <w:bottom w:val="single" w:sz="4" w:space="0" w:color="auto"/>
              <w:right w:val="single" w:sz="18" w:space="0" w:color="auto"/>
            </w:tcBorders>
            <w:shd w:val="clear" w:color="auto" w:fill="FABF8F"/>
            <w:vAlign w:val="center"/>
          </w:tcPr>
          <w:p w:rsidR="001A63C6" w:rsidRPr="000A1C8E" w:rsidDel="006A2F66" w:rsidRDefault="00D050E2"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tcPr>
          <w:p w:rsidR="001A63C6" w:rsidRPr="000A1C8E" w:rsidDel="006A2F66" w:rsidRDefault="001A63C6" w:rsidP="001A63C6">
            <w:pPr>
              <w:pStyle w:val="TableText"/>
              <w:widowControl w:val="0"/>
              <w:spacing w:before="12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Del="006A2F66" w:rsidRDefault="001A63C6" w:rsidP="001A63C6">
            <w:pPr>
              <w:pStyle w:val="Heading2"/>
              <w:ind w:left="0"/>
              <w:rPr>
                <w:rFonts w:ascii="Tahoma" w:hAnsi="Tahoma" w:cs="Tahoma"/>
                <w:b w:val="0"/>
                <w:sz w:val="14"/>
                <w:szCs w:val="16"/>
              </w:rPr>
            </w:pPr>
            <w:bookmarkStart w:id="289" w:name="_Toc336338005"/>
            <w:bookmarkStart w:id="290" w:name="_Toc361829105"/>
            <w:r w:rsidRPr="000A1C8E">
              <w:rPr>
                <w:rFonts w:ascii="Tahoma" w:hAnsi="Tahoma" w:cs="Tahoma"/>
                <w:b w:val="0"/>
                <w:sz w:val="14"/>
                <w:szCs w:val="16"/>
              </w:rPr>
              <w:t>CAL Padrão do Lync Server</w:t>
            </w:r>
            <w:bookmarkEnd w:id="289"/>
            <w:r w:rsidRPr="000A1C8E">
              <w:rPr>
                <w:rFonts w:ascii="Tahoma" w:hAnsi="Tahoma" w:cs="Tahoma"/>
                <w:b w:val="0"/>
                <w:sz w:val="14"/>
                <w:szCs w:val="16"/>
              </w:rPr>
              <w:t xml:space="preserve"> 2013</w:t>
            </w:r>
            <w:bookmarkEnd w:id="290"/>
          </w:p>
        </w:tc>
        <w:tc>
          <w:tcPr>
            <w:tcW w:w="450" w:type="dxa"/>
            <w:tcBorders>
              <w:bottom w:val="single" w:sz="4" w:space="0" w:color="auto"/>
            </w:tcBorders>
            <w:shd w:val="clear" w:color="auto" w:fill="auto"/>
            <w:vAlign w:val="center"/>
          </w:tcPr>
          <w:p w:rsidR="001A63C6" w:rsidRPr="00DC1AC3" w:rsidDel="006A2F66" w:rsidRDefault="001A63C6" w:rsidP="001A63C6">
            <w:pPr>
              <w:pStyle w:val="TableText"/>
              <w:widowControl w:val="0"/>
              <w:rPr>
                <w:rFonts w:cs="Tahoma"/>
                <w:b/>
                <w:color w:val="0000FF"/>
                <w:sz w:val="13"/>
                <w:szCs w:val="13"/>
                <w:u w:val="single"/>
              </w:rPr>
            </w:pPr>
          </w:p>
        </w:tc>
        <w:tc>
          <w:tcPr>
            <w:tcW w:w="433" w:type="dxa"/>
            <w:tcBorders>
              <w:bottom w:val="single" w:sz="4" w:space="0" w:color="auto"/>
            </w:tcBorders>
            <w:shd w:val="clear" w:color="auto" w:fill="auto"/>
            <w:vAlign w:val="center"/>
          </w:tcPr>
          <w:p w:rsidR="001A63C6" w:rsidRPr="000A1C8E" w:rsidDel="006A2F66" w:rsidRDefault="001A63C6" w:rsidP="00BF08CC">
            <w:pPr>
              <w:pStyle w:val="TableText"/>
              <w:widowControl w:val="0"/>
              <w:rPr>
                <w:rFonts w:ascii="Tahoma" w:hAnsi="Tahoma" w:cs="Tahoma"/>
                <w:color w:val="000000"/>
                <w:sz w:val="13"/>
              </w:rPr>
            </w:pPr>
            <w:r w:rsidRPr="000A1C8E">
              <w:rPr>
                <w:rFonts w:ascii="Tahoma" w:hAnsi="Tahoma" w:cs="Tahoma"/>
                <w:color w:val="000000"/>
                <w:sz w:val="13"/>
              </w:rPr>
              <w:t>10/12</w:t>
            </w:r>
          </w:p>
        </w:tc>
        <w:tc>
          <w:tcPr>
            <w:tcW w:w="377" w:type="dxa"/>
            <w:tcBorders>
              <w:bottom w:val="single" w:sz="4" w:space="0" w:color="auto"/>
              <w:right w:val="single" w:sz="18" w:space="0" w:color="auto"/>
            </w:tcBorders>
            <w:shd w:val="clear" w:color="auto" w:fill="auto"/>
            <w:vAlign w:val="center"/>
          </w:tcPr>
          <w:p w:rsidR="001A63C6" w:rsidRPr="000A1C8E" w:rsidDel="006A2F66" w:rsidRDefault="00D050E2"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Del="006A2F66"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Del="006A2F66" w:rsidRDefault="001A63C6" w:rsidP="001A63C6">
            <w:pPr>
              <w:pStyle w:val="TableText"/>
              <w:widowControl w:val="0"/>
              <w:spacing w:before="12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70"/>
          <w:jc w:val="center"/>
        </w:trPr>
        <w:tc>
          <w:tcPr>
            <w:tcW w:w="2734" w:type="dxa"/>
            <w:gridSpan w:val="2"/>
            <w:tcBorders>
              <w:bottom w:val="single" w:sz="4" w:space="0" w:color="auto"/>
            </w:tcBorders>
            <w:shd w:val="clear" w:color="auto" w:fill="FABF8F"/>
            <w:vAlign w:val="center"/>
          </w:tcPr>
          <w:p w:rsidR="001A63C6" w:rsidRPr="000A1C8E" w:rsidRDefault="001A63C6">
            <w:pPr>
              <w:pStyle w:val="Heading2"/>
              <w:ind w:left="0"/>
              <w:rPr>
                <w:rFonts w:ascii="Tahoma" w:hAnsi="Tahoma" w:cs="Tahoma"/>
                <w:b w:val="0"/>
                <w:sz w:val="14"/>
                <w:szCs w:val="14"/>
              </w:rPr>
            </w:pPr>
            <w:bookmarkStart w:id="291" w:name="_Toc336338007"/>
            <w:bookmarkStart w:id="292" w:name="_Toc361829106"/>
            <w:r w:rsidRPr="000A1C8E">
              <w:rPr>
                <w:rFonts w:ascii="Tahoma" w:hAnsi="Tahoma" w:cs="Tahoma"/>
                <w:b w:val="0"/>
                <w:sz w:val="14"/>
                <w:szCs w:val="14"/>
              </w:rPr>
              <w:t>CAL Empresarial Aditiva do Microsoft Dynamics AX 2012 R2 (Usuário e Dispositivo)</w:t>
            </w:r>
            <w:bookmarkEnd w:id="291"/>
            <w:bookmarkEnd w:id="292"/>
          </w:p>
        </w:tc>
        <w:tc>
          <w:tcPr>
            <w:tcW w:w="450" w:type="dxa"/>
            <w:tcBorders>
              <w:bottom w:val="single" w:sz="4" w:space="0" w:color="auto"/>
            </w:tcBorders>
            <w:shd w:val="clear" w:color="auto" w:fill="FABF8F"/>
            <w:vAlign w:val="center"/>
          </w:tcPr>
          <w:p w:rsidR="001A63C6" w:rsidRPr="00DC1AC3" w:rsidRDefault="006C57E7" w:rsidP="006723FB">
            <w:pPr>
              <w:pStyle w:val="TableText"/>
              <w:widowControl w:val="0"/>
              <w:rPr>
                <w:rFonts w:cs="Tahoma"/>
                <w:b/>
                <w:color w:val="0000FF"/>
                <w:sz w:val="13"/>
                <w:szCs w:val="13"/>
                <w:u w:val="single"/>
              </w:rPr>
            </w:pPr>
            <w:hyperlink w:anchor="_72_Microsoft_Dynamics" w:history="1">
              <w:r w:rsidR="003D47E7" w:rsidRPr="00DC1AC3">
                <w:rPr>
                  <w:rStyle w:val="Hyperlink"/>
                  <w:rFonts w:cs="Tahoma"/>
                  <w:b/>
                  <w:sz w:val="13"/>
                  <w:szCs w:val="13"/>
                </w:rPr>
                <w:t>73</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jc w:val="left"/>
              <w:rPr>
                <w:rFonts w:ascii="Tahoma" w:hAnsi="Tahoma" w:cs="Tahoma"/>
                <w:sz w:val="13"/>
              </w:rPr>
            </w:pP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4"/>
              </w:rPr>
            </w:pPr>
            <w:bookmarkStart w:id="293" w:name="_Toc336338008"/>
            <w:bookmarkStart w:id="294" w:name="_Toc361829107"/>
            <w:r w:rsidRPr="000A1C8E">
              <w:rPr>
                <w:rFonts w:ascii="Tahoma" w:hAnsi="Tahoma" w:cs="Tahoma"/>
                <w:b w:val="0"/>
                <w:sz w:val="14"/>
                <w:szCs w:val="14"/>
              </w:rPr>
              <w:t>CAL Empresarial do Microsoft Dynamics AX 2012 R2 (Usuário e Dispositivo)</w:t>
            </w:r>
            <w:bookmarkEnd w:id="293"/>
            <w:bookmarkEnd w:id="294"/>
          </w:p>
        </w:tc>
        <w:tc>
          <w:tcPr>
            <w:tcW w:w="450" w:type="dxa"/>
            <w:tcBorders>
              <w:bottom w:val="single" w:sz="4" w:space="0" w:color="auto"/>
            </w:tcBorders>
            <w:shd w:val="clear" w:color="auto" w:fill="auto"/>
            <w:vAlign w:val="center"/>
          </w:tcPr>
          <w:p w:rsidR="001A63C6" w:rsidRPr="00DC1AC3" w:rsidRDefault="006C57E7" w:rsidP="006723FB">
            <w:pPr>
              <w:pStyle w:val="TableText"/>
              <w:widowControl w:val="0"/>
              <w:rPr>
                <w:rFonts w:cs="Tahoma"/>
                <w:b/>
                <w:color w:val="0000FF"/>
                <w:sz w:val="13"/>
                <w:szCs w:val="13"/>
                <w:u w:val="single"/>
              </w:rPr>
            </w:pPr>
            <w:hyperlink w:anchor="_72_Microsoft_Dynamics" w:history="1">
              <w:r w:rsidR="008E6264" w:rsidRPr="00DC1AC3">
                <w:rPr>
                  <w:rStyle w:val="Hyperlink"/>
                  <w:rFonts w:cs="Tahoma"/>
                  <w:b/>
                  <w:sz w:val="13"/>
                  <w:szCs w:val="13"/>
                </w:rPr>
                <w:t>73</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jc w:val="left"/>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4"/>
              </w:rPr>
            </w:pPr>
            <w:bookmarkStart w:id="295" w:name="_Toc336338009"/>
            <w:bookmarkStart w:id="296" w:name="_Toc361829108"/>
            <w:r w:rsidRPr="000A1C8E">
              <w:rPr>
                <w:rFonts w:ascii="Tahoma" w:hAnsi="Tahoma" w:cs="Tahoma"/>
                <w:b w:val="0"/>
                <w:sz w:val="14"/>
                <w:szCs w:val="14"/>
              </w:rPr>
              <w:lastRenderedPageBreak/>
              <w:t>CAL Aditiva do Microsoft Dynamics AX 2012 R2 Funcional (Usuário e Dispositivo)</w:t>
            </w:r>
            <w:bookmarkEnd w:id="295"/>
            <w:bookmarkEnd w:id="296"/>
          </w:p>
        </w:tc>
        <w:tc>
          <w:tcPr>
            <w:tcW w:w="450" w:type="dxa"/>
            <w:tcBorders>
              <w:bottom w:val="single" w:sz="4" w:space="0" w:color="auto"/>
            </w:tcBorders>
            <w:shd w:val="clear" w:color="auto" w:fill="FABF8F"/>
            <w:vAlign w:val="center"/>
          </w:tcPr>
          <w:p w:rsidR="001A63C6" w:rsidRPr="00DC1AC3" w:rsidRDefault="006C57E7" w:rsidP="006723FB">
            <w:pPr>
              <w:pStyle w:val="TableText"/>
              <w:widowControl w:val="0"/>
              <w:rPr>
                <w:rFonts w:cs="Tahoma"/>
                <w:b/>
                <w:color w:val="0000FF"/>
                <w:sz w:val="13"/>
                <w:szCs w:val="13"/>
                <w:u w:val="single"/>
              </w:rPr>
            </w:pPr>
            <w:hyperlink w:anchor="_72_Microsoft_Dynamics" w:history="1">
              <w:r w:rsidR="008E6264" w:rsidRPr="00DC1AC3">
                <w:rPr>
                  <w:rStyle w:val="Hyperlink"/>
                  <w:rFonts w:cs="Tahoma"/>
                  <w:b/>
                  <w:sz w:val="13"/>
                  <w:szCs w:val="13"/>
                </w:rPr>
                <w:t>73</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jc w:val="left"/>
              <w:rPr>
                <w:rFonts w:ascii="Tahoma" w:hAnsi="Tahoma" w:cs="Tahoma"/>
                <w:sz w:val="13"/>
              </w:rPr>
            </w:pP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4"/>
              </w:rPr>
            </w:pPr>
            <w:bookmarkStart w:id="297" w:name="_Toc336338010"/>
            <w:bookmarkStart w:id="298" w:name="_Toc361829109"/>
            <w:r w:rsidRPr="000A1C8E">
              <w:rPr>
                <w:rFonts w:ascii="Tahoma" w:hAnsi="Tahoma" w:cs="Tahoma"/>
                <w:b w:val="0"/>
                <w:sz w:val="14"/>
                <w:szCs w:val="14"/>
              </w:rPr>
              <w:t>CAL Funcional do Microsoft Dynamics AX 2012 R2 (Usuário e Dispositivo)</w:t>
            </w:r>
            <w:bookmarkEnd w:id="297"/>
            <w:bookmarkEnd w:id="298"/>
          </w:p>
        </w:tc>
        <w:tc>
          <w:tcPr>
            <w:tcW w:w="450" w:type="dxa"/>
            <w:tcBorders>
              <w:bottom w:val="single" w:sz="4" w:space="0" w:color="auto"/>
            </w:tcBorders>
            <w:shd w:val="clear" w:color="auto" w:fill="auto"/>
            <w:vAlign w:val="center"/>
          </w:tcPr>
          <w:p w:rsidR="001A63C6" w:rsidRPr="00DC1AC3" w:rsidRDefault="006C57E7" w:rsidP="006723FB">
            <w:pPr>
              <w:pStyle w:val="TableText"/>
              <w:widowControl w:val="0"/>
              <w:rPr>
                <w:rFonts w:cs="Tahoma"/>
                <w:b/>
                <w:color w:val="0000FF"/>
                <w:sz w:val="13"/>
                <w:szCs w:val="13"/>
                <w:u w:val="single"/>
              </w:rPr>
            </w:pPr>
            <w:hyperlink w:anchor="_72_Microsoft_Dynamics" w:history="1">
              <w:r w:rsidR="008E6264" w:rsidRPr="00DC1AC3">
                <w:rPr>
                  <w:rStyle w:val="Hyperlink"/>
                  <w:rFonts w:cs="Tahoma"/>
                  <w:b/>
                  <w:sz w:val="13"/>
                  <w:szCs w:val="13"/>
                </w:rPr>
                <w:t>73</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jc w:val="left"/>
              <w:rPr>
                <w:rFonts w:ascii="Tahoma" w:hAnsi="Tahoma" w:cs="Tahoma"/>
                <w:sz w:val="13"/>
              </w:rPr>
            </w:pPr>
          </w:p>
        </w:tc>
      </w:tr>
      <w:tr w:rsidR="00B33D0E" w:rsidRPr="000A1C8E" w:rsidTr="00C16156">
        <w:trPr>
          <w:trHeight w:val="233"/>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4"/>
              </w:rPr>
            </w:pPr>
            <w:bookmarkStart w:id="299" w:name="_Toc336338011"/>
            <w:bookmarkStart w:id="300" w:name="_Toc361829110"/>
            <w:r w:rsidRPr="000A1C8E">
              <w:rPr>
                <w:rFonts w:ascii="Tahoma" w:hAnsi="Tahoma" w:cs="Tahoma"/>
                <w:b w:val="0"/>
                <w:sz w:val="14"/>
                <w:szCs w:val="14"/>
              </w:rPr>
              <w:t>CAL de Autoatendimento do Microsoft Dynamics AX 2012 R2 (Usuário e Dispositivo)</w:t>
            </w:r>
            <w:bookmarkEnd w:id="299"/>
            <w:bookmarkEnd w:id="300"/>
          </w:p>
        </w:tc>
        <w:tc>
          <w:tcPr>
            <w:tcW w:w="450" w:type="dxa"/>
            <w:tcBorders>
              <w:bottom w:val="single" w:sz="4" w:space="0" w:color="auto"/>
            </w:tcBorders>
            <w:shd w:val="clear" w:color="auto" w:fill="FABF8F"/>
            <w:vAlign w:val="center"/>
          </w:tcPr>
          <w:p w:rsidR="001A63C6" w:rsidRPr="00DC1AC3" w:rsidRDefault="006C57E7" w:rsidP="006723FB">
            <w:pPr>
              <w:pStyle w:val="TableText"/>
              <w:widowControl w:val="0"/>
              <w:rPr>
                <w:rFonts w:cs="Tahoma"/>
                <w:b/>
                <w:color w:val="0000FF"/>
                <w:sz w:val="13"/>
                <w:szCs w:val="13"/>
                <w:u w:val="single"/>
              </w:rPr>
            </w:pPr>
            <w:hyperlink w:anchor="_72_Microsoft_Dynamics" w:history="1">
              <w:r w:rsidR="008E6264" w:rsidRPr="00DC1AC3">
                <w:rPr>
                  <w:rStyle w:val="Hyperlink"/>
                  <w:rFonts w:cs="Tahoma"/>
                  <w:b/>
                  <w:sz w:val="13"/>
                  <w:szCs w:val="13"/>
                </w:rPr>
                <w:t>73</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jc w:val="left"/>
              <w:rPr>
                <w:rFonts w:ascii="Tahoma" w:hAnsi="Tahoma" w:cs="Tahoma"/>
                <w:sz w:val="13"/>
              </w:rPr>
            </w:pPr>
          </w:p>
        </w:tc>
      </w:tr>
      <w:tr w:rsidR="00BE2E58" w:rsidRPr="000A1C8E" w:rsidTr="00C16156">
        <w:trPr>
          <w:trHeight w:val="242"/>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4"/>
              </w:rPr>
            </w:pPr>
            <w:bookmarkStart w:id="301" w:name="_Toc336338012"/>
            <w:bookmarkStart w:id="302" w:name="_Toc361829111"/>
            <w:r w:rsidRPr="000A1C8E">
              <w:rPr>
                <w:rFonts w:ascii="Tahoma" w:hAnsi="Tahoma" w:cs="Tahoma"/>
                <w:b w:val="0"/>
                <w:sz w:val="14"/>
                <w:szCs w:val="14"/>
              </w:rPr>
              <w:t>Microsoft Dynamics AX 2012 R2 Server</w:t>
            </w:r>
            <w:bookmarkEnd w:id="301"/>
            <w:bookmarkEnd w:id="302"/>
          </w:p>
        </w:tc>
        <w:tc>
          <w:tcPr>
            <w:tcW w:w="450" w:type="dxa"/>
            <w:tcBorders>
              <w:bottom w:val="single" w:sz="4" w:space="0" w:color="auto"/>
            </w:tcBorders>
            <w:shd w:val="clear" w:color="auto" w:fill="auto"/>
            <w:vAlign w:val="center"/>
          </w:tcPr>
          <w:p w:rsidR="001A63C6" w:rsidRPr="00DC1AC3" w:rsidRDefault="006C57E7" w:rsidP="006723FB">
            <w:pPr>
              <w:pStyle w:val="TableText"/>
              <w:widowControl w:val="0"/>
              <w:rPr>
                <w:rFonts w:cs="Tahoma"/>
                <w:b/>
                <w:color w:val="0000FF"/>
                <w:sz w:val="13"/>
                <w:szCs w:val="13"/>
                <w:u w:val="single"/>
              </w:rPr>
            </w:pPr>
            <w:hyperlink w:anchor="_72_Microsoft_Dynamics" w:history="1">
              <w:r w:rsidR="008E6264" w:rsidRPr="00DC1AC3">
                <w:rPr>
                  <w:rStyle w:val="Hyperlink"/>
                  <w:rFonts w:cs="Tahoma"/>
                  <w:b/>
                  <w:sz w:val="13"/>
                  <w:szCs w:val="13"/>
                </w:rPr>
                <w:t>73</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jc w:val="left"/>
              <w:rPr>
                <w:rFonts w:ascii="Tahoma" w:hAnsi="Tahoma" w:cs="Tahoma"/>
                <w:sz w:val="13"/>
              </w:rPr>
            </w:pPr>
          </w:p>
        </w:tc>
      </w:tr>
      <w:tr w:rsidR="00B33D0E" w:rsidRPr="000A1C8E" w:rsidTr="00C16156">
        <w:trPr>
          <w:trHeight w:val="278"/>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4"/>
              </w:rPr>
            </w:pPr>
            <w:bookmarkStart w:id="303" w:name="_Toc336338013"/>
            <w:bookmarkStart w:id="304" w:name="_Toc361829112"/>
            <w:r w:rsidRPr="000A1C8E">
              <w:rPr>
                <w:rFonts w:ascii="Tahoma" w:hAnsi="Tahoma" w:cs="Tahoma"/>
                <w:b w:val="0"/>
                <w:sz w:val="14"/>
                <w:szCs w:val="14"/>
              </w:rPr>
              <w:t>CAL Aditiva de Tarefa do Microsoft Dynamics AX 2012 R2 (Usuário e Dispositivo)</w:t>
            </w:r>
            <w:bookmarkEnd w:id="303"/>
            <w:bookmarkEnd w:id="304"/>
          </w:p>
        </w:tc>
        <w:tc>
          <w:tcPr>
            <w:tcW w:w="450" w:type="dxa"/>
            <w:tcBorders>
              <w:bottom w:val="single" w:sz="4" w:space="0" w:color="auto"/>
            </w:tcBorders>
            <w:shd w:val="clear" w:color="auto" w:fill="FABF8F"/>
            <w:vAlign w:val="center"/>
          </w:tcPr>
          <w:p w:rsidR="001A63C6" w:rsidRPr="00DC1AC3" w:rsidRDefault="006C57E7" w:rsidP="006723FB">
            <w:pPr>
              <w:pStyle w:val="TableText"/>
              <w:widowControl w:val="0"/>
              <w:rPr>
                <w:rFonts w:cs="Tahoma"/>
                <w:b/>
                <w:color w:val="0000FF"/>
                <w:sz w:val="13"/>
                <w:szCs w:val="13"/>
                <w:u w:val="single"/>
              </w:rPr>
            </w:pPr>
            <w:hyperlink w:anchor="_72_Microsoft_Dynamics" w:history="1">
              <w:r w:rsidR="008E6264" w:rsidRPr="00DC1AC3">
                <w:rPr>
                  <w:rStyle w:val="Hyperlink"/>
                  <w:rFonts w:cs="Tahoma"/>
                  <w:b/>
                  <w:sz w:val="13"/>
                  <w:szCs w:val="13"/>
                </w:rPr>
                <w:t>73</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jc w:val="left"/>
              <w:rPr>
                <w:rFonts w:ascii="Tahoma" w:hAnsi="Tahoma" w:cs="Tahoma"/>
                <w:sz w:val="13"/>
              </w:rPr>
            </w:pP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4"/>
              </w:rPr>
            </w:pPr>
            <w:bookmarkStart w:id="305" w:name="_Toc336338014"/>
            <w:bookmarkStart w:id="306" w:name="_Toc361829113"/>
            <w:r w:rsidRPr="000A1C8E">
              <w:rPr>
                <w:rFonts w:ascii="Tahoma" w:hAnsi="Tahoma" w:cs="Tahoma"/>
                <w:b w:val="0"/>
                <w:sz w:val="14"/>
                <w:szCs w:val="14"/>
              </w:rPr>
              <w:t>CAL de Tarefa do Microsoft Dynamics AX 2012 R2 (Usuário e Dispositivo)</w:t>
            </w:r>
            <w:bookmarkEnd w:id="305"/>
            <w:bookmarkEnd w:id="306"/>
          </w:p>
        </w:tc>
        <w:tc>
          <w:tcPr>
            <w:tcW w:w="450" w:type="dxa"/>
            <w:tcBorders>
              <w:bottom w:val="single" w:sz="4" w:space="0" w:color="auto"/>
            </w:tcBorders>
            <w:shd w:val="clear" w:color="auto" w:fill="auto"/>
            <w:vAlign w:val="center"/>
          </w:tcPr>
          <w:p w:rsidR="001A63C6" w:rsidRPr="00DC1AC3" w:rsidRDefault="006C57E7" w:rsidP="006723FB">
            <w:pPr>
              <w:pStyle w:val="TableText"/>
              <w:widowControl w:val="0"/>
              <w:rPr>
                <w:rFonts w:cs="Tahoma"/>
                <w:b/>
                <w:color w:val="0000FF"/>
                <w:sz w:val="13"/>
                <w:szCs w:val="13"/>
                <w:u w:val="single"/>
              </w:rPr>
            </w:pPr>
            <w:hyperlink w:anchor="_72_Microsoft_Dynamics" w:history="1">
              <w:r w:rsidR="008E6264" w:rsidRPr="00DC1AC3">
                <w:rPr>
                  <w:rStyle w:val="Hyperlink"/>
                  <w:rFonts w:cs="Tahoma"/>
                  <w:b/>
                  <w:sz w:val="13"/>
                  <w:szCs w:val="13"/>
                </w:rPr>
                <w:t>73</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12/12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jc w:val="left"/>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4"/>
              </w:rPr>
            </w:pPr>
            <w:bookmarkStart w:id="307" w:name="_Toc336338015"/>
            <w:bookmarkStart w:id="308" w:name="_Toc361829114"/>
            <w:r w:rsidRPr="000A1C8E">
              <w:rPr>
                <w:rFonts w:ascii="Tahoma" w:hAnsi="Tahoma" w:cs="Tahoma"/>
                <w:b w:val="0"/>
                <w:sz w:val="14"/>
                <w:szCs w:val="14"/>
              </w:rPr>
              <w:t>CAL do Microsoft Dynamics CRM 2011 (Usuário e Dispositivo)</w:t>
            </w:r>
            <w:bookmarkEnd w:id="307"/>
            <w:bookmarkEnd w:id="308"/>
          </w:p>
        </w:tc>
        <w:tc>
          <w:tcPr>
            <w:tcW w:w="450" w:type="dxa"/>
            <w:tcBorders>
              <w:bottom w:val="single" w:sz="4" w:space="0" w:color="auto"/>
            </w:tcBorders>
            <w:shd w:val="clear" w:color="auto" w:fill="FABF8F"/>
            <w:vAlign w:val="center"/>
          </w:tcPr>
          <w:p w:rsidR="001A63C6" w:rsidRPr="00DC1AC3" w:rsidRDefault="006C57E7" w:rsidP="009C0A44">
            <w:pPr>
              <w:pStyle w:val="TableText"/>
              <w:widowControl w:val="0"/>
              <w:rPr>
                <w:rFonts w:cs="Tahoma"/>
                <w:b/>
                <w:color w:val="0000FF"/>
                <w:sz w:val="13"/>
                <w:szCs w:val="13"/>
                <w:u w:val="single"/>
              </w:rPr>
            </w:pPr>
            <w:hyperlink w:anchor="_70_Microsoft_Dynamics" w:history="1">
              <w:r w:rsidR="003D47E7" w:rsidRPr="00140565">
                <w:rPr>
                  <w:rStyle w:val="Hyperlink"/>
                  <w:rFonts w:cs="Tahoma"/>
                  <w:b/>
                  <w:sz w:val="13"/>
                  <w:szCs w:val="13"/>
                </w:rPr>
                <w:t>74</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04/01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r w:rsidR="00A55DF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BE2E58"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4"/>
              </w:rPr>
            </w:pPr>
            <w:bookmarkStart w:id="309" w:name="_Toc336338016"/>
            <w:bookmarkStart w:id="310" w:name="_Toc361829115"/>
            <w:r w:rsidRPr="000A1C8E">
              <w:rPr>
                <w:rFonts w:ascii="Tahoma" w:hAnsi="Tahoma" w:cs="Tahoma"/>
                <w:b w:val="0"/>
                <w:sz w:val="14"/>
                <w:szCs w:val="14"/>
              </w:rPr>
              <w:t>CAL do Microsoft Dynamics CRM 2011 Employee Self Service (Usuário e Dispositivo)</w:t>
            </w:r>
            <w:bookmarkEnd w:id="309"/>
            <w:bookmarkEnd w:id="310"/>
          </w:p>
        </w:tc>
        <w:tc>
          <w:tcPr>
            <w:tcW w:w="450" w:type="dxa"/>
            <w:tcBorders>
              <w:bottom w:val="single" w:sz="4" w:space="0" w:color="auto"/>
            </w:tcBorders>
            <w:shd w:val="clear" w:color="auto" w:fill="auto"/>
            <w:vAlign w:val="center"/>
          </w:tcPr>
          <w:p w:rsidR="001A63C6" w:rsidRPr="00DC1AC3" w:rsidRDefault="006C57E7" w:rsidP="009C0A44">
            <w:pPr>
              <w:pStyle w:val="TableText"/>
              <w:widowControl w:val="0"/>
              <w:rPr>
                <w:rFonts w:cs="Tahoma"/>
                <w:b/>
                <w:color w:val="0000FF"/>
                <w:sz w:val="13"/>
                <w:szCs w:val="13"/>
                <w:u w:val="single"/>
              </w:rPr>
            </w:pPr>
            <w:hyperlink w:anchor="_70_Microsoft_Dynamics" w:history="1">
              <w:r w:rsidR="00140565" w:rsidRPr="00140565">
                <w:rPr>
                  <w:rStyle w:val="Hyperlink"/>
                  <w:rFonts w:cs="Tahoma"/>
                  <w:b/>
                  <w:sz w:val="13"/>
                  <w:szCs w:val="13"/>
                </w:rPr>
                <w:t>74</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04/01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r w:rsidR="00A55DF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4"/>
              </w:rPr>
            </w:pPr>
            <w:bookmarkStart w:id="311" w:name="_Toc336338017"/>
            <w:bookmarkStart w:id="312" w:name="_Toc361829116"/>
            <w:r w:rsidRPr="000A1C8E">
              <w:rPr>
                <w:rFonts w:ascii="Tahoma" w:hAnsi="Tahoma" w:cs="Tahoma"/>
                <w:b w:val="0"/>
                <w:sz w:val="14"/>
                <w:szCs w:val="14"/>
              </w:rPr>
              <w:t>Conector Externo para Microsoft Dynamics CRM 2011</w:t>
            </w:r>
            <w:bookmarkEnd w:id="311"/>
            <w:bookmarkEnd w:id="312"/>
          </w:p>
        </w:tc>
        <w:tc>
          <w:tcPr>
            <w:tcW w:w="450" w:type="dxa"/>
            <w:tcBorders>
              <w:bottom w:val="single" w:sz="4" w:space="0" w:color="auto"/>
            </w:tcBorders>
            <w:shd w:val="clear" w:color="auto" w:fill="FABF8F"/>
            <w:vAlign w:val="center"/>
          </w:tcPr>
          <w:p w:rsidR="001A63C6" w:rsidRPr="00DC1AC3" w:rsidRDefault="006C57E7" w:rsidP="009C0A44">
            <w:pPr>
              <w:pStyle w:val="TableText"/>
              <w:widowControl w:val="0"/>
              <w:rPr>
                <w:rFonts w:cs="Tahoma"/>
                <w:b/>
                <w:color w:val="0000FF"/>
                <w:sz w:val="13"/>
                <w:szCs w:val="13"/>
                <w:u w:val="single"/>
              </w:rPr>
            </w:pPr>
            <w:hyperlink w:anchor="_70_Microsoft_Dynamics" w:history="1">
              <w:r w:rsidR="00140565" w:rsidRPr="00140565">
                <w:rPr>
                  <w:rStyle w:val="Hyperlink"/>
                  <w:rFonts w:cs="Tahoma"/>
                  <w:b/>
                  <w:sz w:val="13"/>
                  <w:szCs w:val="13"/>
                </w:rPr>
                <w:t>74</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04/01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4"/>
              </w:rPr>
            </w:pPr>
            <w:bookmarkStart w:id="313" w:name="_Toc336338018"/>
            <w:bookmarkStart w:id="314" w:name="_Toc361829117"/>
            <w:r w:rsidRPr="000A1C8E">
              <w:rPr>
                <w:rFonts w:ascii="Tahoma" w:hAnsi="Tahoma" w:cs="Tahoma"/>
                <w:b w:val="0"/>
                <w:sz w:val="14"/>
                <w:szCs w:val="14"/>
              </w:rPr>
              <w:t xml:space="preserve">CAL Adicional de Uso Completo do Microsoft Dynamics CRM 2011 </w:t>
            </w:r>
            <w:r w:rsidR="00133662" w:rsidRPr="000A1C8E">
              <w:rPr>
                <w:rFonts w:ascii="Tahoma" w:hAnsi="Tahoma" w:cs="Tahoma"/>
                <w:b w:val="0"/>
                <w:sz w:val="14"/>
                <w:szCs w:val="14"/>
              </w:rPr>
              <w:br/>
            </w:r>
            <w:r w:rsidRPr="000A1C8E">
              <w:rPr>
                <w:rFonts w:ascii="Tahoma" w:hAnsi="Tahoma" w:cs="Tahoma"/>
                <w:b w:val="0"/>
                <w:sz w:val="14"/>
                <w:szCs w:val="14"/>
              </w:rPr>
              <w:t>(Usuário e Dispositivo)</w:t>
            </w:r>
            <w:bookmarkEnd w:id="313"/>
            <w:bookmarkEnd w:id="314"/>
          </w:p>
        </w:tc>
        <w:tc>
          <w:tcPr>
            <w:tcW w:w="450" w:type="dxa"/>
            <w:tcBorders>
              <w:bottom w:val="single" w:sz="4" w:space="0" w:color="auto"/>
            </w:tcBorders>
            <w:shd w:val="clear" w:color="auto" w:fill="auto"/>
            <w:vAlign w:val="center"/>
          </w:tcPr>
          <w:p w:rsidR="001A63C6" w:rsidRPr="00DC1AC3" w:rsidRDefault="006C57E7" w:rsidP="009C0A44">
            <w:pPr>
              <w:pStyle w:val="TableText"/>
              <w:widowControl w:val="0"/>
              <w:rPr>
                <w:rFonts w:cs="Tahoma"/>
                <w:b/>
                <w:color w:val="0000FF"/>
                <w:sz w:val="13"/>
                <w:szCs w:val="13"/>
                <w:u w:val="single"/>
              </w:rPr>
            </w:pPr>
            <w:hyperlink w:anchor="_70_Microsoft_Dynamics" w:history="1">
              <w:r w:rsidR="00140565" w:rsidRPr="00140565">
                <w:rPr>
                  <w:rStyle w:val="Hyperlink"/>
                  <w:rFonts w:cs="Tahoma"/>
                  <w:b/>
                  <w:sz w:val="13"/>
                  <w:szCs w:val="13"/>
                </w:rPr>
                <w:t>74</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04/01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r w:rsidR="00A55DF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1A63C6" w:rsidRPr="000A1C8E" w:rsidTr="00C16156">
        <w:trPr>
          <w:cantSplit/>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4"/>
              </w:rPr>
            </w:pPr>
            <w:bookmarkStart w:id="315" w:name="_Toc336338019"/>
            <w:bookmarkStart w:id="316" w:name="_Toc361829118"/>
            <w:r w:rsidRPr="000A1C8E">
              <w:rPr>
                <w:rFonts w:ascii="Tahoma" w:hAnsi="Tahoma" w:cs="Tahoma"/>
                <w:b w:val="0"/>
                <w:sz w:val="14"/>
                <w:szCs w:val="14"/>
              </w:rPr>
              <w:t>CAL Limitada para Microsoft Dynamics CRM 2011 (Usuários e Dispositivo)</w:t>
            </w:r>
            <w:bookmarkEnd w:id="315"/>
            <w:bookmarkEnd w:id="316"/>
          </w:p>
        </w:tc>
        <w:tc>
          <w:tcPr>
            <w:tcW w:w="450" w:type="dxa"/>
            <w:tcBorders>
              <w:bottom w:val="single" w:sz="4" w:space="0" w:color="auto"/>
            </w:tcBorders>
            <w:shd w:val="clear" w:color="auto" w:fill="FABF8F"/>
            <w:vAlign w:val="center"/>
          </w:tcPr>
          <w:p w:rsidR="001A63C6" w:rsidRPr="00DC1AC3" w:rsidRDefault="006C57E7" w:rsidP="009C0A44">
            <w:pPr>
              <w:pStyle w:val="TableText"/>
              <w:widowControl w:val="0"/>
              <w:rPr>
                <w:rFonts w:cs="Tahoma"/>
                <w:b/>
                <w:color w:val="0000FF"/>
                <w:sz w:val="13"/>
                <w:szCs w:val="13"/>
                <w:u w:val="single"/>
              </w:rPr>
            </w:pPr>
            <w:hyperlink w:anchor="_70_Microsoft_Dynamics" w:history="1">
              <w:r w:rsidR="00140565" w:rsidRPr="00140565">
                <w:rPr>
                  <w:rStyle w:val="Hyperlink"/>
                  <w:rFonts w:cs="Tahoma"/>
                  <w:b/>
                  <w:sz w:val="13"/>
                  <w:szCs w:val="13"/>
                </w:rPr>
                <w:t>74</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04/01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r w:rsidR="00A55DF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33662">
            <w:pPr>
              <w:pStyle w:val="Heading2"/>
              <w:ind w:left="0"/>
              <w:rPr>
                <w:rFonts w:ascii="Tahoma" w:hAnsi="Tahoma" w:cs="Tahoma"/>
                <w:b w:val="0"/>
                <w:sz w:val="14"/>
                <w:szCs w:val="14"/>
              </w:rPr>
            </w:pPr>
            <w:bookmarkStart w:id="317" w:name="_Toc336338020"/>
            <w:bookmarkStart w:id="318" w:name="_Toc361829119"/>
            <w:r w:rsidRPr="000A1C8E">
              <w:rPr>
                <w:rFonts w:ascii="Tahoma" w:hAnsi="Tahoma" w:cs="Tahoma"/>
                <w:b w:val="0"/>
                <w:sz w:val="14"/>
                <w:szCs w:val="14"/>
              </w:rPr>
              <w:t>CAL Adicional de Uso Limitado do Microsoft</w:t>
            </w:r>
            <w:r w:rsidR="00133662" w:rsidRPr="000A1C8E">
              <w:rPr>
                <w:rFonts w:ascii="Tahoma" w:hAnsi="Tahoma" w:cs="Tahoma"/>
                <w:b w:val="0"/>
                <w:sz w:val="14"/>
                <w:szCs w:val="14"/>
              </w:rPr>
              <w:t> </w:t>
            </w:r>
            <w:r w:rsidRPr="000A1C8E">
              <w:rPr>
                <w:rFonts w:ascii="Tahoma" w:hAnsi="Tahoma" w:cs="Tahoma"/>
                <w:b w:val="0"/>
                <w:sz w:val="14"/>
                <w:szCs w:val="14"/>
              </w:rPr>
              <w:t xml:space="preserve">Dynamics CRM 2011 </w:t>
            </w:r>
            <w:r w:rsidR="00133662" w:rsidRPr="000A1C8E">
              <w:rPr>
                <w:rFonts w:ascii="Tahoma" w:hAnsi="Tahoma" w:cs="Tahoma"/>
                <w:b w:val="0"/>
                <w:sz w:val="14"/>
                <w:szCs w:val="14"/>
              </w:rPr>
              <w:br/>
            </w:r>
            <w:r w:rsidRPr="000A1C8E">
              <w:rPr>
                <w:rFonts w:ascii="Tahoma" w:hAnsi="Tahoma" w:cs="Tahoma"/>
                <w:b w:val="0"/>
                <w:sz w:val="14"/>
                <w:szCs w:val="14"/>
              </w:rPr>
              <w:t>(Usuário e Dispositivo)</w:t>
            </w:r>
            <w:bookmarkEnd w:id="317"/>
            <w:bookmarkEnd w:id="318"/>
          </w:p>
        </w:tc>
        <w:tc>
          <w:tcPr>
            <w:tcW w:w="450" w:type="dxa"/>
            <w:tcBorders>
              <w:bottom w:val="single" w:sz="4" w:space="0" w:color="auto"/>
            </w:tcBorders>
            <w:shd w:val="clear" w:color="auto" w:fill="auto"/>
            <w:vAlign w:val="center"/>
          </w:tcPr>
          <w:p w:rsidR="001A63C6" w:rsidRPr="00DC1AC3" w:rsidRDefault="006C57E7" w:rsidP="009C0A44">
            <w:pPr>
              <w:pStyle w:val="TableText"/>
              <w:widowControl w:val="0"/>
              <w:rPr>
                <w:rFonts w:cs="Tahoma"/>
                <w:b/>
                <w:color w:val="0000FF"/>
                <w:sz w:val="13"/>
                <w:szCs w:val="13"/>
                <w:u w:val="single"/>
              </w:rPr>
            </w:pPr>
            <w:hyperlink w:anchor="_70_Microsoft_Dynamics" w:history="1">
              <w:r w:rsidR="00140565" w:rsidRPr="00140565">
                <w:rPr>
                  <w:rStyle w:val="Hyperlink"/>
                  <w:rFonts w:cs="Tahoma"/>
                  <w:b/>
                  <w:sz w:val="13"/>
                  <w:szCs w:val="13"/>
                </w:rPr>
                <w:t>74</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color w:val="000000"/>
                <w:sz w:val="13"/>
              </w:rPr>
            </w:pPr>
            <w:r w:rsidRPr="000A1C8E">
              <w:rPr>
                <w:rFonts w:ascii="Tahoma" w:hAnsi="Tahoma" w:cs="Tahoma"/>
                <w:color w:val="000000"/>
                <w:sz w:val="13"/>
              </w:rPr>
              <w:t>04/01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w:t>
            </w:r>
            <w:r w:rsidR="00A55DF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0"/>
              <w:rPr>
                <w:rFonts w:ascii="Tahoma" w:hAnsi="Tahoma" w:cs="Tahoma"/>
                <w:b w:val="0"/>
                <w:sz w:val="14"/>
                <w:szCs w:val="14"/>
              </w:rPr>
            </w:pPr>
            <w:bookmarkStart w:id="319" w:name="_Toc336338021"/>
            <w:bookmarkStart w:id="320" w:name="_Toc361829120"/>
            <w:r w:rsidRPr="000A1C8E">
              <w:rPr>
                <w:rFonts w:ascii="Tahoma" w:hAnsi="Tahoma" w:cs="Tahoma"/>
                <w:b w:val="0"/>
                <w:sz w:val="14"/>
                <w:szCs w:val="14"/>
              </w:rPr>
              <w:t>Microsoft Dynamics CRM Server 2011</w:t>
            </w:r>
            <w:bookmarkEnd w:id="319"/>
            <w:bookmarkEnd w:id="320"/>
            <w:r w:rsidRPr="000A1C8E">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DC1AC3" w:rsidRDefault="006C57E7" w:rsidP="009C0A44">
            <w:pPr>
              <w:pStyle w:val="TableText"/>
              <w:widowControl w:val="0"/>
              <w:rPr>
                <w:rFonts w:cs="Tahoma"/>
                <w:b/>
                <w:color w:val="0000FF"/>
                <w:sz w:val="13"/>
                <w:szCs w:val="13"/>
                <w:u w:val="single"/>
              </w:rPr>
            </w:pPr>
            <w:hyperlink w:anchor="_66_Microsoft_Dynamics" w:history="1">
              <w:r w:rsidR="003D47E7" w:rsidRPr="00140565">
                <w:rPr>
                  <w:rStyle w:val="Hyperlink"/>
                  <w:rFonts w:cs="Tahoma"/>
                  <w:b/>
                  <w:sz w:val="13"/>
                  <w:szCs w:val="13"/>
                </w:rPr>
                <w:t>75</w:t>
              </w:r>
            </w:hyperlink>
          </w:p>
        </w:tc>
        <w:tc>
          <w:tcPr>
            <w:tcW w:w="433" w:type="dxa"/>
            <w:tcBorders>
              <w:bottom w:val="single" w:sz="4" w:space="0" w:color="auto"/>
            </w:tcBorders>
            <w:shd w:val="clear" w:color="auto" w:fill="FABF8F"/>
          </w:tcPr>
          <w:p w:rsidR="001A63C6" w:rsidRPr="000A1C8E" w:rsidRDefault="001A63C6" w:rsidP="00805E66">
            <w:pPr>
              <w:pStyle w:val="TableText"/>
              <w:widowControl w:val="0"/>
              <w:spacing w:before="60"/>
              <w:rPr>
                <w:rFonts w:ascii="Tahoma" w:hAnsi="Tahoma" w:cs="Tahoma"/>
                <w:color w:val="000000"/>
                <w:sz w:val="13"/>
              </w:rPr>
            </w:pPr>
            <w:r w:rsidRPr="000A1C8E">
              <w:rPr>
                <w:rFonts w:ascii="Tahoma" w:hAnsi="Tahoma" w:cs="Tahoma"/>
                <w:color w:val="000000"/>
                <w:sz w:val="13"/>
              </w:rPr>
              <w:t>04/01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0"/>
              <w:rPr>
                <w:rFonts w:ascii="Tahoma" w:hAnsi="Tahoma" w:cs="Tahoma"/>
                <w:b w:val="0"/>
                <w:sz w:val="14"/>
                <w:szCs w:val="14"/>
              </w:rPr>
            </w:pPr>
            <w:bookmarkStart w:id="321" w:name="_Toc336338022"/>
            <w:bookmarkStart w:id="322" w:name="_Toc361829121"/>
            <w:r w:rsidRPr="000A1C8E">
              <w:rPr>
                <w:rFonts w:ascii="Tahoma" w:hAnsi="Tahoma" w:cs="Tahoma"/>
                <w:b w:val="0"/>
                <w:sz w:val="14"/>
                <w:szCs w:val="14"/>
              </w:rPr>
              <w:t>Microsoft Dynamics CRM Workgroup Server 2011</w:t>
            </w:r>
            <w:bookmarkEnd w:id="321"/>
            <w:bookmarkEnd w:id="322"/>
            <w:r w:rsidRPr="000A1C8E">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DC1AC3" w:rsidRDefault="006C57E7" w:rsidP="009C0A44">
            <w:pPr>
              <w:pStyle w:val="TableText"/>
              <w:widowControl w:val="0"/>
              <w:rPr>
                <w:rFonts w:cs="Tahoma"/>
                <w:b/>
                <w:color w:val="0000FF"/>
                <w:sz w:val="13"/>
                <w:szCs w:val="13"/>
                <w:u w:val="single"/>
              </w:rPr>
            </w:pPr>
            <w:hyperlink w:anchor="_66_Microsoft_Dynamics" w:history="1">
              <w:r w:rsidR="00140565" w:rsidRPr="00140565">
                <w:rPr>
                  <w:rStyle w:val="Hyperlink"/>
                  <w:rFonts w:cs="Tahoma"/>
                  <w:b/>
                  <w:sz w:val="13"/>
                  <w:szCs w:val="13"/>
                </w:rPr>
                <w:t>75</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color w:val="000000"/>
                <w:sz w:val="13"/>
              </w:rPr>
            </w:pPr>
            <w:r w:rsidRPr="000A1C8E">
              <w:rPr>
                <w:rFonts w:ascii="Tahoma" w:hAnsi="Tahoma" w:cs="Tahoma"/>
                <w:color w:val="000000"/>
                <w:sz w:val="13"/>
              </w:rPr>
              <w:t>04/01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60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471E00" w:rsidRPr="000A1C8E" w:rsidDel="00436016" w:rsidTr="00C16156">
        <w:trPr>
          <w:trHeight w:val="145"/>
          <w:jc w:val="center"/>
        </w:trPr>
        <w:tc>
          <w:tcPr>
            <w:tcW w:w="2734" w:type="dxa"/>
            <w:gridSpan w:val="2"/>
            <w:tcBorders>
              <w:bottom w:val="single" w:sz="4" w:space="0" w:color="auto"/>
            </w:tcBorders>
            <w:shd w:val="clear" w:color="auto" w:fill="FABF8F"/>
            <w:vAlign w:val="center"/>
          </w:tcPr>
          <w:p w:rsidR="00471E00" w:rsidRPr="000A1C8E" w:rsidRDefault="001C3A4A" w:rsidP="001A63C6">
            <w:pPr>
              <w:pStyle w:val="Heading2"/>
              <w:ind w:left="-15" w:firstLine="15"/>
              <w:rPr>
                <w:rFonts w:ascii="Tahoma" w:hAnsi="Tahoma" w:cs="Tahoma"/>
                <w:b w:val="0"/>
                <w:sz w:val="14"/>
                <w:szCs w:val="14"/>
              </w:rPr>
            </w:pPr>
            <w:bookmarkStart w:id="323" w:name="_Toc361829122"/>
            <w:r w:rsidRPr="000A1C8E">
              <w:rPr>
                <w:rFonts w:ascii="Tahoma" w:hAnsi="Tahoma" w:cs="Tahoma"/>
                <w:b w:val="0"/>
                <w:sz w:val="14"/>
                <w:szCs w:val="14"/>
              </w:rPr>
              <w:t>Microsoft Office Audit and Control Management Server</w:t>
            </w:r>
            <w:bookmarkEnd w:id="323"/>
          </w:p>
        </w:tc>
        <w:tc>
          <w:tcPr>
            <w:tcW w:w="450" w:type="dxa"/>
            <w:tcBorders>
              <w:bottom w:val="single" w:sz="4" w:space="0" w:color="auto"/>
            </w:tcBorders>
            <w:shd w:val="clear" w:color="auto" w:fill="FABF8F"/>
            <w:vAlign w:val="center"/>
          </w:tcPr>
          <w:p w:rsidR="00471E00" w:rsidRPr="00DC1AC3" w:rsidRDefault="00471E00" w:rsidP="001A63C6">
            <w:pPr>
              <w:pStyle w:val="TableText"/>
              <w:widowControl w:val="0"/>
              <w:rPr>
                <w:rFonts w:cs="Tahoma"/>
                <w:b/>
                <w:color w:val="0000FF"/>
                <w:sz w:val="13"/>
                <w:szCs w:val="13"/>
                <w:u w:val="single"/>
              </w:rPr>
            </w:pPr>
          </w:p>
        </w:tc>
        <w:tc>
          <w:tcPr>
            <w:tcW w:w="433" w:type="dxa"/>
            <w:tcBorders>
              <w:bottom w:val="single" w:sz="4" w:space="0" w:color="auto"/>
            </w:tcBorders>
            <w:shd w:val="clear" w:color="auto" w:fill="FABF8F"/>
            <w:vAlign w:val="center"/>
          </w:tcPr>
          <w:p w:rsidR="00471E00" w:rsidRPr="000A1C8E" w:rsidRDefault="001C3A4A" w:rsidP="00BF08CC">
            <w:pPr>
              <w:pStyle w:val="TableText"/>
              <w:widowControl w:val="0"/>
              <w:rPr>
                <w:rFonts w:ascii="Tahoma" w:hAnsi="Tahoma" w:cs="Tahoma"/>
                <w:color w:val="000000"/>
                <w:sz w:val="13"/>
              </w:rPr>
            </w:pPr>
            <w:r w:rsidRPr="000A1C8E">
              <w:rPr>
                <w:rFonts w:ascii="Tahoma" w:hAnsi="Tahoma" w:cs="Tahoma"/>
                <w:color w:val="000000"/>
                <w:sz w:val="13"/>
              </w:rPr>
              <w:t>06/13</w:t>
            </w:r>
          </w:p>
        </w:tc>
        <w:tc>
          <w:tcPr>
            <w:tcW w:w="377" w:type="dxa"/>
            <w:tcBorders>
              <w:bottom w:val="single" w:sz="4" w:space="0" w:color="auto"/>
              <w:right w:val="single" w:sz="18" w:space="0" w:color="auto"/>
            </w:tcBorders>
            <w:shd w:val="clear" w:color="auto" w:fill="FABF8F"/>
            <w:vAlign w:val="center"/>
          </w:tcPr>
          <w:p w:rsidR="00471E00" w:rsidRPr="000A1C8E" w:rsidRDefault="001C3A4A" w:rsidP="00BF08CC">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471E00" w:rsidRPr="000A1C8E" w:rsidRDefault="001C3A4A" w:rsidP="00BF08CC">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471E00" w:rsidRPr="000A1C8E" w:rsidDel="00436016" w:rsidRDefault="001C3A4A" w:rsidP="00BF08CC">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471E00" w:rsidRPr="000A1C8E" w:rsidRDefault="001C3A4A" w:rsidP="00BF08CC">
            <w:pPr>
              <w:pStyle w:val="TableText"/>
              <w:widowControl w:val="0"/>
              <w:rPr>
                <w:rFonts w:ascii="Tahoma" w:hAnsi="Tahoma" w:cs="Tahoma"/>
                <w:sz w:val="13"/>
              </w:rPr>
            </w:pPr>
            <w:r w:rsidRPr="000A1C8E">
              <w:rPr>
                <w:rFonts w:ascii="Tahoma" w:hAnsi="Tahoma" w:cs="Tahoma"/>
                <w:sz w:val="13"/>
              </w:rPr>
              <w:t>A, (somente EES)</w:t>
            </w:r>
          </w:p>
        </w:tc>
        <w:tc>
          <w:tcPr>
            <w:tcW w:w="486" w:type="dxa"/>
            <w:tcBorders>
              <w:bottom w:val="single" w:sz="4" w:space="0" w:color="auto"/>
            </w:tcBorders>
            <w:shd w:val="clear" w:color="auto" w:fill="FABF8F"/>
            <w:vAlign w:val="center"/>
          </w:tcPr>
          <w:p w:rsidR="00471E00" w:rsidRPr="000A1C8E" w:rsidDel="00436016" w:rsidRDefault="00471E00" w:rsidP="00BF08CC">
            <w:pPr>
              <w:pStyle w:val="TableText"/>
              <w:widowControl w:val="0"/>
              <w:rPr>
                <w:rFonts w:ascii="Tahoma" w:hAnsi="Tahoma" w:cs="Tahoma"/>
                <w:sz w:val="13"/>
              </w:rPr>
            </w:pPr>
          </w:p>
        </w:tc>
      </w:tr>
      <w:tr w:rsidR="001A63C6" w:rsidRPr="000A1C8E" w:rsidDel="00436016"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15" w:firstLine="15"/>
              <w:rPr>
                <w:rFonts w:ascii="Tahoma" w:hAnsi="Tahoma" w:cs="Tahoma"/>
                <w:b w:val="0"/>
                <w:sz w:val="14"/>
                <w:szCs w:val="16"/>
              </w:rPr>
            </w:pPr>
            <w:bookmarkStart w:id="324" w:name="_Toc336338023"/>
            <w:bookmarkStart w:id="325" w:name="_Toc361829123"/>
            <w:r w:rsidRPr="000A1C8E">
              <w:rPr>
                <w:rFonts w:ascii="Tahoma" w:hAnsi="Tahoma" w:cs="Tahoma"/>
                <w:b w:val="0"/>
                <w:sz w:val="14"/>
                <w:szCs w:val="14"/>
              </w:rPr>
              <w:t>API do Tradutor da Microsoft</w:t>
            </w:r>
            <w:bookmarkEnd w:id="324"/>
            <w:bookmarkEnd w:id="325"/>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Fonts w:cs="Tahoma"/>
                <w:b/>
                <w:color w:val="0000FF"/>
                <w:sz w:val="13"/>
                <w:szCs w:val="13"/>
                <w:u w:val="single"/>
              </w:rPr>
            </w:pPr>
          </w:p>
        </w:tc>
        <w:tc>
          <w:tcPr>
            <w:tcW w:w="433" w:type="dxa"/>
            <w:tcBorders>
              <w:bottom w:val="single" w:sz="4" w:space="0" w:color="auto"/>
            </w:tcBorders>
            <w:shd w:val="clear" w:color="auto" w:fill="auto"/>
          </w:tcPr>
          <w:p w:rsidR="001A63C6" w:rsidRPr="000A1C8E" w:rsidRDefault="001A63C6" w:rsidP="00805E66">
            <w:pPr>
              <w:pStyle w:val="TableText"/>
              <w:widowControl w:val="0"/>
              <w:spacing w:before="60"/>
              <w:rPr>
                <w:rFonts w:ascii="Tahoma" w:hAnsi="Tahoma" w:cs="Tahoma"/>
                <w:color w:val="000000"/>
                <w:sz w:val="13"/>
              </w:rPr>
            </w:pPr>
            <w:r w:rsidRPr="000A1C8E">
              <w:rPr>
                <w:rFonts w:ascii="Tahoma" w:hAnsi="Tahoma" w:cs="Tahoma"/>
                <w:color w:val="000000"/>
                <w:sz w:val="13"/>
              </w:rPr>
              <w:t>08/12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r>
      <w:tr w:rsidR="006D1AA6" w:rsidRPr="000A1C8E" w:rsidDel="00436016" w:rsidTr="00C16156">
        <w:trPr>
          <w:trHeight w:val="145"/>
          <w:jc w:val="center"/>
        </w:trPr>
        <w:tc>
          <w:tcPr>
            <w:tcW w:w="2734" w:type="dxa"/>
            <w:gridSpan w:val="2"/>
            <w:tcBorders>
              <w:bottom w:val="single" w:sz="4" w:space="0" w:color="auto"/>
            </w:tcBorders>
            <w:shd w:val="clear" w:color="auto" w:fill="FABF8F"/>
            <w:vAlign w:val="center"/>
          </w:tcPr>
          <w:p w:rsidR="006D1AA6" w:rsidRPr="000A1C8E" w:rsidRDefault="006D1AA6" w:rsidP="001A63C6">
            <w:pPr>
              <w:pStyle w:val="Heading2"/>
              <w:ind w:left="-15" w:firstLine="15"/>
              <w:rPr>
                <w:rFonts w:ascii="Tahoma" w:hAnsi="Tahoma" w:cs="Tahoma"/>
                <w:b w:val="0"/>
                <w:sz w:val="14"/>
                <w:szCs w:val="14"/>
              </w:rPr>
            </w:pPr>
            <w:bookmarkStart w:id="326" w:name="_Toc361829124"/>
            <w:r w:rsidRPr="000A1C8E">
              <w:rPr>
                <w:rFonts w:ascii="Tahoma" w:hAnsi="Tahoma" w:cs="Tahoma"/>
                <w:b w:val="0"/>
                <w:sz w:val="14"/>
                <w:szCs w:val="14"/>
              </w:rPr>
              <w:t xml:space="preserve">Office 365 Midsize Business </w:t>
            </w:r>
            <w:r w:rsidR="005258ED">
              <w:rPr>
                <w:rFonts w:ascii="Tahoma" w:hAnsi="Tahoma" w:cs="Tahoma"/>
                <w:b w:val="0"/>
                <w:sz w:val="14"/>
                <w:szCs w:val="14"/>
              </w:rPr>
              <w:br/>
            </w:r>
            <w:r w:rsidRPr="000A1C8E">
              <w:rPr>
                <w:rFonts w:ascii="Tahoma" w:hAnsi="Tahoma" w:cs="Tahoma"/>
                <w:b w:val="0"/>
                <w:sz w:val="14"/>
                <w:szCs w:val="14"/>
              </w:rPr>
              <w:t>(SL de Usuário)</w:t>
            </w:r>
            <w:bookmarkEnd w:id="326"/>
          </w:p>
        </w:tc>
        <w:tc>
          <w:tcPr>
            <w:tcW w:w="450" w:type="dxa"/>
            <w:tcBorders>
              <w:bottom w:val="single" w:sz="4" w:space="0" w:color="auto"/>
            </w:tcBorders>
            <w:shd w:val="clear" w:color="auto" w:fill="FABF8F"/>
            <w:vAlign w:val="center"/>
          </w:tcPr>
          <w:p w:rsidR="006D1AA6" w:rsidRPr="00DC1AC3" w:rsidRDefault="006D1AA6" w:rsidP="001A63C6">
            <w:pPr>
              <w:pStyle w:val="TableText"/>
              <w:widowControl w:val="0"/>
              <w:rPr>
                <w:rFonts w:cs="Tahoma"/>
                <w:b/>
                <w:color w:val="0000FF"/>
                <w:sz w:val="13"/>
                <w:szCs w:val="13"/>
                <w:u w:val="single"/>
              </w:rPr>
            </w:pPr>
          </w:p>
        </w:tc>
        <w:tc>
          <w:tcPr>
            <w:tcW w:w="433" w:type="dxa"/>
            <w:tcBorders>
              <w:bottom w:val="single" w:sz="4" w:space="0" w:color="auto"/>
            </w:tcBorders>
            <w:shd w:val="clear" w:color="auto" w:fill="FABF8F"/>
          </w:tcPr>
          <w:p w:rsidR="006D1AA6" w:rsidRPr="000A1C8E" w:rsidRDefault="006D1AA6" w:rsidP="001A63C6">
            <w:pPr>
              <w:pStyle w:val="TableText"/>
              <w:widowControl w:val="0"/>
              <w:spacing w:before="120"/>
              <w:rPr>
                <w:rFonts w:ascii="Tahoma" w:hAnsi="Tahoma" w:cs="Tahoma"/>
                <w:color w:val="000000"/>
                <w:sz w:val="13"/>
              </w:rPr>
            </w:pPr>
            <w:r w:rsidRPr="000A1C8E">
              <w:rPr>
                <w:rFonts w:ascii="Tahoma" w:hAnsi="Tahoma" w:cs="Tahoma"/>
                <w:color w:val="000000"/>
                <w:sz w:val="13"/>
              </w:rPr>
              <w:t>03/13</w:t>
            </w:r>
          </w:p>
        </w:tc>
        <w:tc>
          <w:tcPr>
            <w:tcW w:w="377" w:type="dxa"/>
            <w:tcBorders>
              <w:bottom w:val="single" w:sz="4" w:space="0" w:color="auto"/>
              <w:right w:val="single" w:sz="18" w:space="0" w:color="auto"/>
            </w:tcBorders>
            <w:shd w:val="clear" w:color="auto" w:fill="FABF8F"/>
            <w:vAlign w:val="center"/>
          </w:tcPr>
          <w:p w:rsidR="006D1AA6" w:rsidRPr="000A1C8E"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6D1AA6" w:rsidRPr="000A1C8E" w:rsidRDefault="006D1AA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6D1AA6" w:rsidRPr="000A1C8E" w:rsidRDefault="006D1AA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6D1AA6" w:rsidRPr="000A1C8E" w:rsidDel="00436016" w:rsidRDefault="006D1AA6" w:rsidP="001A63C6">
            <w:pPr>
              <w:pStyle w:val="TableText"/>
              <w:widowControl w:val="0"/>
              <w:rPr>
                <w:rFonts w:ascii="Tahoma" w:hAnsi="Tahoma" w:cs="Tahoma"/>
                <w:sz w:val="13"/>
              </w:rPr>
            </w:pPr>
            <w:r w:rsidRPr="000A1C8E">
              <w:rPr>
                <w:rFonts w:ascii="Tahoma" w:hAnsi="Tahoma" w:cs="Tahoma"/>
                <w:sz w:val="13"/>
              </w:rPr>
              <w:t>LO/OV</w:t>
            </w:r>
          </w:p>
        </w:tc>
      </w:tr>
      <w:tr w:rsidR="00B33D0E" w:rsidRPr="000A1C8E" w:rsidDel="00436016"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ind w:left="-15" w:firstLine="15"/>
              <w:rPr>
                <w:rFonts w:ascii="Tahoma" w:hAnsi="Tahoma" w:cs="Tahoma"/>
                <w:b w:val="0"/>
                <w:sz w:val="14"/>
                <w:szCs w:val="16"/>
              </w:rPr>
            </w:pPr>
            <w:bookmarkStart w:id="327" w:name="_Toc336338024"/>
            <w:bookmarkStart w:id="328" w:name="_Toc361829125"/>
            <w:r w:rsidRPr="000A1C8E">
              <w:rPr>
                <w:rFonts w:ascii="Tahoma" w:hAnsi="Tahoma" w:cs="Tahoma"/>
                <w:b w:val="0"/>
                <w:sz w:val="14"/>
                <w:szCs w:val="16"/>
              </w:rPr>
              <w:t>Office 365 Education A2 (SL de Usuário)</w:t>
            </w:r>
            <w:bookmarkEnd w:id="327"/>
            <w:bookmarkEnd w:id="328"/>
          </w:p>
        </w:tc>
        <w:tc>
          <w:tcPr>
            <w:tcW w:w="450" w:type="dxa"/>
            <w:tcBorders>
              <w:bottom w:val="single" w:sz="4" w:space="0" w:color="auto"/>
            </w:tcBorders>
            <w:shd w:val="clear" w:color="auto" w:fill="auto"/>
            <w:vAlign w:val="center"/>
          </w:tcPr>
          <w:p w:rsidR="001A63C6" w:rsidRPr="00DC1AC3" w:rsidRDefault="006C57E7" w:rsidP="001A63C6">
            <w:pPr>
              <w:pStyle w:val="TableText"/>
              <w:widowControl w:val="0"/>
              <w:rPr>
                <w:rFonts w:cs="Tahoma"/>
                <w:b/>
                <w:color w:val="0000FF"/>
                <w:sz w:val="13"/>
                <w:szCs w:val="13"/>
                <w:u w:val="single"/>
              </w:rPr>
            </w:pPr>
            <w:hyperlink w:anchor="_5_Office_365_1" w:history="1">
              <w:r w:rsidR="003D47E7" w:rsidRPr="00DC1AC3">
                <w:rPr>
                  <w:rStyle w:val="Hyperlink"/>
                  <w:rFonts w:cs="Tahoma"/>
                  <w:b/>
                  <w:sz w:val="13"/>
                  <w:szCs w:val="13"/>
                </w:rPr>
                <w:t>5</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r w:rsidRPr="000A1C8E">
              <w:rPr>
                <w:rFonts w:ascii="Tahoma" w:hAnsi="Tahoma" w:cs="Tahoma"/>
                <w:sz w:val="13"/>
              </w:rPr>
              <w:t>A, ST (Somente EES)</w:t>
            </w:r>
          </w:p>
        </w:tc>
        <w:tc>
          <w:tcPr>
            <w:tcW w:w="486"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r>
      <w:tr w:rsidR="00B33D0E" w:rsidRPr="000A1C8E" w:rsidDel="00436016"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ind w:left="-15" w:firstLine="15"/>
              <w:rPr>
                <w:rFonts w:ascii="Tahoma" w:hAnsi="Tahoma" w:cs="Tahoma"/>
                <w:b w:val="0"/>
                <w:sz w:val="14"/>
                <w:szCs w:val="16"/>
              </w:rPr>
            </w:pPr>
            <w:bookmarkStart w:id="329" w:name="_Toc336338025"/>
            <w:bookmarkStart w:id="330" w:name="_Toc361829126"/>
            <w:r w:rsidRPr="000A1C8E">
              <w:rPr>
                <w:rFonts w:ascii="Tahoma" w:hAnsi="Tahoma" w:cs="Tahoma"/>
                <w:b w:val="0"/>
                <w:sz w:val="14"/>
                <w:szCs w:val="16"/>
              </w:rPr>
              <w:t>Office 365 Education A3 (SL de Usuário)</w:t>
            </w:r>
            <w:bookmarkEnd w:id="329"/>
            <w:bookmarkEnd w:id="330"/>
          </w:p>
        </w:tc>
        <w:tc>
          <w:tcPr>
            <w:tcW w:w="450" w:type="dxa"/>
            <w:tcBorders>
              <w:bottom w:val="single" w:sz="4" w:space="0" w:color="auto"/>
            </w:tcBorders>
            <w:shd w:val="clear" w:color="auto" w:fill="FABF8F"/>
            <w:vAlign w:val="center"/>
          </w:tcPr>
          <w:p w:rsidR="001A63C6" w:rsidRPr="00DC1AC3" w:rsidRDefault="006C57E7" w:rsidP="001A63C6">
            <w:pPr>
              <w:pStyle w:val="TableText"/>
              <w:widowControl w:val="0"/>
              <w:rPr>
                <w:rFonts w:cs="Tahoma"/>
                <w:b/>
                <w:color w:val="0000FF"/>
                <w:sz w:val="13"/>
                <w:szCs w:val="13"/>
                <w:u w:val="single"/>
              </w:rPr>
            </w:pPr>
            <w:hyperlink w:anchor="_5_Office_365_1" w:history="1">
              <w:r w:rsidR="008F40CA" w:rsidRPr="00DC1AC3">
                <w:rPr>
                  <w:rStyle w:val="Hyperlink"/>
                  <w:rFonts w:cs="Tahoma"/>
                  <w:b/>
                  <w:sz w:val="13"/>
                  <w:szCs w:val="13"/>
                </w:rPr>
                <w:t>5</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Del="00436016" w:rsidRDefault="001A63C6" w:rsidP="001A63C6">
            <w:pPr>
              <w:pStyle w:val="TableText"/>
              <w:widowControl w:val="0"/>
              <w:spacing w:before="120"/>
              <w:rPr>
                <w:rFonts w:ascii="Tahoma" w:hAnsi="Tahoma" w:cs="Tahoma"/>
                <w:sz w:val="13"/>
              </w:rPr>
            </w:pPr>
            <w:r w:rsidRPr="000A1C8E">
              <w:rPr>
                <w:rFonts w:ascii="Tahoma" w:hAnsi="Tahoma" w:cs="Tahoma"/>
                <w:sz w:val="13"/>
              </w:rPr>
              <w:t>EOLS (Somente EES)</w:t>
            </w:r>
          </w:p>
        </w:tc>
        <w:tc>
          <w:tcPr>
            <w:tcW w:w="486"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r>
      <w:tr w:rsidR="00E5334D"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Heading2"/>
              <w:spacing w:beforeLines="20" w:before="48" w:afterLines="20" w:after="48"/>
              <w:ind w:left="0" w:firstLine="15"/>
              <w:rPr>
                <w:rFonts w:ascii="Tahoma" w:hAnsi="Tahoma" w:cs="Tahoma"/>
                <w:b w:val="0"/>
                <w:sz w:val="14"/>
                <w:szCs w:val="16"/>
              </w:rPr>
            </w:pPr>
            <w:bookmarkStart w:id="331" w:name="_Toc336338026"/>
            <w:bookmarkStart w:id="332" w:name="_Toc361829127"/>
            <w:r w:rsidRPr="000A1C8E">
              <w:rPr>
                <w:rFonts w:ascii="Tahoma" w:hAnsi="Tahoma" w:cs="Tahoma"/>
                <w:b w:val="0"/>
                <w:sz w:val="14"/>
                <w:szCs w:val="16"/>
              </w:rPr>
              <w:t>Office 365 Education A4 (SL de Usuário)</w:t>
            </w:r>
            <w:bookmarkEnd w:id="331"/>
            <w:bookmarkEnd w:id="332"/>
          </w:p>
        </w:tc>
        <w:tc>
          <w:tcPr>
            <w:tcW w:w="450" w:type="dxa"/>
            <w:tcBorders>
              <w:bottom w:val="single" w:sz="4" w:space="0" w:color="auto"/>
            </w:tcBorders>
            <w:shd w:val="clear" w:color="auto" w:fill="auto"/>
            <w:vAlign w:val="center"/>
          </w:tcPr>
          <w:p w:rsidR="001A63C6" w:rsidRPr="00DC1AC3" w:rsidRDefault="006C57E7" w:rsidP="001A63C6">
            <w:pPr>
              <w:pStyle w:val="TableText"/>
              <w:widowControl w:val="0"/>
              <w:rPr>
                <w:rFonts w:cs="Tahoma"/>
                <w:b/>
                <w:color w:val="0000FF"/>
                <w:sz w:val="13"/>
                <w:szCs w:val="13"/>
                <w:u w:val="single"/>
              </w:rPr>
            </w:pPr>
            <w:hyperlink w:anchor="_5_Office_365_1" w:history="1">
              <w:r w:rsidR="008F40CA" w:rsidRPr="00DC1AC3">
                <w:rPr>
                  <w:rStyle w:val="Hyperlink"/>
                  <w:rFonts w:cs="Tahoma"/>
                  <w:b/>
                  <w:sz w:val="13"/>
                  <w:szCs w:val="13"/>
                </w:rPr>
                <w:t>5</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EOLS (Somente EES)</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Del="00436016" w:rsidTr="00C16156">
        <w:trPr>
          <w:trHeight w:val="145"/>
          <w:jc w:val="center"/>
        </w:trPr>
        <w:tc>
          <w:tcPr>
            <w:tcW w:w="2734" w:type="dxa"/>
            <w:gridSpan w:val="2"/>
            <w:tcBorders>
              <w:bottom w:val="single" w:sz="4" w:space="0" w:color="auto"/>
            </w:tcBorders>
            <w:shd w:val="clear" w:color="auto" w:fill="FABF8F"/>
            <w:vAlign w:val="center"/>
          </w:tcPr>
          <w:p w:rsidR="001A63C6" w:rsidRPr="000A1C8E" w:rsidDel="00436016" w:rsidRDefault="001A63C6" w:rsidP="004F6A95">
            <w:pPr>
              <w:pStyle w:val="Heading2"/>
              <w:spacing w:beforeLines="20" w:before="48" w:afterLines="20" w:after="48"/>
              <w:ind w:left="0" w:firstLine="15"/>
              <w:rPr>
                <w:rFonts w:ascii="Tahoma" w:hAnsi="Tahoma" w:cs="Tahoma"/>
                <w:b w:val="0"/>
                <w:sz w:val="14"/>
                <w:szCs w:val="16"/>
              </w:rPr>
            </w:pPr>
            <w:bookmarkStart w:id="333" w:name="_Toc336338027"/>
            <w:bookmarkStart w:id="334" w:name="_Toc361829128"/>
            <w:r w:rsidRPr="000A1C8E">
              <w:rPr>
                <w:rFonts w:ascii="Tahoma" w:hAnsi="Tahoma" w:cs="Tahoma"/>
                <w:b w:val="0"/>
                <w:sz w:val="14"/>
                <w:szCs w:val="16"/>
              </w:rPr>
              <w:t>Office 365 Enterprise E1 (SL de Usuário)</w:t>
            </w:r>
            <w:bookmarkEnd w:id="333"/>
            <w:bookmarkEnd w:id="334"/>
          </w:p>
        </w:tc>
        <w:tc>
          <w:tcPr>
            <w:tcW w:w="450" w:type="dxa"/>
            <w:tcBorders>
              <w:bottom w:val="single" w:sz="4" w:space="0" w:color="auto"/>
            </w:tcBorders>
            <w:shd w:val="clear" w:color="auto" w:fill="FABF8F"/>
            <w:vAlign w:val="center"/>
          </w:tcPr>
          <w:p w:rsidR="001A63C6" w:rsidRPr="00DC1AC3" w:rsidDel="00436016" w:rsidRDefault="006C57E7" w:rsidP="00796355">
            <w:pPr>
              <w:pStyle w:val="TableText"/>
              <w:widowControl w:val="0"/>
              <w:rPr>
                <w:rFonts w:cs="Tahoma"/>
                <w:b/>
                <w:color w:val="0000FF"/>
                <w:sz w:val="13"/>
                <w:szCs w:val="13"/>
                <w:u w:val="single"/>
              </w:rPr>
            </w:pPr>
            <w:hyperlink w:anchor="_70_68_Office" w:history="1">
              <w:r w:rsidR="003D47E7" w:rsidRPr="00DC1AC3">
                <w:rPr>
                  <w:rStyle w:val="Hyperlink"/>
                  <w:rFonts w:cs="Tahoma"/>
                  <w:b/>
                  <w:sz w:val="13"/>
                  <w:szCs w:val="13"/>
                </w:rPr>
                <w:t>76</w:t>
              </w:r>
            </w:hyperlink>
            <w:hyperlink w:anchor="_65_Office_365" w:history="1"/>
            <w:hyperlink w:anchor="_71_Office_365_1" w:history="1"/>
          </w:p>
        </w:tc>
        <w:tc>
          <w:tcPr>
            <w:tcW w:w="433" w:type="dxa"/>
            <w:tcBorders>
              <w:bottom w:val="single" w:sz="4" w:space="0" w:color="auto"/>
            </w:tcBorders>
            <w:shd w:val="clear" w:color="auto" w:fill="FABF8F"/>
            <w:vAlign w:val="center"/>
          </w:tcPr>
          <w:p w:rsidR="001A63C6" w:rsidRPr="000A1C8E" w:rsidDel="00436016"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06/11</w:t>
            </w:r>
          </w:p>
        </w:tc>
        <w:tc>
          <w:tcPr>
            <w:tcW w:w="377"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r w:rsidRPr="000A1C8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r w:rsidRPr="000A1C8E">
              <w:rPr>
                <w:rFonts w:ascii="Tahoma" w:hAnsi="Tahoma" w:cs="Tahoma"/>
                <w:sz w:val="13"/>
              </w:rPr>
              <w:t>EOLS</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Del="00436016"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FFFFF"/>
            <w:vAlign w:val="center"/>
          </w:tcPr>
          <w:p w:rsidR="001A63C6" w:rsidRPr="000A1C8E" w:rsidRDefault="001A63C6" w:rsidP="004F6A95">
            <w:pPr>
              <w:pStyle w:val="Heading2"/>
              <w:spacing w:beforeLines="20" w:before="48" w:afterLines="20" w:after="48"/>
              <w:ind w:left="0" w:firstLine="15"/>
              <w:rPr>
                <w:rFonts w:ascii="Tahoma" w:hAnsi="Tahoma" w:cs="Tahoma"/>
                <w:b w:val="0"/>
                <w:sz w:val="14"/>
                <w:szCs w:val="16"/>
              </w:rPr>
            </w:pPr>
            <w:bookmarkStart w:id="335" w:name="_Toc336338028"/>
            <w:bookmarkStart w:id="336" w:name="_Toc361829129"/>
            <w:r w:rsidRPr="000A1C8E">
              <w:rPr>
                <w:rFonts w:ascii="Tahoma" w:hAnsi="Tahoma" w:cs="Tahoma"/>
                <w:b w:val="0"/>
                <w:sz w:val="14"/>
                <w:szCs w:val="16"/>
              </w:rPr>
              <w:t xml:space="preserve">Office 365 Enterprise E2 - E4 </w:t>
            </w:r>
            <w:r w:rsidR="005258ED">
              <w:rPr>
                <w:rFonts w:ascii="Tahoma" w:hAnsi="Tahoma" w:cs="Tahoma"/>
                <w:b w:val="0"/>
                <w:sz w:val="14"/>
                <w:szCs w:val="16"/>
              </w:rPr>
              <w:br/>
            </w:r>
            <w:r w:rsidRPr="000A1C8E">
              <w:rPr>
                <w:rFonts w:ascii="Tahoma" w:hAnsi="Tahoma" w:cs="Tahoma"/>
                <w:b w:val="0"/>
                <w:sz w:val="14"/>
                <w:szCs w:val="16"/>
              </w:rPr>
              <w:t>(SL de Usuário)</w:t>
            </w:r>
            <w:bookmarkEnd w:id="335"/>
            <w:bookmarkEnd w:id="336"/>
          </w:p>
        </w:tc>
        <w:tc>
          <w:tcPr>
            <w:tcW w:w="450" w:type="dxa"/>
            <w:tcBorders>
              <w:bottom w:val="single" w:sz="4" w:space="0" w:color="auto"/>
            </w:tcBorders>
            <w:shd w:val="clear" w:color="auto" w:fill="FFFFFF"/>
            <w:vAlign w:val="center"/>
          </w:tcPr>
          <w:p w:rsidR="001A63C6" w:rsidRPr="00DC1AC3" w:rsidRDefault="006C57E7" w:rsidP="00132E08">
            <w:pPr>
              <w:pStyle w:val="TableText"/>
              <w:widowControl w:val="0"/>
              <w:rPr>
                <w:rFonts w:cs="Tahoma"/>
                <w:b/>
                <w:color w:val="0000FF"/>
                <w:sz w:val="13"/>
                <w:szCs w:val="13"/>
                <w:u w:val="single"/>
              </w:rPr>
            </w:pPr>
            <w:hyperlink w:anchor="_7_Office_365_1" w:history="1">
              <w:r w:rsidR="003D47E7" w:rsidRPr="00DC1AC3">
                <w:rPr>
                  <w:rStyle w:val="Hyperlink"/>
                  <w:rFonts w:cs="Tahoma"/>
                  <w:b/>
                  <w:sz w:val="13"/>
                  <w:szCs w:val="13"/>
                </w:rPr>
                <w:t>8</w:t>
              </w:r>
            </w:hyperlink>
            <w:hyperlink w:anchor="_65_Office_365" w:history="1"/>
          </w:p>
        </w:tc>
        <w:tc>
          <w:tcPr>
            <w:tcW w:w="433" w:type="dxa"/>
            <w:tcBorders>
              <w:bottom w:val="single" w:sz="4" w:space="0" w:color="auto"/>
            </w:tcBorders>
            <w:shd w:val="clear" w:color="auto" w:fill="FFFFF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06/11</w:t>
            </w:r>
          </w:p>
        </w:tc>
        <w:tc>
          <w:tcPr>
            <w:tcW w:w="377" w:type="dxa"/>
            <w:tcBorders>
              <w:bottom w:val="single" w:sz="4" w:space="0" w:color="auto"/>
              <w:right w:val="single" w:sz="18"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EOLS</w:t>
            </w:r>
          </w:p>
        </w:tc>
        <w:tc>
          <w:tcPr>
            <w:tcW w:w="396" w:type="dxa"/>
            <w:tcBorders>
              <w:left w:val="single" w:sz="18" w:space="0" w:color="auto"/>
              <w:bottom w:val="single" w:sz="4" w:space="0" w:color="auto"/>
              <w:right w:val="single" w:sz="18"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FFFF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FFFFF"/>
            <w:vAlign w:val="center"/>
          </w:tcPr>
          <w:p w:rsidR="001A63C6" w:rsidRPr="000A1C8E" w:rsidRDefault="001A63C6" w:rsidP="001A63C6">
            <w:pPr>
              <w:pStyle w:val="TableText"/>
              <w:widowControl w:val="0"/>
              <w:rPr>
                <w:rFonts w:ascii="Tahoma" w:hAnsi="Tahoma" w:cs="Tahoma"/>
                <w:sz w:val="13"/>
              </w:rPr>
            </w:pPr>
          </w:p>
        </w:tc>
      </w:tr>
      <w:tr w:rsidR="00A53298" w:rsidRPr="000A1C8E" w:rsidTr="00C16156">
        <w:trPr>
          <w:trHeight w:val="145"/>
          <w:jc w:val="center"/>
        </w:trPr>
        <w:tc>
          <w:tcPr>
            <w:tcW w:w="2734" w:type="dxa"/>
            <w:gridSpan w:val="2"/>
            <w:tcBorders>
              <w:bottom w:val="single" w:sz="4" w:space="0" w:color="auto"/>
            </w:tcBorders>
            <w:shd w:val="clear" w:color="auto" w:fill="FABF8F"/>
            <w:vAlign w:val="center"/>
          </w:tcPr>
          <w:p w:rsidR="00A53298" w:rsidRPr="000A1C8E" w:rsidRDefault="00A53298" w:rsidP="004F6A95">
            <w:pPr>
              <w:pStyle w:val="Heading2"/>
              <w:spacing w:beforeLines="20" w:before="48" w:afterLines="20" w:after="48"/>
              <w:ind w:left="0" w:firstLine="15"/>
              <w:rPr>
                <w:rFonts w:ascii="Tahoma" w:hAnsi="Tahoma" w:cs="Tahoma"/>
                <w:b w:val="0"/>
                <w:sz w:val="14"/>
                <w:szCs w:val="16"/>
              </w:rPr>
            </w:pPr>
            <w:bookmarkStart w:id="337" w:name="_Toc361829130"/>
            <w:r w:rsidRPr="000A1C8E">
              <w:rPr>
                <w:rFonts w:ascii="Tahoma" w:hAnsi="Tahoma" w:cs="Tahoma"/>
                <w:b w:val="0"/>
                <w:sz w:val="14"/>
                <w:szCs w:val="16"/>
              </w:rPr>
              <w:t>Complemento do Office 365 Enterprise E1, E3, E4 (SL de Usuário)</w:t>
            </w:r>
            <w:bookmarkEnd w:id="337"/>
          </w:p>
        </w:tc>
        <w:tc>
          <w:tcPr>
            <w:tcW w:w="450" w:type="dxa"/>
            <w:tcBorders>
              <w:bottom w:val="single" w:sz="4" w:space="0" w:color="auto"/>
            </w:tcBorders>
            <w:shd w:val="clear" w:color="auto" w:fill="FABF8F"/>
            <w:vAlign w:val="center"/>
          </w:tcPr>
          <w:p w:rsidR="00A53298" w:rsidRPr="00DC1AC3" w:rsidRDefault="006C57E7" w:rsidP="00132E08">
            <w:pPr>
              <w:pStyle w:val="TableText"/>
              <w:widowControl w:val="0"/>
              <w:rPr>
                <w:rFonts w:cs="Tahoma"/>
              </w:rPr>
            </w:pPr>
            <w:hyperlink w:anchor="_7_Add-on_User" w:history="1">
              <w:r w:rsidR="008F40CA" w:rsidRPr="00DC1AC3">
                <w:rPr>
                  <w:rStyle w:val="Hyperlink"/>
                  <w:rFonts w:cs="Tahoma"/>
                  <w:b/>
                  <w:sz w:val="13"/>
                  <w:szCs w:val="13"/>
                </w:rPr>
                <w:t>7</w:t>
              </w:r>
            </w:hyperlink>
          </w:p>
        </w:tc>
        <w:tc>
          <w:tcPr>
            <w:tcW w:w="433" w:type="dxa"/>
            <w:tcBorders>
              <w:bottom w:val="single" w:sz="4" w:space="0" w:color="auto"/>
            </w:tcBorders>
            <w:shd w:val="clear" w:color="auto" w:fill="FABF8F"/>
            <w:vAlign w:val="center"/>
          </w:tcPr>
          <w:p w:rsidR="00A53298" w:rsidRPr="000A1C8E" w:rsidRDefault="00A53298" w:rsidP="00BF08CC">
            <w:pPr>
              <w:pStyle w:val="TableText"/>
              <w:widowControl w:val="0"/>
              <w:rPr>
                <w:rFonts w:ascii="Tahoma" w:hAnsi="Tahoma" w:cs="Tahoma"/>
                <w:color w:val="000000"/>
                <w:sz w:val="13"/>
              </w:rPr>
            </w:pPr>
            <w:r w:rsidRPr="000A1C8E">
              <w:rPr>
                <w:rFonts w:ascii="Tahoma" w:hAnsi="Tahoma" w:cs="Tahoma"/>
                <w:color w:val="000000"/>
                <w:sz w:val="13"/>
              </w:rPr>
              <w:t>08/13</w:t>
            </w:r>
          </w:p>
        </w:tc>
        <w:tc>
          <w:tcPr>
            <w:tcW w:w="377" w:type="dxa"/>
            <w:tcBorders>
              <w:bottom w:val="single" w:sz="4" w:space="0" w:color="auto"/>
              <w:right w:val="single" w:sz="18"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A53298" w:rsidRPr="000A1C8E" w:rsidRDefault="00A53298"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A53298" w:rsidRPr="000A1C8E" w:rsidRDefault="00A53298" w:rsidP="001A63C6">
            <w:pPr>
              <w:pStyle w:val="TableText"/>
              <w:widowControl w:val="0"/>
              <w:rPr>
                <w:rFonts w:ascii="Tahoma" w:hAnsi="Tahoma" w:cs="Tahoma"/>
                <w:sz w:val="13"/>
              </w:rPr>
            </w:pPr>
          </w:p>
        </w:tc>
      </w:tr>
      <w:tr w:rsidR="000F51BC" w:rsidRPr="000A1C8E" w:rsidDel="00436016" w:rsidTr="00C16156">
        <w:trPr>
          <w:trHeight w:val="145"/>
          <w:jc w:val="center"/>
        </w:trPr>
        <w:tc>
          <w:tcPr>
            <w:tcW w:w="2734" w:type="dxa"/>
            <w:gridSpan w:val="2"/>
            <w:tcBorders>
              <w:bottom w:val="single" w:sz="4" w:space="0" w:color="auto"/>
            </w:tcBorders>
            <w:shd w:val="clear" w:color="auto" w:fill="auto"/>
            <w:vAlign w:val="center"/>
          </w:tcPr>
          <w:p w:rsidR="00273EB9" w:rsidRPr="000A1C8E" w:rsidRDefault="00273EB9" w:rsidP="004F6A95">
            <w:pPr>
              <w:pStyle w:val="Heading2"/>
              <w:spacing w:beforeLines="20" w:before="48" w:afterLines="20" w:after="48"/>
              <w:ind w:left="0" w:firstLine="15"/>
              <w:rPr>
                <w:rFonts w:ascii="Tahoma" w:hAnsi="Tahoma" w:cs="Tahoma"/>
                <w:b w:val="0"/>
                <w:sz w:val="14"/>
                <w:szCs w:val="16"/>
              </w:rPr>
            </w:pPr>
            <w:bookmarkStart w:id="338" w:name="_Toc361829131"/>
            <w:r w:rsidRPr="000A1C8E">
              <w:rPr>
                <w:rFonts w:ascii="Tahoma" w:hAnsi="Tahoma" w:cs="Tahoma"/>
                <w:b w:val="0"/>
                <w:sz w:val="14"/>
                <w:szCs w:val="16"/>
              </w:rPr>
              <w:t xml:space="preserve">Office 365 Enterprise E3, E4 sem Complemento do Office Pro Plus </w:t>
            </w:r>
            <w:r w:rsidR="00133662" w:rsidRPr="000A1C8E">
              <w:rPr>
                <w:rFonts w:ascii="Tahoma" w:hAnsi="Tahoma" w:cs="Tahoma"/>
                <w:b w:val="0"/>
                <w:sz w:val="14"/>
                <w:szCs w:val="16"/>
              </w:rPr>
              <w:br/>
            </w:r>
            <w:r w:rsidRPr="000A1C8E">
              <w:rPr>
                <w:rFonts w:ascii="Tahoma" w:hAnsi="Tahoma" w:cs="Tahoma"/>
                <w:b w:val="0"/>
                <w:sz w:val="14"/>
                <w:szCs w:val="16"/>
              </w:rPr>
              <w:t>(SL de Usuário)</w:t>
            </w:r>
            <w:bookmarkEnd w:id="338"/>
          </w:p>
        </w:tc>
        <w:tc>
          <w:tcPr>
            <w:tcW w:w="450" w:type="dxa"/>
            <w:tcBorders>
              <w:bottom w:val="single" w:sz="4" w:space="0" w:color="auto"/>
            </w:tcBorders>
            <w:shd w:val="clear" w:color="auto" w:fill="auto"/>
            <w:vAlign w:val="center"/>
          </w:tcPr>
          <w:p w:rsidR="00273EB9" w:rsidRPr="00DC1AC3" w:rsidRDefault="006C57E7" w:rsidP="00132E08">
            <w:pPr>
              <w:pStyle w:val="TableText"/>
              <w:widowControl w:val="0"/>
              <w:rPr>
                <w:rFonts w:cs="Tahoma"/>
              </w:rPr>
            </w:pPr>
            <w:hyperlink w:anchor="_7_Add-on_User" w:history="1">
              <w:r w:rsidR="003D47E7" w:rsidRPr="00DC1AC3">
                <w:rPr>
                  <w:rStyle w:val="Hyperlink"/>
                  <w:rFonts w:cs="Tahoma"/>
                  <w:b/>
                  <w:sz w:val="13"/>
                  <w:szCs w:val="13"/>
                </w:rPr>
                <w:t>7</w:t>
              </w:r>
            </w:hyperlink>
          </w:p>
        </w:tc>
        <w:tc>
          <w:tcPr>
            <w:tcW w:w="433" w:type="dxa"/>
            <w:tcBorders>
              <w:bottom w:val="single" w:sz="4" w:space="0" w:color="auto"/>
            </w:tcBorders>
            <w:shd w:val="clear" w:color="auto" w:fill="auto"/>
            <w:vAlign w:val="center"/>
          </w:tcPr>
          <w:p w:rsidR="00273EB9" w:rsidRPr="000A1C8E" w:rsidRDefault="00273EB9" w:rsidP="00BF08CC">
            <w:pPr>
              <w:pStyle w:val="TableText"/>
              <w:widowControl w:val="0"/>
              <w:rPr>
                <w:rFonts w:ascii="Tahoma" w:hAnsi="Tahoma" w:cs="Tahoma"/>
                <w:color w:val="000000"/>
                <w:sz w:val="13"/>
              </w:rPr>
            </w:pPr>
            <w:r w:rsidRPr="000A1C8E">
              <w:rPr>
                <w:rFonts w:ascii="Tahoma" w:hAnsi="Tahoma" w:cs="Tahoma"/>
                <w:color w:val="000000"/>
                <w:sz w:val="13"/>
              </w:rPr>
              <w:t>08/13</w:t>
            </w:r>
          </w:p>
        </w:tc>
        <w:tc>
          <w:tcPr>
            <w:tcW w:w="377" w:type="dxa"/>
            <w:tcBorders>
              <w:bottom w:val="single" w:sz="4" w:space="0" w:color="auto"/>
              <w:right w:val="single" w:sz="18" w:space="0" w:color="auto"/>
            </w:tcBorders>
            <w:shd w:val="clear" w:color="auto" w:fill="auto"/>
            <w:vAlign w:val="center"/>
          </w:tcPr>
          <w:p w:rsidR="00273EB9" w:rsidRPr="000A1C8E"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273EB9" w:rsidRPr="000A1C8E" w:rsidRDefault="00273EB9"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273EB9" w:rsidRPr="000A1C8E" w:rsidDel="00436016" w:rsidRDefault="00273EB9"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273EB9" w:rsidRPr="000A1C8E" w:rsidDel="00436016" w:rsidRDefault="00273EB9" w:rsidP="001A63C6">
            <w:pPr>
              <w:pStyle w:val="TableText"/>
              <w:widowControl w:val="0"/>
              <w:rPr>
                <w:rFonts w:ascii="Tahoma" w:hAnsi="Tahoma" w:cs="Tahoma"/>
                <w:sz w:val="13"/>
              </w:rPr>
            </w:pPr>
          </w:p>
        </w:tc>
      </w:tr>
      <w:tr w:rsidR="00B33D0E" w:rsidRPr="000A1C8E" w:rsidDel="00436016" w:rsidTr="00C16156">
        <w:trPr>
          <w:trHeight w:val="145"/>
          <w:jc w:val="center"/>
        </w:trPr>
        <w:tc>
          <w:tcPr>
            <w:tcW w:w="2734" w:type="dxa"/>
            <w:gridSpan w:val="2"/>
            <w:tcBorders>
              <w:bottom w:val="single" w:sz="4" w:space="0" w:color="auto"/>
            </w:tcBorders>
            <w:shd w:val="clear" w:color="auto" w:fill="FABF8F"/>
            <w:vAlign w:val="center"/>
          </w:tcPr>
          <w:p w:rsidR="001A63C6" w:rsidRPr="000A1C8E" w:rsidDel="00436016" w:rsidRDefault="001A63C6" w:rsidP="004F6A95">
            <w:pPr>
              <w:pStyle w:val="Heading2"/>
              <w:spacing w:beforeLines="20" w:before="48" w:afterLines="20" w:after="48"/>
              <w:ind w:left="0" w:firstLine="15"/>
              <w:rPr>
                <w:rFonts w:ascii="Tahoma" w:hAnsi="Tahoma" w:cs="Tahoma"/>
                <w:b w:val="0"/>
                <w:sz w:val="14"/>
                <w:szCs w:val="16"/>
              </w:rPr>
            </w:pPr>
            <w:bookmarkStart w:id="339" w:name="_Toc336338030"/>
            <w:bookmarkStart w:id="340" w:name="_Toc361829132"/>
            <w:r w:rsidRPr="000A1C8E">
              <w:rPr>
                <w:rFonts w:ascii="Tahoma" w:hAnsi="Tahoma" w:cs="Tahoma"/>
                <w:b w:val="0"/>
                <w:sz w:val="14"/>
                <w:szCs w:val="16"/>
              </w:rPr>
              <w:t>Office 365 Enterprise K1 (SL de Usuário)</w:t>
            </w:r>
            <w:bookmarkEnd w:id="339"/>
            <w:bookmarkEnd w:id="340"/>
          </w:p>
        </w:tc>
        <w:tc>
          <w:tcPr>
            <w:tcW w:w="450" w:type="dxa"/>
            <w:tcBorders>
              <w:bottom w:val="single" w:sz="4" w:space="0" w:color="auto"/>
            </w:tcBorders>
            <w:shd w:val="clear" w:color="auto" w:fill="FABF8F"/>
            <w:vAlign w:val="center"/>
          </w:tcPr>
          <w:p w:rsidR="001A63C6" w:rsidRPr="00DC1AC3" w:rsidDel="00436016" w:rsidRDefault="006C57E7" w:rsidP="00796355">
            <w:pPr>
              <w:pStyle w:val="TableText"/>
              <w:widowControl w:val="0"/>
              <w:rPr>
                <w:rFonts w:cs="Tahoma"/>
                <w:b/>
                <w:color w:val="0000FF"/>
                <w:sz w:val="13"/>
                <w:szCs w:val="13"/>
                <w:u w:val="single"/>
              </w:rPr>
            </w:pPr>
            <w:hyperlink w:anchor="_70_68_Office" w:history="1">
              <w:r w:rsidR="003D47E7" w:rsidRPr="00DC1AC3">
                <w:rPr>
                  <w:rStyle w:val="Hyperlink"/>
                  <w:rFonts w:cs="Tahoma"/>
                  <w:b/>
                  <w:sz w:val="13"/>
                  <w:szCs w:val="13"/>
                </w:rPr>
                <w:t>76</w:t>
              </w:r>
            </w:hyperlink>
            <w:hyperlink w:anchor="_69_Office_365_1" w:history="1"/>
          </w:p>
        </w:tc>
        <w:tc>
          <w:tcPr>
            <w:tcW w:w="433" w:type="dxa"/>
            <w:tcBorders>
              <w:bottom w:val="single" w:sz="4" w:space="0" w:color="auto"/>
            </w:tcBorders>
            <w:shd w:val="clear" w:color="auto" w:fill="FABF8F"/>
            <w:vAlign w:val="center"/>
          </w:tcPr>
          <w:p w:rsidR="001A63C6" w:rsidRPr="000A1C8E" w:rsidDel="00436016"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06/11</w:t>
            </w:r>
          </w:p>
        </w:tc>
        <w:tc>
          <w:tcPr>
            <w:tcW w:w="377" w:type="dxa"/>
            <w:tcBorders>
              <w:bottom w:val="single" w:sz="4" w:space="0" w:color="auto"/>
              <w:right w:val="single" w:sz="18" w:space="0" w:color="auto"/>
            </w:tcBorders>
            <w:shd w:val="clear" w:color="auto" w:fill="FABF8F"/>
            <w:vAlign w:val="center"/>
          </w:tcPr>
          <w:p w:rsidR="001A63C6" w:rsidRPr="000A1C8E" w:rsidDel="00436016" w:rsidRDefault="001A63C6" w:rsidP="00BF08CC">
            <w:pPr>
              <w:pStyle w:val="TableText"/>
              <w:widowControl w:val="0"/>
              <w:rPr>
                <w:rFonts w:ascii="Tahoma" w:hAnsi="Tahoma" w:cs="Tahoma"/>
                <w:sz w:val="13"/>
              </w:rPr>
            </w:pPr>
            <w:r w:rsidRPr="000A1C8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Del="00436016"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Del="00436016" w:rsidRDefault="001A63C6" w:rsidP="001A63C6">
            <w:pPr>
              <w:pStyle w:val="TableText"/>
              <w:widowControl w:val="0"/>
              <w:rPr>
                <w:rFonts w:ascii="Tahoma" w:hAnsi="Tahoma" w:cs="Tahoma"/>
                <w:sz w:val="13"/>
              </w:rPr>
            </w:pPr>
          </w:p>
        </w:tc>
      </w:tr>
      <w:tr w:rsidR="000F51BC" w:rsidRPr="000A1C8E" w:rsidDel="00436016" w:rsidTr="00C16156">
        <w:trPr>
          <w:trHeight w:val="145"/>
          <w:jc w:val="center"/>
        </w:trPr>
        <w:tc>
          <w:tcPr>
            <w:tcW w:w="2734" w:type="dxa"/>
            <w:gridSpan w:val="2"/>
            <w:tcBorders>
              <w:bottom w:val="single" w:sz="4" w:space="0" w:color="auto"/>
            </w:tcBorders>
            <w:shd w:val="clear" w:color="auto" w:fill="auto"/>
            <w:vAlign w:val="center"/>
          </w:tcPr>
          <w:p w:rsidR="001A63C6" w:rsidRPr="000A1C8E" w:rsidDel="00436016" w:rsidRDefault="001A63C6" w:rsidP="004F6A95">
            <w:pPr>
              <w:pStyle w:val="Heading2"/>
              <w:spacing w:beforeLines="20" w:before="48" w:afterLines="20" w:after="48"/>
              <w:ind w:left="0" w:firstLine="15"/>
              <w:rPr>
                <w:rFonts w:ascii="Tahoma" w:hAnsi="Tahoma" w:cs="Tahoma"/>
                <w:b w:val="0"/>
                <w:sz w:val="14"/>
                <w:szCs w:val="16"/>
              </w:rPr>
            </w:pPr>
            <w:bookmarkStart w:id="341" w:name="_Toc336338031"/>
            <w:bookmarkStart w:id="342" w:name="_Toc361829133"/>
            <w:r w:rsidRPr="000A1C8E">
              <w:rPr>
                <w:rFonts w:ascii="Tahoma" w:hAnsi="Tahoma" w:cs="Tahoma"/>
                <w:b w:val="0"/>
                <w:sz w:val="14"/>
                <w:szCs w:val="16"/>
              </w:rPr>
              <w:t>Office 365 Enterprise K2 (SL de Usuário)</w:t>
            </w:r>
            <w:bookmarkEnd w:id="341"/>
            <w:bookmarkEnd w:id="342"/>
          </w:p>
        </w:tc>
        <w:tc>
          <w:tcPr>
            <w:tcW w:w="450" w:type="dxa"/>
            <w:tcBorders>
              <w:bottom w:val="single" w:sz="4" w:space="0" w:color="auto"/>
            </w:tcBorders>
            <w:shd w:val="clear" w:color="auto" w:fill="auto"/>
            <w:vAlign w:val="center"/>
          </w:tcPr>
          <w:p w:rsidR="001A63C6" w:rsidRPr="00DC1AC3" w:rsidDel="00436016" w:rsidRDefault="006C57E7" w:rsidP="00796355">
            <w:pPr>
              <w:pStyle w:val="TableText"/>
              <w:widowControl w:val="0"/>
              <w:rPr>
                <w:rFonts w:cs="Tahoma"/>
                <w:b/>
                <w:color w:val="0000FF"/>
                <w:sz w:val="13"/>
                <w:szCs w:val="13"/>
                <w:u w:val="single"/>
              </w:rPr>
            </w:pPr>
            <w:hyperlink w:anchor="_69_Office_365_1" w:history="1">
              <w:r w:rsidR="003D47E7" w:rsidRPr="00DC1AC3">
                <w:rPr>
                  <w:rStyle w:val="Hyperlink"/>
                  <w:rFonts w:cs="Tahoma"/>
                  <w:b/>
                  <w:sz w:val="13"/>
                  <w:szCs w:val="13"/>
                </w:rPr>
                <w:t>77</w:t>
              </w:r>
            </w:hyperlink>
            <w:hyperlink w:anchor="_69_Office_365_1" w:history="1"/>
            <w:hyperlink w:anchor="Srv_74Office365PlanK1K2" w:history="1"/>
          </w:p>
        </w:tc>
        <w:tc>
          <w:tcPr>
            <w:tcW w:w="433" w:type="dxa"/>
            <w:tcBorders>
              <w:bottom w:val="single" w:sz="4" w:space="0" w:color="auto"/>
            </w:tcBorders>
            <w:shd w:val="clear" w:color="auto" w:fill="auto"/>
            <w:vAlign w:val="center"/>
          </w:tcPr>
          <w:p w:rsidR="001A63C6" w:rsidRPr="000A1C8E" w:rsidDel="00436016" w:rsidRDefault="001A63C6" w:rsidP="00BF08CC">
            <w:pPr>
              <w:pStyle w:val="TableText"/>
              <w:widowControl w:val="0"/>
              <w:rPr>
                <w:rFonts w:ascii="Tahoma" w:hAnsi="Tahoma" w:cs="Tahoma"/>
                <w:color w:val="000000"/>
                <w:sz w:val="13"/>
              </w:rPr>
            </w:pPr>
            <w:r w:rsidRPr="000A1C8E">
              <w:rPr>
                <w:rFonts w:ascii="Tahoma" w:hAnsi="Tahoma" w:cs="Tahoma"/>
                <w:color w:val="000000"/>
                <w:sz w:val="13"/>
              </w:rPr>
              <w:t>06/11</w:t>
            </w:r>
          </w:p>
        </w:tc>
        <w:tc>
          <w:tcPr>
            <w:tcW w:w="377" w:type="dxa"/>
            <w:tcBorders>
              <w:bottom w:val="single" w:sz="4" w:space="0" w:color="auto"/>
              <w:right w:val="single" w:sz="18" w:space="0" w:color="auto"/>
            </w:tcBorders>
            <w:shd w:val="clear" w:color="auto" w:fill="auto"/>
            <w:vAlign w:val="center"/>
          </w:tcPr>
          <w:p w:rsidR="001A63C6" w:rsidRPr="000A1C8E" w:rsidDel="00436016" w:rsidRDefault="001A63C6" w:rsidP="00BF08CC">
            <w:pPr>
              <w:pStyle w:val="TableText"/>
              <w:widowControl w:val="0"/>
              <w:rPr>
                <w:rFonts w:ascii="Tahoma" w:hAnsi="Tahoma" w:cs="Tahoma"/>
                <w:sz w:val="13"/>
              </w:rPr>
            </w:pPr>
            <w:r w:rsidRPr="000A1C8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Del="00436016"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Del="00436016" w:rsidRDefault="001A63C6" w:rsidP="001A63C6">
            <w:pPr>
              <w:pStyle w:val="TableText"/>
              <w:widowControl w:val="0"/>
              <w:rPr>
                <w:rFonts w:ascii="Tahoma" w:hAnsi="Tahoma" w:cs="Tahoma"/>
                <w:sz w:val="13"/>
              </w:rPr>
            </w:pPr>
          </w:p>
        </w:tc>
      </w:tr>
      <w:tr w:rsidR="00871AE2" w:rsidRPr="000A1C8E" w:rsidDel="00436016" w:rsidTr="00C16156">
        <w:trPr>
          <w:trHeight w:val="145"/>
          <w:jc w:val="center"/>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RDefault="00871AE2" w:rsidP="004F6A95">
            <w:pPr>
              <w:pStyle w:val="Heading2"/>
              <w:spacing w:beforeLines="20" w:before="48" w:afterLines="20" w:after="48"/>
              <w:ind w:left="0" w:firstLine="15"/>
              <w:rPr>
                <w:rFonts w:ascii="Tahoma" w:hAnsi="Tahoma" w:cs="Tahoma"/>
                <w:b w:val="0"/>
                <w:sz w:val="14"/>
                <w:szCs w:val="16"/>
              </w:rPr>
            </w:pPr>
            <w:bookmarkStart w:id="343" w:name="_Toc361829134"/>
            <w:r w:rsidRPr="000A1C8E">
              <w:rPr>
                <w:rFonts w:ascii="Tahoma" w:hAnsi="Tahoma" w:cs="Tahoma"/>
                <w:b w:val="0"/>
                <w:sz w:val="14"/>
                <w:szCs w:val="16"/>
              </w:rPr>
              <w:t xml:space="preserve">Office 365 Government G1 - G4 </w:t>
            </w:r>
            <w:r w:rsidR="008E5ED7">
              <w:rPr>
                <w:rFonts w:ascii="Tahoma" w:hAnsi="Tahoma" w:cs="Tahoma"/>
                <w:b w:val="0"/>
                <w:sz w:val="14"/>
                <w:szCs w:val="16"/>
              </w:rPr>
              <w:br/>
            </w:r>
            <w:r w:rsidRPr="000A1C8E">
              <w:rPr>
                <w:rFonts w:ascii="Tahoma" w:hAnsi="Tahoma" w:cs="Tahoma"/>
                <w:b w:val="0"/>
                <w:sz w:val="14"/>
                <w:szCs w:val="16"/>
              </w:rPr>
              <w:t>(SL de Usuário)</w:t>
            </w:r>
            <w:bookmarkEnd w:id="34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C1AC3" w:rsidRDefault="006C57E7" w:rsidP="00796355">
            <w:pPr>
              <w:pStyle w:val="TableText"/>
              <w:widowControl w:val="0"/>
              <w:rPr>
                <w:rFonts w:cs="Tahoma"/>
                <w:b/>
                <w:sz w:val="13"/>
                <w:szCs w:val="13"/>
              </w:rPr>
            </w:pPr>
            <w:hyperlink w:anchor="_70_Office_365" w:history="1">
              <w:r w:rsidR="003D47E7" w:rsidRPr="00DC1AC3">
                <w:rPr>
                  <w:rStyle w:val="Hyperlink"/>
                  <w:rFonts w:cs="Tahoma"/>
                  <w:b/>
                  <w:sz w:val="13"/>
                  <w:szCs w:val="13"/>
                </w:rPr>
                <w:t>78</w:t>
              </w:r>
            </w:hyperlink>
          </w:p>
        </w:tc>
        <w:tc>
          <w:tcPr>
            <w:tcW w:w="433"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RDefault="00871AE2" w:rsidP="00BF08CC">
            <w:pPr>
              <w:pStyle w:val="TableText"/>
              <w:widowControl w:val="0"/>
              <w:rPr>
                <w:rFonts w:ascii="Tahoma" w:hAnsi="Tahoma" w:cs="Tahoma"/>
                <w:color w:val="000000"/>
                <w:sz w:val="13"/>
              </w:rPr>
            </w:pPr>
            <w:r w:rsidRPr="000A1C8E">
              <w:rPr>
                <w:rFonts w:ascii="Tahoma" w:hAnsi="Tahoma" w:cs="Tahoma"/>
                <w:color w:val="000000"/>
                <w:sz w:val="13"/>
              </w:rPr>
              <w:t>08/12</w:t>
            </w:r>
          </w:p>
        </w:tc>
        <w:tc>
          <w:tcPr>
            <w:tcW w:w="377"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A1C8E" w:rsidRDefault="00871AE2" w:rsidP="00BF08CC">
            <w:pPr>
              <w:pStyle w:val="TableText"/>
              <w:widowControl w:val="0"/>
              <w:rPr>
                <w:rFonts w:ascii="Tahoma" w:hAnsi="Tahoma" w:cs="Tahoma"/>
                <w:sz w:val="13"/>
              </w:rPr>
            </w:pPr>
            <w:r w:rsidRPr="000A1C8E">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369"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396"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A1C8E" w:rsidRDefault="00871AE2" w:rsidP="00871AE2">
            <w:pPr>
              <w:pStyle w:val="TableText"/>
              <w:widowControl w:val="0"/>
              <w:rPr>
                <w:rFonts w:ascii="Tahoma" w:hAnsi="Tahoma" w:cs="Tahoma"/>
                <w:sz w:val="13"/>
              </w:rPr>
            </w:pPr>
            <w:r w:rsidRPr="000A1C8E">
              <w:rPr>
                <w:rFonts w:ascii="Tahoma" w:hAnsi="Tahoma" w:cs="Tahoma"/>
                <w:sz w:val="13"/>
              </w:rPr>
              <w:t>EOLS</w:t>
            </w:r>
          </w:p>
        </w:tc>
        <w:tc>
          <w:tcPr>
            <w:tcW w:w="396"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c>
          <w:tcPr>
            <w:tcW w:w="693" w:type="dxa"/>
            <w:tcBorders>
              <w:top w:val="single" w:sz="4" w:space="0" w:color="auto"/>
              <w:left w:val="single" w:sz="4" w:space="0" w:color="auto"/>
              <w:bottom w:val="single" w:sz="4" w:space="0" w:color="auto"/>
              <w:right w:val="single" w:sz="4" w:space="0" w:color="auto"/>
            </w:tcBorders>
            <w:shd w:val="clear" w:color="auto" w:fill="FABF8F"/>
          </w:tcPr>
          <w:p w:rsidR="00871AE2" w:rsidRPr="000A1C8E" w:rsidDel="00436016" w:rsidRDefault="00871AE2" w:rsidP="00871AE2">
            <w:pPr>
              <w:pStyle w:val="TableText"/>
              <w:widowControl w:val="0"/>
              <w:spacing w:before="120"/>
              <w:rPr>
                <w:rFonts w:ascii="Tahoma" w:hAnsi="Tahoma" w:cs="Tahoma"/>
                <w:sz w:val="13"/>
              </w:rPr>
            </w:pPr>
          </w:p>
        </w:tc>
        <w:tc>
          <w:tcPr>
            <w:tcW w:w="486"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A1C8E" w:rsidDel="00436016" w:rsidRDefault="00871AE2" w:rsidP="00871AE2">
            <w:pPr>
              <w:pStyle w:val="TableText"/>
              <w:widowControl w:val="0"/>
              <w:rPr>
                <w:rFonts w:ascii="Tahoma" w:hAnsi="Tahoma" w:cs="Tahoma"/>
                <w:sz w:val="13"/>
              </w:rPr>
            </w:pPr>
          </w:p>
        </w:tc>
      </w:tr>
      <w:tr w:rsidR="00A53298" w:rsidRPr="000A1C8E" w:rsidDel="00436016" w:rsidTr="00C16156">
        <w:trPr>
          <w:trHeight w:val="145"/>
          <w:jc w:val="center"/>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RDefault="00A53298" w:rsidP="004F6A95">
            <w:pPr>
              <w:pStyle w:val="Heading2"/>
              <w:spacing w:beforeLines="20" w:before="48" w:afterLines="20" w:after="48"/>
              <w:ind w:left="0" w:firstLine="15"/>
              <w:rPr>
                <w:rFonts w:ascii="Tahoma" w:hAnsi="Tahoma" w:cs="Tahoma"/>
                <w:b w:val="0"/>
                <w:sz w:val="14"/>
                <w:szCs w:val="16"/>
              </w:rPr>
            </w:pPr>
            <w:bookmarkStart w:id="344" w:name="_Toc361829135"/>
            <w:r w:rsidRPr="000A1C8E">
              <w:rPr>
                <w:rFonts w:ascii="Tahoma" w:hAnsi="Tahoma" w:cs="Tahoma"/>
                <w:b w:val="0"/>
                <w:sz w:val="14"/>
                <w:szCs w:val="16"/>
              </w:rPr>
              <w:lastRenderedPageBreak/>
              <w:t>Complemento do Office 365 Government G1, G3, G4 (SL de Usuário)</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DC1AC3" w:rsidRDefault="006C57E7" w:rsidP="00796355">
            <w:pPr>
              <w:pStyle w:val="TableText"/>
              <w:widowControl w:val="0"/>
              <w:rPr>
                <w:rFonts w:cs="Tahoma"/>
              </w:rPr>
            </w:pPr>
            <w:hyperlink w:anchor="_7_Add-on_User" w:history="1">
              <w:r w:rsidR="008F40CA" w:rsidRPr="00DC1AC3">
                <w:rPr>
                  <w:rStyle w:val="Hyperlink"/>
                  <w:rFonts w:cs="Tahoma"/>
                  <w:b/>
                  <w:sz w:val="13"/>
                  <w:szCs w:val="13"/>
                </w:rPr>
                <w:t>7</w:t>
              </w:r>
            </w:hyperlink>
          </w:p>
        </w:tc>
        <w:tc>
          <w:tcPr>
            <w:tcW w:w="433"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RDefault="00A53298" w:rsidP="00BF08CC">
            <w:pPr>
              <w:pStyle w:val="TableText"/>
              <w:widowControl w:val="0"/>
              <w:rPr>
                <w:rFonts w:ascii="Tahoma" w:hAnsi="Tahoma" w:cs="Tahoma"/>
                <w:color w:val="000000"/>
                <w:sz w:val="13"/>
              </w:rPr>
            </w:pPr>
            <w:r w:rsidRPr="000A1C8E">
              <w:rPr>
                <w:rFonts w:ascii="Tahoma" w:hAnsi="Tahoma" w:cs="Tahoma"/>
                <w:color w:val="000000"/>
                <w:sz w:val="13"/>
              </w:rPr>
              <w:t>08/13</w:t>
            </w:r>
          </w:p>
        </w:tc>
        <w:tc>
          <w:tcPr>
            <w:tcW w:w="377"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0A1C8E" w:rsidRDefault="00A53298"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369"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396"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0A1C8E" w:rsidRDefault="00A53298" w:rsidP="00871AE2">
            <w:pPr>
              <w:pStyle w:val="TableText"/>
              <w:widowControl w:val="0"/>
              <w:rPr>
                <w:rFonts w:ascii="Tahoma" w:hAnsi="Tahoma" w:cs="Tahoma"/>
                <w:sz w:val="13"/>
              </w:rPr>
            </w:pPr>
            <w:r w:rsidRPr="000A1C8E">
              <w:rPr>
                <w:rFonts w:ascii="Tahoma" w:hAnsi="Tahoma" w:cs="Tahoma"/>
                <w:sz w:val="13"/>
              </w:rPr>
              <w:t>A</w:t>
            </w:r>
          </w:p>
        </w:tc>
        <w:tc>
          <w:tcPr>
            <w:tcW w:w="396" w:type="dxa"/>
            <w:tcBorders>
              <w:top w:val="single" w:sz="4" w:space="0" w:color="auto"/>
              <w:left w:val="single" w:sz="18" w:space="0" w:color="auto"/>
              <w:bottom w:val="single" w:sz="4" w:space="0" w:color="auto"/>
              <w:right w:val="single" w:sz="18"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c>
          <w:tcPr>
            <w:tcW w:w="693" w:type="dxa"/>
            <w:tcBorders>
              <w:top w:val="single" w:sz="4" w:space="0" w:color="auto"/>
              <w:left w:val="single" w:sz="4" w:space="0" w:color="auto"/>
              <w:bottom w:val="single" w:sz="4" w:space="0" w:color="auto"/>
              <w:right w:val="single" w:sz="4" w:space="0" w:color="auto"/>
            </w:tcBorders>
            <w:shd w:val="clear" w:color="auto" w:fill="auto"/>
          </w:tcPr>
          <w:p w:rsidR="00A53298" w:rsidRPr="000A1C8E" w:rsidDel="00436016" w:rsidRDefault="00A53298" w:rsidP="00871AE2">
            <w:pPr>
              <w:pStyle w:val="TableText"/>
              <w:widowControl w:val="0"/>
              <w:spacing w:before="120"/>
              <w:rPr>
                <w:rFonts w:ascii="Tahoma" w:hAnsi="Tahoma" w:cs="Tahoma"/>
                <w:sz w:val="13"/>
              </w:rPr>
            </w:pPr>
          </w:p>
        </w:tc>
        <w:tc>
          <w:tcPr>
            <w:tcW w:w="486"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0A1C8E" w:rsidDel="00436016" w:rsidRDefault="00A53298" w:rsidP="00871AE2">
            <w:pPr>
              <w:pStyle w:val="TableText"/>
              <w:widowControl w:val="0"/>
              <w:rPr>
                <w:rFonts w:ascii="Tahoma" w:hAnsi="Tahoma" w:cs="Tahoma"/>
                <w:sz w:val="13"/>
              </w:rPr>
            </w:pPr>
          </w:p>
        </w:tc>
      </w:tr>
      <w:tr w:rsidR="00273EB9" w:rsidRPr="000A1C8E" w:rsidDel="00436016" w:rsidTr="00C16156">
        <w:trPr>
          <w:trHeight w:val="145"/>
          <w:jc w:val="center"/>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RDefault="00273EB9" w:rsidP="004F6A95">
            <w:pPr>
              <w:pStyle w:val="Heading2"/>
              <w:spacing w:beforeLines="20" w:before="48" w:afterLines="20" w:after="48"/>
              <w:ind w:left="0" w:firstLine="15"/>
              <w:rPr>
                <w:rFonts w:ascii="Tahoma" w:hAnsi="Tahoma" w:cs="Tahoma"/>
                <w:b w:val="0"/>
                <w:sz w:val="14"/>
                <w:szCs w:val="16"/>
              </w:rPr>
            </w:pPr>
            <w:bookmarkStart w:id="345" w:name="_Toc361829136"/>
            <w:r w:rsidRPr="000A1C8E">
              <w:rPr>
                <w:rFonts w:ascii="Tahoma" w:hAnsi="Tahoma" w:cs="Tahoma"/>
                <w:b w:val="0"/>
                <w:sz w:val="14"/>
                <w:szCs w:val="16"/>
              </w:rPr>
              <w:t xml:space="preserve">Office 365 Government G3, G4 sem Complemento do Office Pro Plus </w:t>
            </w:r>
            <w:r w:rsidR="008E5ED7">
              <w:rPr>
                <w:rFonts w:ascii="Tahoma" w:hAnsi="Tahoma" w:cs="Tahoma"/>
                <w:b w:val="0"/>
                <w:sz w:val="14"/>
                <w:szCs w:val="16"/>
              </w:rPr>
              <w:br/>
            </w:r>
            <w:r w:rsidRPr="000A1C8E">
              <w:rPr>
                <w:rFonts w:ascii="Tahoma" w:hAnsi="Tahoma" w:cs="Tahoma"/>
                <w:b w:val="0"/>
                <w:sz w:val="14"/>
                <w:szCs w:val="16"/>
              </w:rPr>
              <w:t>(SL de Usuário)</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DC1AC3" w:rsidRDefault="006C57E7" w:rsidP="00796355">
            <w:pPr>
              <w:pStyle w:val="TableText"/>
              <w:widowControl w:val="0"/>
              <w:rPr>
                <w:rFonts w:cs="Tahoma"/>
              </w:rPr>
            </w:pPr>
            <w:hyperlink w:anchor="_7_Add-on_User" w:history="1">
              <w:r w:rsidR="008E5ED7" w:rsidRPr="00DC1AC3">
                <w:rPr>
                  <w:rStyle w:val="Hyperlink"/>
                  <w:rFonts w:cs="Tahoma"/>
                  <w:b/>
                  <w:sz w:val="13"/>
                  <w:szCs w:val="13"/>
                </w:rPr>
                <w:t>7</w:t>
              </w:r>
            </w:hyperlink>
          </w:p>
        </w:tc>
        <w:tc>
          <w:tcPr>
            <w:tcW w:w="433"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RDefault="00273EB9" w:rsidP="00BF08CC">
            <w:pPr>
              <w:pStyle w:val="TableText"/>
              <w:widowControl w:val="0"/>
              <w:rPr>
                <w:rFonts w:ascii="Tahoma" w:hAnsi="Tahoma" w:cs="Tahoma"/>
                <w:color w:val="000000"/>
                <w:sz w:val="13"/>
              </w:rPr>
            </w:pPr>
            <w:r w:rsidRPr="000A1C8E">
              <w:rPr>
                <w:rFonts w:ascii="Tahoma" w:hAnsi="Tahoma" w:cs="Tahoma"/>
                <w:color w:val="000000"/>
                <w:sz w:val="13"/>
              </w:rPr>
              <w:t>08/13</w:t>
            </w:r>
          </w:p>
        </w:tc>
        <w:tc>
          <w:tcPr>
            <w:tcW w:w="377"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0A1C8E" w:rsidRDefault="00273EB9"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369"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396"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0A1C8E" w:rsidRDefault="00273EB9" w:rsidP="00871AE2">
            <w:pPr>
              <w:pStyle w:val="TableText"/>
              <w:widowControl w:val="0"/>
              <w:rPr>
                <w:rFonts w:ascii="Tahoma" w:hAnsi="Tahoma" w:cs="Tahoma"/>
                <w:sz w:val="13"/>
              </w:rPr>
            </w:pPr>
            <w:r w:rsidRPr="000A1C8E">
              <w:rPr>
                <w:rFonts w:ascii="Tahoma" w:hAnsi="Tahoma" w:cs="Tahoma"/>
                <w:sz w:val="13"/>
              </w:rPr>
              <w:t>A</w:t>
            </w:r>
          </w:p>
        </w:tc>
        <w:tc>
          <w:tcPr>
            <w:tcW w:w="396" w:type="dxa"/>
            <w:tcBorders>
              <w:top w:val="single" w:sz="4" w:space="0" w:color="auto"/>
              <w:left w:val="single" w:sz="18" w:space="0" w:color="auto"/>
              <w:bottom w:val="single" w:sz="4" w:space="0" w:color="auto"/>
              <w:right w:val="single" w:sz="18"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c>
          <w:tcPr>
            <w:tcW w:w="693" w:type="dxa"/>
            <w:tcBorders>
              <w:top w:val="single" w:sz="4" w:space="0" w:color="auto"/>
              <w:left w:val="single" w:sz="4" w:space="0" w:color="auto"/>
              <w:bottom w:val="single" w:sz="4" w:space="0" w:color="auto"/>
              <w:right w:val="single" w:sz="4" w:space="0" w:color="auto"/>
            </w:tcBorders>
            <w:shd w:val="clear" w:color="auto" w:fill="FABF8F"/>
          </w:tcPr>
          <w:p w:rsidR="00273EB9" w:rsidRPr="000A1C8E" w:rsidDel="00436016" w:rsidRDefault="00273EB9" w:rsidP="00871AE2">
            <w:pPr>
              <w:pStyle w:val="TableText"/>
              <w:widowControl w:val="0"/>
              <w:spacing w:before="120"/>
              <w:rPr>
                <w:rFonts w:ascii="Tahoma" w:hAnsi="Tahoma" w:cs="Tahoma"/>
                <w:sz w:val="13"/>
              </w:rPr>
            </w:pPr>
          </w:p>
        </w:tc>
        <w:tc>
          <w:tcPr>
            <w:tcW w:w="486"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0A1C8E" w:rsidDel="00436016" w:rsidRDefault="00273EB9" w:rsidP="00871AE2">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6C465D">
            <w:pPr>
              <w:pStyle w:val="ProductNames"/>
              <w:spacing w:before="0" w:after="0"/>
              <w:rPr>
                <w:rFonts w:ascii="Tahoma" w:hAnsi="Tahoma" w:cs="Tahoma"/>
                <w:sz w:val="14"/>
              </w:rPr>
            </w:pPr>
            <w:bookmarkStart w:id="346" w:name="_Toc336338032"/>
            <w:bookmarkStart w:id="347" w:name="_Toc361829137"/>
            <w:r w:rsidRPr="000A1C8E">
              <w:rPr>
                <w:rFonts w:ascii="Tahoma" w:hAnsi="Tahoma" w:cs="Tahoma"/>
                <w:sz w:val="14"/>
              </w:rPr>
              <w:t>Aplicativos da Web do Office com SharePoint Plano 2A (SL do Usuário)</w:t>
            </w:r>
            <w:bookmarkEnd w:id="346"/>
            <w:bookmarkEnd w:id="347"/>
          </w:p>
        </w:tc>
        <w:tc>
          <w:tcPr>
            <w:tcW w:w="450" w:type="dxa"/>
            <w:tcBorders>
              <w:bottom w:val="single" w:sz="4" w:space="0" w:color="auto"/>
            </w:tcBorders>
            <w:shd w:val="clear" w:color="auto" w:fill="auto"/>
            <w:vAlign w:val="center"/>
          </w:tcPr>
          <w:p w:rsidR="001A63C6" w:rsidRPr="00DC1AC3" w:rsidRDefault="001A63C6" w:rsidP="00D66F68">
            <w:pPr>
              <w:pStyle w:val="TableText"/>
              <w:widowControl w:val="0"/>
              <w:rPr>
                <w:rFonts w:cs="Tahoma"/>
                <w:b/>
                <w:color w:val="0000FF"/>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07/12</w:t>
            </w:r>
          </w:p>
        </w:tc>
        <w:tc>
          <w:tcPr>
            <w:tcW w:w="377" w:type="dxa"/>
            <w:tcBorders>
              <w:bottom w:val="single" w:sz="4" w:space="0" w:color="auto"/>
              <w:right w:val="single" w:sz="18" w:space="0" w:color="auto"/>
            </w:tcBorders>
            <w:shd w:val="clear" w:color="auto" w:fill="auto"/>
            <w:vAlign w:val="center"/>
          </w:tcPr>
          <w:p w:rsidR="001A63C6" w:rsidRPr="000A1C8E"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0A1C8E"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0A1C8E"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0A1C8E"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0A1C8E" w:rsidRDefault="001A63C6" w:rsidP="006C465D">
            <w:pPr>
              <w:pStyle w:val="TableText"/>
              <w:widowControl w:val="0"/>
              <w:rPr>
                <w:rFonts w:ascii="Tahoma" w:hAnsi="Tahoma" w:cs="Tahoma"/>
                <w:sz w:val="14"/>
                <w:szCs w:val="14"/>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6C465D">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D02D7A">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D02D7A">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6C465D">
            <w:pPr>
              <w:pStyle w:val="TableText"/>
              <w:widowControl w:val="0"/>
              <w:rPr>
                <w:rFonts w:ascii="Tahoma" w:hAnsi="Tahoma" w:cs="Tahoma"/>
                <w:sz w:val="13"/>
              </w:rPr>
            </w:pPr>
            <w:r w:rsidRPr="000A1C8E">
              <w:rPr>
                <w:rFonts w:ascii="Tahoma" w:hAnsi="Tahoma" w:cs="Tahoma"/>
                <w:sz w:val="13"/>
              </w:rPr>
              <w:t>A, ST (Somente EES)</w:t>
            </w:r>
          </w:p>
        </w:tc>
        <w:tc>
          <w:tcPr>
            <w:tcW w:w="486" w:type="dxa"/>
            <w:tcBorders>
              <w:bottom w:val="single" w:sz="4" w:space="0" w:color="auto"/>
            </w:tcBorders>
            <w:shd w:val="clear" w:color="auto" w:fill="auto"/>
            <w:vAlign w:val="center"/>
          </w:tcPr>
          <w:p w:rsidR="001A63C6" w:rsidRPr="000A1C8E" w:rsidRDefault="001A63C6" w:rsidP="00D66F68">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348" w:name="_Toc361829138"/>
            <w:r w:rsidRPr="000A1C8E">
              <w:rPr>
                <w:rFonts w:ascii="Tahoma" w:hAnsi="Tahoma" w:cs="Tahoma"/>
                <w:sz w:val="14"/>
              </w:rPr>
              <w:t>Project Online</w:t>
            </w:r>
            <w:bookmarkEnd w:id="348"/>
            <w:r w:rsidR="00DC6D8B"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FF"/>
                <w:sz w:val="13"/>
                <w:szCs w:val="13"/>
                <w:u w:val="single"/>
              </w:rPr>
            </w:pPr>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40"/>
              <w:rPr>
                <w:rFonts w:ascii="Tahoma" w:hAnsi="Tahoma" w:cs="Tahoma"/>
                <w:color w:val="000000"/>
                <w:sz w:val="13"/>
              </w:rPr>
            </w:pPr>
            <w:r w:rsidRPr="000A1C8E">
              <w:rPr>
                <w:rFonts w:ascii="Tahoma" w:hAnsi="Tahoma" w:cs="Tahoma"/>
                <w:color w:val="000000"/>
                <w:sz w:val="13"/>
              </w:rPr>
              <w:t>03/13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0A1C8E" w:rsidRDefault="001A63C6" w:rsidP="001A63C6">
            <w:pPr>
              <w:pStyle w:val="TableText"/>
              <w:widowControl w:val="0"/>
              <w:rPr>
                <w:rFonts w:ascii="Tahoma" w:hAnsi="Tahoma" w:cs="Tahoma"/>
                <w:sz w:val="14"/>
                <w:szCs w:val="14"/>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49" w:name="_Toc361829139"/>
            <w:r w:rsidRPr="000A1C8E">
              <w:rPr>
                <w:rFonts w:ascii="Tahoma" w:hAnsi="Tahoma" w:cs="Tahoma"/>
                <w:sz w:val="14"/>
              </w:rPr>
              <w:t>Project Online A</w:t>
            </w:r>
            <w:bookmarkEnd w:id="349"/>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FF"/>
                <w:sz w:val="13"/>
                <w:szCs w:val="13"/>
                <w:u w:val="single"/>
              </w:rPr>
            </w:pPr>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40"/>
              <w:rPr>
                <w:rFonts w:ascii="Tahoma" w:hAnsi="Tahoma" w:cs="Tahoma"/>
                <w:color w:val="000000"/>
                <w:sz w:val="13"/>
              </w:rPr>
            </w:pPr>
            <w:r w:rsidRPr="000A1C8E">
              <w:rPr>
                <w:rFonts w:ascii="Tahoma" w:hAnsi="Tahoma" w:cs="Tahoma"/>
                <w:color w:val="000000"/>
                <w:sz w:val="13"/>
              </w:rPr>
              <w:t>03/13</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0A1C8E" w:rsidRDefault="001A63C6" w:rsidP="001A63C6">
            <w:pPr>
              <w:pStyle w:val="TableText"/>
              <w:widowControl w:val="0"/>
              <w:rPr>
                <w:rFonts w:ascii="Tahoma" w:hAnsi="Tahoma" w:cs="Tahoma"/>
                <w:sz w:val="14"/>
                <w:szCs w:val="14"/>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350" w:name="_Toc336338033"/>
            <w:bookmarkStart w:id="351" w:name="_Toc361829140"/>
            <w:r w:rsidRPr="000A1C8E">
              <w:rPr>
                <w:rFonts w:ascii="Tahoma" w:hAnsi="Tahoma" w:cs="Tahoma"/>
                <w:sz w:val="14"/>
              </w:rPr>
              <w:t xml:space="preserve">Project Server </w:t>
            </w:r>
            <w:bookmarkEnd w:id="350"/>
            <w:r w:rsidRPr="000A1C8E">
              <w:rPr>
                <w:rFonts w:ascii="Tahoma" w:hAnsi="Tahoma" w:cs="Tahoma"/>
                <w:sz w:val="14"/>
              </w:rPr>
              <w:t>2013</w:t>
            </w:r>
            <w:bookmarkEnd w:id="351"/>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FF"/>
                <w:sz w:val="13"/>
                <w:szCs w:val="13"/>
                <w:u w:val="single"/>
              </w:rPr>
            </w:pPr>
            <w:bookmarkStart w:id="352" w:name="_Hlt336249768"/>
          </w:p>
        </w:tc>
        <w:bookmarkEnd w:id="352"/>
        <w:tc>
          <w:tcPr>
            <w:tcW w:w="433" w:type="dxa"/>
            <w:tcBorders>
              <w:bottom w:val="single" w:sz="4" w:space="0" w:color="auto"/>
            </w:tcBorders>
            <w:shd w:val="clear" w:color="auto" w:fill="FABF8F"/>
          </w:tcPr>
          <w:p w:rsidR="001A63C6" w:rsidRPr="000A1C8E" w:rsidRDefault="001A63C6" w:rsidP="001A63C6">
            <w:pPr>
              <w:pStyle w:val="TableText"/>
              <w:widowControl w:val="0"/>
              <w:spacing w:before="40"/>
              <w:rPr>
                <w:rFonts w:ascii="Tahoma" w:hAnsi="Tahoma" w:cs="Tahoma"/>
                <w:color w:val="000000"/>
                <w:sz w:val="13"/>
              </w:rPr>
            </w:pPr>
            <w:r w:rsidRPr="000A1C8E">
              <w:rPr>
                <w:rFonts w:ascii="Tahoma" w:hAnsi="Tahoma" w:cs="Tahoma"/>
                <w:color w:val="000000"/>
                <w:sz w:val="13"/>
              </w:rPr>
              <w:t>10/12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2A6E97">
            <w:pPr>
              <w:pStyle w:val="TableText"/>
              <w:widowControl w:val="0"/>
              <w:rPr>
                <w:rFonts w:ascii="Tahoma" w:hAnsi="Tahoma" w:cs="Tahoma"/>
                <w:sz w:val="14"/>
                <w:szCs w:val="14"/>
              </w:rPr>
            </w:pPr>
            <w:r w:rsidRPr="000A1C8E">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0A1C8E" w:rsidRDefault="001A63C6" w:rsidP="002A6E97">
            <w:pPr>
              <w:pStyle w:val="TableText"/>
              <w:widowControl w:val="0"/>
              <w:rPr>
                <w:rFonts w:ascii="Tahoma" w:hAnsi="Tahoma" w:cs="Tahoma"/>
                <w:sz w:val="14"/>
                <w:szCs w:val="14"/>
              </w:rPr>
            </w:pPr>
            <w:r w:rsidRPr="000A1C8E">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0A1C8E" w:rsidRDefault="001A63C6" w:rsidP="00D02D7A">
            <w:pPr>
              <w:pStyle w:val="TableText"/>
              <w:widowControl w:val="0"/>
              <w:rPr>
                <w:rFonts w:ascii="Tahoma" w:hAnsi="Tahoma" w:cs="Tahoma"/>
                <w:sz w:val="14"/>
                <w:szCs w:val="14"/>
              </w:rPr>
            </w:pPr>
            <w:r w:rsidRPr="000A1C8E">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0A1C8E" w:rsidRDefault="001A63C6" w:rsidP="00D02D7A">
            <w:pPr>
              <w:pStyle w:val="TableText"/>
              <w:widowControl w:val="0"/>
              <w:rPr>
                <w:rFonts w:ascii="Tahoma" w:hAnsi="Tahoma" w:cs="Tahoma"/>
                <w:sz w:val="14"/>
                <w:szCs w:val="14"/>
              </w:rPr>
            </w:pPr>
            <w:r w:rsidRPr="000A1C8E">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0A1C8E" w:rsidRDefault="001A63C6" w:rsidP="00242B11">
            <w:pPr>
              <w:pStyle w:val="TableText"/>
              <w:widowControl w:val="0"/>
              <w:rPr>
                <w:rFonts w:ascii="Tahoma" w:hAnsi="Tahoma" w:cs="Tahoma"/>
                <w:sz w:val="14"/>
                <w:szCs w:val="14"/>
              </w:rPr>
            </w:pPr>
            <w:r w:rsidRPr="000A1C8E">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0A1C8E" w:rsidRDefault="001A63C6" w:rsidP="00242B11">
            <w:pPr>
              <w:pStyle w:val="TableText"/>
              <w:widowControl w:val="0"/>
              <w:rPr>
                <w:rFonts w:ascii="Tahoma" w:hAnsi="Tahoma" w:cs="Tahoma"/>
                <w:sz w:val="14"/>
                <w:szCs w:val="14"/>
              </w:rPr>
            </w:pPr>
            <w:r w:rsidRPr="000A1C8E">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EA31A6">
            <w:pPr>
              <w:pStyle w:val="TableText"/>
              <w:widowControl w:val="0"/>
              <w:rPr>
                <w:rFonts w:ascii="Tahoma" w:hAnsi="Tahoma" w:cs="Tahoma"/>
                <w:sz w:val="14"/>
                <w:szCs w:val="14"/>
              </w:rPr>
            </w:pPr>
            <w:r w:rsidRPr="000A1C8E">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0A1C8E" w:rsidRDefault="001A63C6" w:rsidP="00EA31A6">
            <w:pPr>
              <w:pStyle w:val="TableText"/>
              <w:widowControl w:val="0"/>
              <w:rPr>
                <w:rFonts w:ascii="Tahoma" w:hAnsi="Tahoma" w:cs="Tahoma"/>
                <w:sz w:val="14"/>
                <w:szCs w:val="14"/>
              </w:rPr>
            </w:pPr>
            <w:r w:rsidRPr="000A1C8E">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0A1C8E" w:rsidRDefault="001A63C6" w:rsidP="00EA31A6">
            <w:pPr>
              <w:pStyle w:val="TableText"/>
              <w:widowControl w:val="0"/>
              <w:rPr>
                <w:rFonts w:ascii="Tahoma" w:hAnsi="Tahoma" w:cs="Tahoma"/>
                <w:sz w:val="14"/>
                <w:szCs w:val="14"/>
              </w:rPr>
            </w:pPr>
            <w:r w:rsidRPr="000A1C8E">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EA31A6">
            <w:pPr>
              <w:pStyle w:val="TableText"/>
              <w:widowControl w:val="0"/>
              <w:rPr>
                <w:rFonts w:ascii="Tahoma" w:hAnsi="Tahoma" w:cs="Tahoma"/>
                <w:sz w:val="14"/>
                <w:szCs w:val="14"/>
              </w:rPr>
            </w:pPr>
            <w:r w:rsidRPr="000A1C8E">
              <w:rPr>
                <w:rFonts w:ascii="Tahoma" w:hAnsi="Tahoma" w:cs="Tahoma"/>
                <w:sz w:val="14"/>
                <w:szCs w:val="14"/>
              </w:rPr>
              <w:t>50</w:t>
            </w:r>
          </w:p>
        </w:tc>
        <w:tc>
          <w:tcPr>
            <w:tcW w:w="369" w:type="dxa"/>
            <w:tcBorders>
              <w:left w:val="single" w:sz="18" w:space="0" w:color="auto"/>
              <w:bottom w:val="single" w:sz="4" w:space="0" w:color="auto"/>
            </w:tcBorders>
            <w:shd w:val="clear" w:color="auto" w:fill="FABF8F"/>
            <w:vAlign w:val="center"/>
          </w:tcPr>
          <w:p w:rsidR="001A63C6" w:rsidRPr="000A1C8E" w:rsidRDefault="001A63C6" w:rsidP="003537B9">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3537B9">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3537B9">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3537B9">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C778DB">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53" w:name="_Toc336338034"/>
            <w:bookmarkStart w:id="354" w:name="_Toc361829141"/>
            <w:r w:rsidRPr="000A1C8E">
              <w:rPr>
                <w:rFonts w:ascii="Tahoma" w:hAnsi="Tahoma" w:cs="Tahoma"/>
                <w:sz w:val="14"/>
              </w:rPr>
              <w:t>CAL do Project Server</w:t>
            </w:r>
            <w:bookmarkEnd w:id="353"/>
            <w:r w:rsidRPr="000A1C8E">
              <w:rPr>
                <w:rFonts w:ascii="Tahoma" w:hAnsi="Tahoma" w:cs="Tahoma"/>
                <w:sz w:val="14"/>
              </w:rPr>
              <w:t xml:space="preserve"> 2013</w:t>
            </w:r>
            <w:bookmarkEnd w:id="354"/>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4"/>
                <w:szCs w:val="14"/>
              </w:rPr>
              <w:t>10/12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Heading2"/>
              <w:spacing w:beforeLines="20" w:before="48" w:afterLines="20" w:after="48"/>
              <w:ind w:left="0" w:firstLine="15"/>
              <w:rPr>
                <w:rFonts w:ascii="Tahoma" w:hAnsi="Tahoma" w:cs="Tahoma"/>
                <w:b w:val="0"/>
                <w:sz w:val="14"/>
              </w:rPr>
            </w:pPr>
            <w:bookmarkStart w:id="355" w:name="_Toc336338036"/>
            <w:bookmarkStart w:id="356" w:name="_Toc361829142"/>
            <w:r w:rsidRPr="000A1C8E">
              <w:rPr>
                <w:rFonts w:ascii="Tahoma" w:hAnsi="Tahoma" w:cs="Tahoma"/>
                <w:b w:val="0"/>
                <w:sz w:val="14"/>
              </w:rPr>
              <w:t>Armazenamento Extra do SharePoint™ Online de 1 GB (SL Complementar)</w:t>
            </w:r>
            <w:bookmarkEnd w:id="355"/>
            <w:bookmarkEnd w:id="356"/>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Fonts w:cs="Tahoma"/>
                <w:b/>
                <w:color w:val="000000"/>
                <w:sz w:val="13"/>
                <w:szCs w:val="13"/>
                <w:u w:val="single"/>
              </w:rPr>
            </w:pPr>
          </w:p>
        </w:tc>
        <w:tc>
          <w:tcPr>
            <w:tcW w:w="433" w:type="dxa"/>
            <w:tcBorders>
              <w:bottom w:val="single" w:sz="4" w:space="0" w:color="auto"/>
            </w:tcBorders>
            <w:shd w:val="clear" w:color="auto" w:fill="FABF8F"/>
          </w:tcPr>
          <w:p w:rsidR="001A63C6" w:rsidRPr="000A1C8E" w:rsidDel="008F575D" w:rsidRDefault="001A63C6" w:rsidP="001A63C6">
            <w:pPr>
              <w:pStyle w:val="TableText"/>
              <w:widowControl w:val="0"/>
              <w:spacing w:before="8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7E466C">
            <w:pPr>
              <w:pStyle w:val="Heading2"/>
              <w:ind w:left="0" w:firstLine="15"/>
              <w:jc w:val="both"/>
              <w:rPr>
                <w:rFonts w:ascii="Tahoma" w:hAnsi="Tahoma" w:cs="Tahoma"/>
                <w:b w:val="0"/>
                <w:sz w:val="14"/>
              </w:rPr>
            </w:pPr>
            <w:bookmarkStart w:id="357" w:name="_Toc336338037"/>
            <w:bookmarkStart w:id="358" w:name="_Toc361829143"/>
            <w:r w:rsidRPr="000A1C8E">
              <w:rPr>
                <w:rFonts w:ascii="Tahoma" w:hAnsi="Tahoma" w:cs="Tahoma"/>
                <w:b w:val="0"/>
                <w:sz w:val="14"/>
              </w:rPr>
              <w:t>Armazenamento Extra do SharePoint™ Online de A 1 GB (SL Complementar)</w:t>
            </w:r>
            <w:bookmarkEnd w:id="357"/>
            <w:bookmarkEnd w:id="358"/>
          </w:p>
        </w:tc>
        <w:tc>
          <w:tcPr>
            <w:tcW w:w="450" w:type="dxa"/>
            <w:tcBorders>
              <w:bottom w:val="single" w:sz="4" w:space="0" w:color="auto"/>
            </w:tcBorders>
            <w:shd w:val="clear" w:color="auto" w:fill="auto"/>
            <w:vAlign w:val="center"/>
          </w:tcPr>
          <w:p w:rsidR="001A63C6" w:rsidRPr="00DC1AC3" w:rsidRDefault="001A63C6" w:rsidP="00D66F68">
            <w:pPr>
              <w:pStyle w:val="TableText"/>
              <w:widowControl w:val="0"/>
              <w:rPr>
                <w:rFonts w:cs="Tahoma"/>
                <w:b/>
                <w:color w:val="0000FF"/>
                <w:sz w:val="13"/>
                <w:szCs w:val="13"/>
                <w:u w:val="single"/>
              </w:rPr>
            </w:pPr>
          </w:p>
        </w:tc>
        <w:tc>
          <w:tcPr>
            <w:tcW w:w="433" w:type="dxa"/>
            <w:tcBorders>
              <w:bottom w:val="single" w:sz="4" w:space="0" w:color="auto"/>
            </w:tcBorders>
            <w:shd w:val="clear" w:color="auto" w:fill="auto"/>
            <w:vAlign w:val="center"/>
          </w:tcPr>
          <w:p w:rsidR="001A63C6" w:rsidRPr="000A1C8E" w:rsidRDefault="001A63C6" w:rsidP="007E466C">
            <w:pPr>
              <w:pStyle w:val="TableText"/>
              <w:widowControl w:val="0"/>
              <w:rPr>
                <w:rFonts w:ascii="Tahoma" w:hAnsi="Tahoma" w:cs="Tahoma"/>
                <w:sz w:val="13"/>
              </w:rPr>
            </w:pPr>
            <w:r w:rsidRPr="000A1C8E">
              <w:rPr>
                <w:rFonts w:ascii="Tahoma" w:hAnsi="Tahoma" w:cs="Tahoma"/>
                <w:sz w:val="13"/>
              </w:rPr>
              <w:t>06/12</w:t>
            </w:r>
          </w:p>
        </w:tc>
        <w:tc>
          <w:tcPr>
            <w:tcW w:w="377" w:type="dxa"/>
            <w:tcBorders>
              <w:bottom w:val="single" w:sz="4" w:space="0" w:color="auto"/>
              <w:right w:val="single" w:sz="18" w:space="0" w:color="auto"/>
            </w:tcBorders>
            <w:shd w:val="clear" w:color="auto" w:fill="auto"/>
            <w:vAlign w:val="center"/>
          </w:tcPr>
          <w:p w:rsidR="001A63C6" w:rsidRPr="000A1C8E"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EA31A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EA31A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EA31A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EA31A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7E466C">
            <w:pPr>
              <w:pStyle w:val="TableText"/>
              <w:widowControl w:val="0"/>
              <w:rPr>
                <w:rFonts w:ascii="Tahoma" w:hAnsi="Tahoma" w:cs="Tahoma"/>
                <w:sz w:val="13"/>
              </w:rPr>
            </w:pPr>
            <w:r w:rsidRPr="000A1C8E">
              <w:rPr>
                <w:rFonts w:ascii="Tahoma" w:hAnsi="Tahoma" w:cs="Tahoma"/>
                <w:sz w:val="13"/>
              </w:rPr>
              <w:t>A, ST (Somente EES)</w:t>
            </w:r>
          </w:p>
        </w:tc>
        <w:tc>
          <w:tcPr>
            <w:tcW w:w="486" w:type="dxa"/>
            <w:tcBorders>
              <w:bottom w:val="single" w:sz="4" w:space="0" w:color="auto"/>
            </w:tcBorders>
            <w:shd w:val="clear" w:color="auto" w:fill="auto"/>
            <w:vAlign w:val="center"/>
          </w:tcPr>
          <w:p w:rsidR="001A63C6" w:rsidRPr="000A1C8E" w:rsidRDefault="001A63C6" w:rsidP="00D66F68">
            <w:pPr>
              <w:pStyle w:val="TableText"/>
              <w:widowControl w:val="0"/>
              <w:rPr>
                <w:rFonts w:ascii="Tahoma" w:hAnsi="Tahoma" w:cs="Tahoma"/>
                <w:sz w:val="13"/>
              </w:rPr>
            </w:pPr>
          </w:p>
        </w:tc>
      </w:tr>
      <w:tr w:rsidR="009C7B23" w:rsidRPr="000A1C8E" w:rsidTr="00C16156">
        <w:trPr>
          <w:trHeight w:val="145"/>
          <w:jc w:val="center"/>
        </w:trPr>
        <w:tc>
          <w:tcPr>
            <w:tcW w:w="2734" w:type="dxa"/>
            <w:gridSpan w:val="2"/>
            <w:tcBorders>
              <w:bottom w:val="single" w:sz="4" w:space="0" w:color="auto"/>
            </w:tcBorders>
            <w:shd w:val="clear" w:color="auto" w:fill="FABF8F"/>
            <w:vAlign w:val="center"/>
          </w:tcPr>
          <w:p w:rsidR="009C7B23" w:rsidRPr="000A1C8E" w:rsidRDefault="009C7B23" w:rsidP="00133662">
            <w:pPr>
              <w:pStyle w:val="Heading2"/>
              <w:spacing w:beforeLines="20" w:before="48" w:afterLines="20" w:after="48"/>
              <w:ind w:left="0" w:firstLine="15"/>
              <w:rPr>
                <w:rFonts w:ascii="Tahoma" w:hAnsi="Tahoma" w:cs="Tahoma"/>
                <w:b w:val="0"/>
                <w:sz w:val="14"/>
              </w:rPr>
            </w:pPr>
            <w:bookmarkStart w:id="359" w:name="_Toc361829144"/>
            <w:r w:rsidRPr="000A1C8E">
              <w:rPr>
                <w:rFonts w:ascii="Tahoma" w:hAnsi="Tahoma" w:cs="Tahoma"/>
                <w:b w:val="0"/>
                <w:sz w:val="14"/>
              </w:rPr>
              <w:t>Complemento do SharePoint™ Online Plano 1 (SL de Usuário)</w:t>
            </w:r>
            <w:bookmarkEnd w:id="359"/>
          </w:p>
        </w:tc>
        <w:tc>
          <w:tcPr>
            <w:tcW w:w="450" w:type="dxa"/>
            <w:tcBorders>
              <w:bottom w:val="single" w:sz="4" w:space="0" w:color="auto"/>
            </w:tcBorders>
            <w:shd w:val="clear" w:color="auto" w:fill="FABF8F"/>
            <w:vAlign w:val="center"/>
          </w:tcPr>
          <w:p w:rsidR="009C7B23" w:rsidRPr="00DC1AC3" w:rsidRDefault="009C7B23" w:rsidP="00796355">
            <w:pPr>
              <w:pStyle w:val="TableText"/>
              <w:widowControl w:val="0"/>
              <w:rPr>
                <w:rFonts w:cs="Tahoma"/>
              </w:rPr>
            </w:pPr>
          </w:p>
        </w:tc>
        <w:tc>
          <w:tcPr>
            <w:tcW w:w="433" w:type="dxa"/>
            <w:tcBorders>
              <w:bottom w:val="single" w:sz="4" w:space="0" w:color="auto"/>
            </w:tcBorders>
            <w:shd w:val="clear" w:color="auto" w:fill="FABF8F"/>
          </w:tcPr>
          <w:p w:rsidR="009C7B23" w:rsidRPr="000A1C8E" w:rsidRDefault="009C7B23" w:rsidP="001A63C6">
            <w:pPr>
              <w:pStyle w:val="TableText"/>
              <w:widowControl w:val="0"/>
              <w:spacing w:before="80"/>
              <w:rPr>
                <w:rFonts w:ascii="Tahoma" w:hAnsi="Tahoma" w:cs="Tahoma"/>
                <w:sz w:val="13"/>
              </w:rPr>
            </w:pPr>
            <w:r w:rsidRPr="000A1C8E">
              <w:rPr>
                <w:rFonts w:ascii="Tahoma" w:hAnsi="Tahoma" w:cs="Tahoma"/>
                <w:sz w:val="13"/>
              </w:rPr>
              <w:t>08/13</w:t>
            </w:r>
          </w:p>
        </w:tc>
        <w:tc>
          <w:tcPr>
            <w:tcW w:w="377" w:type="dxa"/>
            <w:tcBorders>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9C7B23" w:rsidRPr="000A1C8E" w:rsidRDefault="009C7B23"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C7B23" w:rsidRPr="000A1C8E" w:rsidRDefault="009C7B23"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33662">
            <w:pPr>
              <w:pStyle w:val="Heading2"/>
              <w:spacing w:beforeLines="20" w:before="48" w:afterLines="20" w:after="48"/>
              <w:ind w:left="0" w:firstLine="15"/>
              <w:rPr>
                <w:rFonts w:ascii="Tahoma" w:hAnsi="Tahoma" w:cs="Tahoma"/>
                <w:b w:val="0"/>
              </w:rPr>
            </w:pPr>
            <w:bookmarkStart w:id="360" w:name="_Toc336338038"/>
            <w:bookmarkStart w:id="361" w:name="_Toc361829145"/>
            <w:r w:rsidRPr="000A1C8E">
              <w:rPr>
                <w:rFonts w:ascii="Tahoma" w:hAnsi="Tahoma" w:cs="Tahoma"/>
                <w:b w:val="0"/>
                <w:sz w:val="14"/>
              </w:rPr>
              <w:t xml:space="preserve">SharePoint™ Online Plano 1 </w:t>
            </w:r>
            <w:r w:rsidR="005258ED">
              <w:rPr>
                <w:rFonts w:ascii="Tahoma" w:hAnsi="Tahoma" w:cs="Tahoma"/>
                <w:b w:val="0"/>
                <w:sz w:val="14"/>
              </w:rPr>
              <w:br/>
            </w:r>
            <w:r w:rsidRPr="000A1C8E">
              <w:rPr>
                <w:rFonts w:ascii="Tahoma" w:hAnsi="Tahoma" w:cs="Tahoma"/>
                <w:b w:val="0"/>
                <w:sz w:val="14"/>
              </w:rPr>
              <w:t>(SL de Usuário)</w:t>
            </w:r>
            <w:bookmarkEnd w:id="360"/>
            <w:bookmarkEnd w:id="361"/>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color w:val="0000FF"/>
                <w:sz w:val="13"/>
                <w:szCs w:val="13"/>
                <w:u w:val="single"/>
              </w:rPr>
            </w:pPr>
            <w:hyperlink w:anchor="_79_SharePoint_Online" w:history="1">
              <w:r w:rsidR="003D47E7" w:rsidRPr="00DC1AC3">
                <w:rPr>
                  <w:rStyle w:val="Hyperlink"/>
                  <w:rFonts w:cs="Tahoma"/>
                  <w:b/>
                  <w:sz w:val="13"/>
                  <w:szCs w:val="13"/>
                </w:rPr>
                <w:t>79</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273EB9" w:rsidRPr="000A1C8E" w:rsidTr="00C16156">
        <w:trPr>
          <w:trHeight w:val="145"/>
          <w:jc w:val="center"/>
        </w:trPr>
        <w:tc>
          <w:tcPr>
            <w:tcW w:w="2734" w:type="dxa"/>
            <w:gridSpan w:val="2"/>
            <w:tcBorders>
              <w:bottom w:val="single" w:sz="4" w:space="0" w:color="auto"/>
            </w:tcBorders>
            <w:shd w:val="clear" w:color="auto" w:fill="FABF8F"/>
            <w:vAlign w:val="center"/>
          </w:tcPr>
          <w:p w:rsidR="00273EB9" w:rsidRPr="000A1C8E" w:rsidRDefault="00273EB9" w:rsidP="00133662">
            <w:pPr>
              <w:pStyle w:val="Heading2"/>
              <w:spacing w:beforeLines="20" w:before="48" w:afterLines="20" w:after="48"/>
              <w:ind w:left="0" w:firstLine="15"/>
              <w:rPr>
                <w:rFonts w:ascii="Tahoma" w:hAnsi="Tahoma" w:cs="Tahoma"/>
                <w:b w:val="0"/>
                <w:sz w:val="14"/>
              </w:rPr>
            </w:pPr>
            <w:bookmarkStart w:id="362" w:name="_Toc361829146"/>
            <w:r w:rsidRPr="000A1C8E">
              <w:rPr>
                <w:rFonts w:ascii="Tahoma" w:hAnsi="Tahoma" w:cs="Tahoma"/>
                <w:b w:val="0"/>
                <w:sz w:val="14"/>
              </w:rPr>
              <w:t>SharePoint™ Online Plano 1 com Complemento Yammer (SL de Usuário)</w:t>
            </w:r>
            <w:bookmarkEnd w:id="362"/>
          </w:p>
        </w:tc>
        <w:tc>
          <w:tcPr>
            <w:tcW w:w="450" w:type="dxa"/>
            <w:tcBorders>
              <w:bottom w:val="single" w:sz="4" w:space="0" w:color="auto"/>
            </w:tcBorders>
            <w:shd w:val="clear" w:color="auto" w:fill="FABF8F"/>
            <w:vAlign w:val="center"/>
          </w:tcPr>
          <w:p w:rsidR="00273EB9" w:rsidRPr="00DC1AC3" w:rsidRDefault="00273EB9" w:rsidP="00796355">
            <w:pPr>
              <w:pStyle w:val="TableText"/>
              <w:widowControl w:val="0"/>
              <w:rPr>
                <w:rFonts w:cs="Tahoma"/>
              </w:rPr>
            </w:pPr>
          </w:p>
        </w:tc>
        <w:tc>
          <w:tcPr>
            <w:tcW w:w="433" w:type="dxa"/>
            <w:tcBorders>
              <w:bottom w:val="single" w:sz="4" w:space="0" w:color="auto"/>
            </w:tcBorders>
            <w:shd w:val="clear" w:color="auto" w:fill="FABF8F"/>
          </w:tcPr>
          <w:p w:rsidR="00273EB9" w:rsidRPr="000A1C8E" w:rsidRDefault="00273EB9" w:rsidP="001A63C6">
            <w:pPr>
              <w:pStyle w:val="TableText"/>
              <w:widowControl w:val="0"/>
              <w:spacing w:before="80"/>
              <w:rPr>
                <w:rFonts w:ascii="Tahoma" w:hAnsi="Tahoma" w:cs="Tahoma"/>
                <w:sz w:val="13"/>
              </w:rPr>
            </w:pPr>
            <w:r w:rsidRPr="000A1C8E">
              <w:rPr>
                <w:rFonts w:ascii="Tahoma" w:hAnsi="Tahoma" w:cs="Tahoma"/>
                <w:sz w:val="13"/>
              </w:rPr>
              <w:t>08/13</w:t>
            </w:r>
          </w:p>
        </w:tc>
        <w:tc>
          <w:tcPr>
            <w:tcW w:w="377" w:type="dxa"/>
            <w:tcBorders>
              <w:bottom w:val="single" w:sz="4" w:space="0" w:color="auto"/>
              <w:right w:val="single" w:sz="18"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273EB9" w:rsidRPr="000A1C8E" w:rsidRDefault="00273EB9"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273EB9" w:rsidRPr="000A1C8E" w:rsidRDefault="00273EB9"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63" w:name="_Toc336338039"/>
            <w:bookmarkStart w:id="364" w:name="_Toc361829147"/>
            <w:r w:rsidRPr="000A1C8E">
              <w:rPr>
                <w:rFonts w:ascii="Tahoma" w:hAnsi="Tahoma" w:cs="Tahoma"/>
                <w:sz w:val="14"/>
              </w:rPr>
              <w:t xml:space="preserve">SharePoint™ Online Plano 2 </w:t>
            </w:r>
            <w:r w:rsidR="005258ED">
              <w:rPr>
                <w:rFonts w:ascii="Tahoma" w:hAnsi="Tahoma" w:cs="Tahoma"/>
                <w:sz w:val="14"/>
              </w:rPr>
              <w:br/>
            </w:r>
            <w:r w:rsidRPr="000A1C8E">
              <w:rPr>
                <w:rFonts w:ascii="Tahoma" w:hAnsi="Tahoma" w:cs="Tahoma"/>
                <w:sz w:val="14"/>
              </w:rPr>
              <w:t>(SL de Usuário)</w:t>
            </w:r>
            <w:bookmarkEnd w:id="363"/>
            <w:bookmarkEnd w:id="364"/>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color w:val="000000"/>
                <w:sz w:val="13"/>
                <w:szCs w:val="13"/>
                <w:u w:val="single"/>
              </w:rPr>
            </w:pPr>
            <w:hyperlink w:anchor="_79_SharePoint_Online" w:history="1">
              <w:r w:rsidR="008E5ED7" w:rsidRPr="00DC1AC3">
                <w:rPr>
                  <w:rStyle w:val="Hyperlink"/>
                  <w:rFonts w:cs="Tahoma"/>
                  <w:b/>
                  <w:sz w:val="13"/>
                  <w:szCs w:val="13"/>
                </w:rPr>
                <w:t>79</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06/11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4F6A95">
            <w:pPr>
              <w:pStyle w:val="ProductNames"/>
              <w:spacing w:beforeLines="20" w:before="48" w:afterLines="20" w:after="48"/>
              <w:rPr>
                <w:rFonts w:ascii="Tahoma" w:hAnsi="Tahoma" w:cs="Tahoma"/>
                <w:sz w:val="14"/>
              </w:rPr>
            </w:pPr>
            <w:bookmarkStart w:id="365" w:name="_Toc336338040"/>
            <w:bookmarkStart w:id="366" w:name="_Toc361829148"/>
            <w:r w:rsidRPr="000A1C8E">
              <w:rPr>
                <w:rFonts w:ascii="Tahoma" w:hAnsi="Tahoma" w:cs="Tahoma"/>
                <w:sz w:val="14"/>
              </w:rPr>
              <w:t xml:space="preserve">SharePoint™ Server </w:t>
            </w:r>
            <w:bookmarkEnd w:id="365"/>
            <w:r w:rsidRPr="000A1C8E">
              <w:rPr>
                <w:rFonts w:ascii="Tahoma" w:hAnsi="Tahoma" w:cs="Tahoma"/>
                <w:sz w:val="14"/>
              </w:rPr>
              <w:t>2013</w:t>
            </w:r>
            <w:bookmarkEnd w:id="366"/>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6C57E7" w:rsidP="00506F04">
            <w:pPr>
              <w:pStyle w:val="TableText"/>
              <w:widowControl w:val="0"/>
              <w:rPr>
                <w:rStyle w:val="EndnoteReference"/>
                <w:rFonts w:cs="Tahoma"/>
                <w:b w:val="0"/>
                <w:color w:val="000000"/>
                <w:sz w:val="13"/>
                <w:szCs w:val="13"/>
                <w:u w:val="single"/>
              </w:rPr>
            </w:pPr>
            <w:hyperlink w:anchor="_80_SharePoint_Server" w:history="1">
              <w:r w:rsidR="00506F04" w:rsidRPr="008E5ED7">
                <w:rPr>
                  <w:rStyle w:val="Hyperlink"/>
                  <w:rFonts w:cs="Tahoma"/>
                  <w:b/>
                  <w:sz w:val="13"/>
                  <w:szCs w:val="13"/>
                </w:rPr>
                <w:t>80</w:t>
              </w:r>
            </w:hyperlink>
            <w:hyperlink w:anchor="_79_SharePoint_Server" w:history="1"/>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10/12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6C465D">
            <w:pPr>
              <w:pStyle w:val="TableText"/>
              <w:widowControl w:val="0"/>
              <w:spacing w:before="12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A55DF0">
            <w:pPr>
              <w:pStyle w:val="ProductNames"/>
              <w:spacing w:beforeLines="20" w:before="48" w:afterLines="20" w:after="48"/>
              <w:rPr>
                <w:rFonts w:ascii="Tahoma" w:hAnsi="Tahoma" w:cs="Tahoma"/>
                <w:sz w:val="14"/>
              </w:rPr>
            </w:pPr>
            <w:bookmarkStart w:id="367" w:name="_Toc336338041"/>
            <w:bookmarkStart w:id="368" w:name="_Toc361829149"/>
            <w:r w:rsidRPr="000A1C8E">
              <w:rPr>
                <w:rFonts w:ascii="Tahoma" w:hAnsi="Tahoma" w:cs="Tahoma"/>
                <w:sz w:val="14"/>
              </w:rPr>
              <w:t>CAL Empresarial do SharePoint™ Server</w:t>
            </w:r>
            <w:bookmarkEnd w:id="367"/>
            <w:r w:rsidR="00A55DF0" w:rsidRPr="000A1C8E">
              <w:rPr>
                <w:rFonts w:ascii="Tahoma" w:hAnsi="Tahoma" w:cs="Tahoma"/>
                <w:sz w:val="14"/>
              </w:rPr>
              <w:t> </w:t>
            </w:r>
            <w:r w:rsidRPr="000A1C8E">
              <w:rPr>
                <w:rFonts w:ascii="Tahoma" w:hAnsi="Tahoma" w:cs="Tahoma"/>
                <w:sz w:val="14"/>
              </w:rPr>
              <w:t>2013</w:t>
            </w:r>
            <w:bookmarkEnd w:id="368"/>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10/12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D</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60"/>
          <w:jc w:val="center"/>
        </w:trPr>
        <w:tc>
          <w:tcPr>
            <w:tcW w:w="2734" w:type="dxa"/>
            <w:gridSpan w:val="2"/>
            <w:tcBorders>
              <w:bottom w:val="single" w:sz="4" w:space="0" w:color="auto"/>
            </w:tcBorders>
            <w:shd w:val="clear" w:color="auto" w:fill="FABF8F"/>
          </w:tcPr>
          <w:p w:rsidR="001A63C6" w:rsidRPr="000A1C8E" w:rsidRDefault="001A63C6" w:rsidP="004F6A95">
            <w:pPr>
              <w:pStyle w:val="ProductNames"/>
              <w:spacing w:beforeLines="20" w:before="48" w:afterLines="20" w:after="48"/>
              <w:rPr>
                <w:rFonts w:ascii="Tahoma" w:hAnsi="Tahoma" w:cs="Tahoma"/>
                <w:sz w:val="14"/>
              </w:rPr>
            </w:pPr>
            <w:bookmarkStart w:id="369" w:name="_Toc336338044"/>
            <w:bookmarkStart w:id="370" w:name="_Toc361829150"/>
            <w:r w:rsidRPr="000A1C8E">
              <w:rPr>
                <w:rFonts w:ascii="Tahoma" w:hAnsi="Tahoma" w:cs="Tahoma"/>
                <w:sz w:val="14"/>
              </w:rPr>
              <w:t>CAL Padrão do SharePoint™ Server</w:t>
            </w:r>
            <w:bookmarkEnd w:id="369"/>
            <w:r w:rsidRPr="000A1C8E">
              <w:rPr>
                <w:rFonts w:ascii="Tahoma" w:hAnsi="Tahoma" w:cs="Tahoma"/>
                <w:sz w:val="14"/>
              </w:rPr>
              <w:t xml:space="preserve"> 2013</w:t>
            </w:r>
            <w:bookmarkEnd w:id="370"/>
          </w:p>
        </w:tc>
        <w:tc>
          <w:tcPr>
            <w:tcW w:w="450" w:type="dxa"/>
            <w:tcBorders>
              <w:bottom w:val="single" w:sz="4" w:space="0" w:color="auto"/>
            </w:tcBorders>
            <w:shd w:val="clear" w:color="auto" w:fill="FABF8F"/>
            <w:vAlign w:val="center"/>
          </w:tcPr>
          <w:p w:rsidR="001A63C6" w:rsidRPr="00DC1AC3" w:rsidRDefault="001A63C6" w:rsidP="004F6A95">
            <w:pPr>
              <w:pStyle w:val="TableText"/>
              <w:widowControl w:val="0"/>
              <w:spacing w:beforeLines="20" w:before="48" w:afterLines="20" w:after="48"/>
              <w:rPr>
                <w:rStyle w:val="EndnoteReference"/>
                <w:rFonts w:cs="Tahoma"/>
                <w:color w:val="000000"/>
                <w:sz w:val="13"/>
                <w:szCs w:val="13"/>
                <w:u w:val="single"/>
              </w:rPr>
            </w:pPr>
          </w:p>
        </w:tc>
        <w:tc>
          <w:tcPr>
            <w:tcW w:w="433" w:type="dxa"/>
            <w:tcBorders>
              <w:bottom w:val="single" w:sz="4" w:space="0" w:color="auto"/>
            </w:tcBorders>
            <w:shd w:val="clear" w:color="auto" w:fill="FABF8F"/>
          </w:tcPr>
          <w:p w:rsidR="001A63C6" w:rsidRPr="000A1C8E" w:rsidRDefault="001A63C6" w:rsidP="004F6A95">
            <w:pPr>
              <w:pStyle w:val="TableText"/>
              <w:widowControl w:val="0"/>
              <w:spacing w:beforeLines="20" w:before="48" w:afterLines="20" w:after="48"/>
              <w:rPr>
                <w:rFonts w:ascii="Tahoma" w:hAnsi="Tahoma" w:cs="Tahoma"/>
                <w:color w:val="000000"/>
                <w:sz w:val="13"/>
              </w:rPr>
            </w:pPr>
            <w:r w:rsidRPr="000A1C8E">
              <w:rPr>
                <w:rFonts w:ascii="Tahoma" w:hAnsi="Tahoma" w:cs="Tahoma"/>
                <w:color w:val="000000"/>
                <w:sz w:val="13"/>
              </w:rPr>
              <w:t>10/12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4F6A95">
            <w:pPr>
              <w:pStyle w:val="TableText"/>
              <w:widowControl w:val="0"/>
              <w:spacing w:beforeLines="20" w:before="48" w:afterLines="20" w:after="48"/>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FABF8F"/>
            <w:vAlign w:val="center"/>
          </w:tcPr>
          <w:p w:rsidR="001A63C6" w:rsidRPr="000A1C8E" w:rsidRDefault="001A63C6" w:rsidP="004F6A95">
            <w:pPr>
              <w:pStyle w:val="TableText"/>
              <w:widowControl w:val="0"/>
              <w:spacing w:beforeLines="20" w:before="48" w:afterLines="20" w:after="48"/>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lang w:val="pt-BR"/>
              </w:rPr>
            </w:pPr>
            <w:bookmarkStart w:id="371" w:name="_Toc336338045"/>
            <w:bookmarkStart w:id="372" w:name="_Toc361829151"/>
            <w:r w:rsidRPr="000A1C8E">
              <w:rPr>
                <w:rFonts w:ascii="Tahoma" w:hAnsi="Tahoma" w:cs="Tahoma"/>
                <w:sz w:val="14"/>
              </w:rPr>
              <w:t>Licença para um processador do 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2008 R2 Datacenter 1</w:t>
            </w:r>
            <w:bookmarkEnd w:id="371"/>
            <w:bookmarkEnd w:id="372"/>
          </w:p>
        </w:tc>
        <w:tc>
          <w:tcPr>
            <w:tcW w:w="450" w:type="dxa"/>
            <w:tcBorders>
              <w:bottom w:val="single" w:sz="4" w:space="0" w:color="auto"/>
            </w:tcBorders>
            <w:shd w:val="clear" w:color="auto" w:fill="auto"/>
            <w:vAlign w:val="center"/>
          </w:tcPr>
          <w:p w:rsidR="001A63C6" w:rsidRPr="00DC1AC3" w:rsidRDefault="006C57E7" w:rsidP="0067080E">
            <w:pPr>
              <w:pStyle w:val="TableText"/>
              <w:widowControl w:val="0"/>
              <w:rPr>
                <w:rFonts w:cs="Tahoma"/>
                <w:b/>
                <w:color w:val="0000FF"/>
                <w:sz w:val="13"/>
                <w:szCs w:val="13"/>
                <w:u w:val="single"/>
              </w:rPr>
            </w:pPr>
            <w:hyperlink w:anchor="_75_73_SQL" w:history="1">
              <w:r w:rsidR="003D47E7" w:rsidRPr="00DC1AC3">
                <w:rPr>
                  <w:rStyle w:val="Hyperlink"/>
                  <w:rFonts w:cs="Tahoma"/>
                  <w:b/>
                  <w:sz w:val="13"/>
                  <w:szCs w:val="13"/>
                </w:rPr>
                <w:t>81</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373" w:name="_Toc336338048"/>
            <w:bookmarkStart w:id="374" w:name="_Toc361829152"/>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2008 R2 Small Business</w:t>
            </w:r>
            <w:bookmarkEnd w:id="373"/>
            <w:bookmarkEnd w:id="374"/>
          </w:p>
        </w:tc>
        <w:tc>
          <w:tcPr>
            <w:tcW w:w="450" w:type="dxa"/>
            <w:tcBorders>
              <w:bottom w:val="single" w:sz="4" w:space="0" w:color="auto"/>
            </w:tcBorders>
            <w:shd w:val="clear" w:color="auto" w:fill="FABF8F"/>
            <w:vAlign w:val="center"/>
          </w:tcPr>
          <w:p w:rsidR="001A63C6" w:rsidRPr="00DC1AC3" w:rsidRDefault="006C57E7" w:rsidP="0067080E">
            <w:pPr>
              <w:pStyle w:val="TableText"/>
              <w:widowControl w:val="0"/>
              <w:rPr>
                <w:rStyle w:val="EndnoteReference"/>
                <w:rFonts w:cs="Tahoma"/>
                <w:b w:val="0"/>
                <w:color w:val="000000"/>
                <w:sz w:val="13"/>
                <w:szCs w:val="13"/>
                <w:u w:val="single"/>
              </w:rPr>
            </w:pPr>
            <w:hyperlink w:anchor="_76_74_SQL" w:history="1">
              <w:r w:rsidR="003D47E7" w:rsidRPr="00DC1AC3">
                <w:rPr>
                  <w:rStyle w:val="Hyperlink"/>
                  <w:rFonts w:cs="Tahoma"/>
                  <w:b/>
                  <w:sz w:val="13"/>
                  <w:szCs w:val="13"/>
                </w:rPr>
                <w:t>82</w:t>
              </w:r>
            </w:hyperlink>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01/11</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75" w:name="_Toc336338049"/>
            <w:bookmarkStart w:id="376" w:name="_Toc361829153"/>
            <w:r w:rsidRPr="000A1C8E">
              <w:rPr>
                <w:rFonts w:ascii="Tahoma" w:hAnsi="Tahoma" w:cs="Tahoma"/>
                <w:sz w:val="14"/>
              </w:rPr>
              <w:t>CAL do 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2008 R2 Small Business</w:t>
            </w:r>
            <w:bookmarkEnd w:id="375"/>
            <w:bookmarkEnd w:id="376"/>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Style w:val="EndnoteReference"/>
                <w:rFonts w:ascii="Tahoma" w:hAnsi="Tahoma" w:cs="Tahoma"/>
                <w:color w:val="000000"/>
                <w:sz w:val="13"/>
                <w:szCs w:val="13"/>
                <w:u w:val="single"/>
              </w:rPr>
            </w:pPr>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01/11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377" w:name="_Toc336338050"/>
            <w:bookmarkStart w:id="378" w:name="_Toc361829154"/>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2008 R2 Web por Processador</w:t>
            </w:r>
            <w:bookmarkEnd w:id="377"/>
            <w:bookmarkEnd w:id="378"/>
          </w:p>
        </w:tc>
        <w:tc>
          <w:tcPr>
            <w:tcW w:w="450" w:type="dxa"/>
            <w:tcBorders>
              <w:bottom w:val="single" w:sz="4" w:space="0" w:color="auto"/>
            </w:tcBorders>
            <w:shd w:val="clear" w:color="auto" w:fill="FABF8F"/>
            <w:vAlign w:val="center"/>
          </w:tcPr>
          <w:p w:rsidR="001A63C6" w:rsidRPr="00DC1AC3" w:rsidRDefault="006C57E7" w:rsidP="0067080E">
            <w:pPr>
              <w:pStyle w:val="TableText"/>
              <w:widowControl w:val="0"/>
              <w:rPr>
                <w:rStyle w:val="EndnoteReference"/>
                <w:rFonts w:cs="Tahoma"/>
                <w:b w:val="0"/>
                <w:color w:val="000000"/>
                <w:sz w:val="13"/>
                <w:szCs w:val="13"/>
                <w:u w:val="single"/>
              </w:rPr>
            </w:pPr>
            <w:hyperlink w:anchor="_77_75_SQL" w:history="1">
              <w:r w:rsidR="003D47E7" w:rsidRPr="00DC1AC3">
                <w:rPr>
                  <w:rStyle w:val="Hyperlink"/>
                  <w:rFonts w:cs="Tahoma"/>
                  <w:b/>
                  <w:sz w:val="13"/>
                  <w:szCs w:val="13"/>
                </w:rPr>
                <w:t>83</w:t>
              </w:r>
            </w:hyperlink>
            <w:hyperlink w:anchor="Srv_84SQL2008R2Webproc" w:history="1"/>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79" w:name="_Toc336338051"/>
            <w:bookmarkStart w:id="380" w:name="_Toc361829155"/>
            <w:r w:rsidRPr="000A1C8E">
              <w:rPr>
                <w:rFonts w:ascii="Tahoma" w:hAnsi="Tahoma" w:cs="Tahoma"/>
                <w:sz w:val="14"/>
              </w:rPr>
              <w:t>CAL do 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2008 R2 Workgroup</w:t>
            </w:r>
            <w:bookmarkEnd w:id="379"/>
            <w:bookmarkEnd w:id="380"/>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381" w:name="_Toc336338053"/>
            <w:bookmarkStart w:id="382" w:name="_Toc361829156"/>
            <w:r w:rsidRPr="000A1C8E">
              <w:rPr>
                <w:rFonts w:ascii="Tahoma" w:hAnsi="Tahoma" w:cs="Tahoma"/>
                <w:sz w:val="14"/>
                <w:szCs w:val="18"/>
              </w:rPr>
              <w:t>SQL Server</w:t>
            </w:r>
            <w:r w:rsidR="00C83286" w:rsidRPr="000A1C8E">
              <w:rPr>
                <w:rFonts w:ascii="Tahoma" w:eastAsia="Times New Roman" w:hAnsi="Tahoma" w:cs="Tahoma"/>
                <w:color w:val="000000"/>
                <w:sz w:val="14"/>
                <w:szCs w:val="18"/>
                <w:vertAlign w:val="superscript"/>
              </w:rPr>
              <w:t>®</w:t>
            </w:r>
            <w:r w:rsidRPr="000A1C8E">
              <w:rPr>
                <w:rFonts w:ascii="Tahoma" w:hAnsi="Tahoma" w:cs="Tahoma"/>
                <w:sz w:val="14"/>
                <w:szCs w:val="18"/>
              </w:rPr>
              <w:t xml:space="preserve"> 2008 R2 Workgroup (Complementar para 5 Clientes)</w:t>
            </w:r>
            <w:bookmarkEnd w:id="381"/>
            <w:bookmarkEnd w:id="382"/>
          </w:p>
        </w:tc>
        <w:tc>
          <w:tcPr>
            <w:tcW w:w="450" w:type="dxa"/>
            <w:tcBorders>
              <w:bottom w:val="single" w:sz="4" w:space="0" w:color="auto"/>
            </w:tcBorders>
            <w:shd w:val="clear" w:color="auto" w:fill="FABF8F"/>
            <w:vAlign w:val="center"/>
          </w:tcPr>
          <w:p w:rsidR="001A63C6" w:rsidRPr="00DC1AC3" w:rsidRDefault="006C57E7" w:rsidP="003D5C46">
            <w:pPr>
              <w:pStyle w:val="TableText"/>
              <w:widowControl w:val="0"/>
              <w:rPr>
                <w:rStyle w:val="EndnoteReference"/>
                <w:rFonts w:cs="Tahoma"/>
                <w:b w:val="0"/>
                <w:color w:val="000000"/>
                <w:sz w:val="13"/>
                <w:szCs w:val="13"/>
                <w:u w:val="single"/>
              </w:rPr>
            </w:pPr>
            <w:hyperlink w:anchor="_85_84_SQL" w:history="1">
              <w:r w:rsidR="003D47E7" w:rsidRPr="00DC1AC3">
                <w:rPr>
                  <w:rStyle w:val="Hyperlink"/>
                  <w:rFonts w:cs="Tahoma"/>
                  <w:b/>
                  <w:sz w:val="13"/>
                  <w:szCs w:val="13"/>
                </w:rPr>
                <w:t>84</w:t>
              </w:r>
            </w:hyperlink>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szCs w:val="18"/>
              </w:rPr>
            </w:pPr>
            <w:bookmarkStart w:id="383" w:name="_Toc336338052"/>
            <w:bookmarkStart w:id="384" w:name="_Toc361829157"/>
            <w:r w:rsidRPr="000A1C8E">
              <w:rPr>
                <w:rFonts w:ascii="Tahoma" w:hAnsi="Tahoma" w:cs="Tahoma"/>
                <w:sz w:val="14"/>
              </w:rPr>
              <w:t>Licença para um Processador do 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2008 R2 Workgroup</w:t>
            </w:r>
            <w:bookmarkEnd w:id="383"/>
            <w:bookmarkEnd w:id="384"/>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color w:val="000000"/>
                <w:sz w:val="13"/>
                <w:szCs w:val="13"/>
              </w:rPr>
            </w:pPr>
            <w:hyperlink w:anchor="_79_77_SQL" w:history="1">
              <w:r w:rsidR="003D47E7" w:rsidRPr="00DC1AC3">
                <w:rPr>
                  <w:rStyle w:val="Hyperlink"/>
                  <w:rFonts w:cs="Tahoma"/>
                  <w:b/>
                  <w:sz w:val="13"/>
                  <w:szCs w:val="13"/>
                </w:rPr>
                <w:t>85</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385" w:name="_Toc336338054"/>
            <w:bookmarkStart w:id="386" w:name="_Toc361829158"/>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Business Intelligence</w:t>
            </w:r>
            <w:bookmarkEnd w:id="385"/>
            <w:bookmarkEnd w:id="386"/>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u w:val="single"/>
              </w:rPr>
              <w:t>75</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75</w:t>
            </w: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75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87" w:name="_Toc336338055"/>
            <w:bookmarkStart w:id="388" w:name="_Toc361829159"/>
            <w:r w:rsidRPr="000A1C8E">
              <w:rPr>
                <w:rFonts w:ascii="Tahoma" w:hAnsi="Tahoma" w:cs="Tahoma"/>
                <w:sz w:val="14"/>
              </w:rPr>
              <w:t>CAL do 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(SL de Usuário e Dispositivo)</w:t>
            </w:r>
            <w:bookmarkEnd w:id="387"/>
            <w:bookmarkEnd w:id="388"/>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A,S,D</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 AO, 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60"/>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389" w:name="_Toc336338056"/>
            <w:bookmarkStart w:id="390" w:name="_Toc361829160"/>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Developer</w:t>
            </w:r>
            <w:bookmarkEnd w:id="389"/>
            <w:bookmarkEnd w:id="390"/>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Style w:val="EndnoteReference"/>
                <w:rFonts w:cs="Tahoma"/>
                <w:b w:val="0"/>
                <w:color w:val="000000"/>
                <w:sz w:val="13"/>
                <w:szCs w:val="13"/>
              </w:rPr>
            </w:pPr>
            <w:hyperlink w:anchor="_80_78_SQL" w:history="1">
              <w:r w:rsidR="003D47E7" w:rsidRPr="00DC1AC3">
                <w:rPr>
                  <w:rStyle w:val="Hyperlink"/>
                  <w:rFonts w:cs="Tahoma"/>
                  <w:b/>
                  <w:sz w:val="13"/>
                  <w:szCs w:val="13"/>
                </w:rPr>
                <w:t>86</w:t>
              </w:r>
            </w:hyperlink>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0F51BC"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91" w:name="_Toc336338057"/>
            <w:bookmarkStart w:id="392" w:name="_Toc361829161"/>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Enterprise</w:t>
            </w:r>
            <w:bookmarkEnd w:id="391"/>
            <w:bookmarkEnd w:id="392"/>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color w:val="000000"/>
                <w:sz w:val="13"/>
                <w:szCs w:val="13"/>
              </w:rPr>
            </w:pPr>
            <w:hyperlink w:anchor="_81_79_SQL" w:history="1">
              <w:r w:rsidR="003D47E7" w:rsidRPr="00DC1AC3">
                <w:rPr>
                  <w:rStyle w:val="Hyperlink"/>
                  <w:rFonts w:cs="Tahoma"/>
                  <w:b/>
                  <w:sz w:val="13"/>
                  <w:szCs w:val="13"/>
                </w:rPr>
                <w:t>87</w:t>
              </w:r>
            </w:hyperlink>
            <w:hyperlink w:anchor="_81_79_SQL" w:history="1"/>
            <w:hyperlink w:anchor="Srv_88SQLServer2012Enterprise" w:history="1"/>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188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113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113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 xml:space="preserve">A </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805E66">
            <w:pPr>
              <w:pStyle w:val="ProductNames"/>
              <w:spacing w:beforeLines="20" w:before="48" w:afterLines="20" w:after="48"/>
              <w:rPr>
                <w:rFonts w:ascii="Tahoma" w:hAnsi="Tahoma" w:cs="Tahoma"/>
                <w:sz w:val="14"/>
              </w:rPr>
            </w:pPr>
            <w:bookmarkStart w:id="393" w:name="_Toc336338058"/>
            <w:bookmarkStart w:id="394" w:name="_Toc361829162"/>
            <w:r w:rsidRPr="000A1C8E">
              <w:rPr>
                <w:rFonts w:ascii="Tahoma" w:hAnsi="Tahoma" w:cs="Tahoma"/>
                <w:sz w:val="14"/>
              </w:rPr>
              <w:lastRenderedPageBreak/>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Enterprise Core (duas</w:t>
            </w:r>
            <w:r w:rsidR="00805E66" w:rsidRPr="000A1C8E">
              <w:rPr>
                <w:rFonts w:ascii="Tahoma" w:hAnsi="Tahoma" w:cs="Tahoma"/>
                <w:sz w:val="14"/>
              </w:rPr>
              <w:t> </w:t>
            </w:r>
            <w:r w:rsidRPr="000A1C8E">
              <w:rPr>
                <w:rFonts w:ascii="Tahoma" w:hAnsi="Tahoma" w:cs="Tahoma"/>
                <w:sz w:val="14"/>
              </w:rPr>
              <w:t>Licenças Principais de pacote)</w:t>
            </w:r>
            <w:bookmarkEnd w:id="393"/>
            <w:bookmarkEnd w:id="394"/>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Style w:val="EndnoteReference"/>
                <w:rFonts w:cs="Tahoma"/>
                <w:b w:val="0"/>
                <w:color w:val="0000FF"/>
                <w:sz w:val="13"/>
                <w:szCs w:val="13"/>
                <w:u w:val="single"/>
              </w:rPr>
            </w:pPr>
            <w:hyperlink w:anchor="_88_SQL_Server®" w:history="1">
              <w:r w:rsidR="003D47E7" w:rsidRPr="00DC1AC3">
                <w:rPr>
                  <w:rStyle w:val="Hyperlink"/>
                  <w:rFonts w:cs="Tahoma"/>
                  <w:b/>
                  <w:sz w:val="13"/>
                  <w:szCs w:val="13"/>
                </w:rPr>
                <w:t>88</w:t>
              </w:r>
            </w:hyperlink>
            <w:hyperlink w:anchor="Srv_89SQLServer2012EnterpriseCore" w:history="1"/>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313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188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188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95" w:name="_Toc336338046"/>
            <w:bookmarkStart w:id="396" w:name="_Toc361829163"/>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Parallel Data Warehouse</w:t>
            </w:r>
            <w:bookmarkEnd w:id="395"/>
            <w:bookmarkEnd w:id="396"/>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color w:val="000000"/>
                <w:sz w:val="13"/>
                <w:szCs w:val="13"/>
                <w:u w:val="single"/>
              </w:rPr>
            </w:pPr>
            <w:hyperlink w:anchor="_80_SQL_Server" w:history="1">
              <w:r w:rsidR="003D47E7" w:rsidRPr="00DC1AC3">
                <w:rPr>
                  <w:rStyle w:val="Hyperlink"/>
                  <w:rFonts w:cs="Tahoma"/>
                  <w:b/>
                  <w:sz w:val="13"/>
                  <w:szCs w:val="13"/>
                </w:rPr>
                <w:t>89</w:t>
              </w:r>
            </w:hyperlink>
            <w:hyperlink w:anchor="_80_SQL_Server" w:history="1"/>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03/13</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400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300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397" w:name="_Toc336338047"/>
            <w:bookmarkStart w:id="398" w:name="_Toc361829164"/>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Parallel Data Warehouse Developer</w:t>
            </w:r>
            <w:bookmarkEnd w:id="397"/>
            <w:bookmarkEnd w:id="398"/>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11/10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399" w:name="_Toc336338059"/>
            <w:bookmarkStart w:id="400" w:name="_Toc361829165"/>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Standard</w:t>
            </w:r>
            <w:bookmarkEnd w:id="399"/>
            <w:bookmarkEnd w:id="400"/>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color w:val="0000FF"/>
                <w:sz w:val="13"/>
                <w:szCs w:val="13"/>
                <w:u w:val="single"/>
              </w:rPr>
            </w:pPr>
            <w:hyperlink w:anchor="_82_SQL_Server®" w:history="1">
              <w:r w:rsidR="003D47E7" w:rsidRPr="00DC1AC3">
                <w:rPr>
                  <w:rStyle w:val="Hyperlink"/>
                  <w:rFonts w:cs="Tahoma"/>
                  <w:b/>
                  <w:sz w:val="13"/>
                  <w:szCs w:val="13"/>
                </w:rPr>
                <w:t>90</w:t>
              </w:r>
            </w:hyperlink>
            <w:hyperlink w:anchor="Srv_90SQLServer2012Standard" w:history="1"/>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805E66">
            <w:pPr>
              <w:pStyle w:val="ProductNames"/>
              <w:spacing w:beforeLines="20" w:before="48" w:afterLines="20" w:after="48"/>
              <w:rPr>
                <w:rFonts w:ascii="Tahoma" w:hAnsi="Tahoma" w:cs="Tahoma"/>
                <w:sz w:val="14"/>
              </w:rPr>
            </w:pPr>
            <w:bookmarkStart w:id="401" w:name="_Toc336338060"/>
            <w:bookmarkStart w:id="402" w:name="_Toc361829166"/>
            <w:r w:rsidRPr="000A1C8E">
              <w:rPr>
                <w:rFonts w:ascii="Tahoma" w:hAnsi="Tahoma" w:cs="Tahoma"/>
                <w:sz w:val="14"/>
              </w:rPr>
              <w:t>SQL Server</w:t>
            </w:r>
            <w:r w:rsidR="00C83286" w:rsidRPr="000A1C8E">
              <w:rPr>
                <w:rFonts w:ascii="Tahoma" w:eastAsia="Times New Roman" w:hAnsi="Tahoma" w:cs="Tahoma"/>
                <w:color w:val="000000"/>
                <w:sz w:val="18"/>
                <w:szCs w:val="18"/>
                <w:vertAlign w:val="superscript"/>
              </w:rPr>
              <w:t>®</w:t>
            </w:r>
            <w:r w:rsidRPr="000A1C8E">
              <w:rPr>
                <w:rFonts w:ascii="Tahoma" w:hAnsi="Tahoma" w:cs="Tahoma"/>
                <w:sz w:val="14"/>
              </w:rPr>
              <w:t xml:space="preserve"> 2012 Standard Core (duas</w:t>
            </w:r>
            <w:r w:rsidR="00805E66" w:rsidRPr="000A1C8E">
              <w:rPr>
                <w:rFonts w:ascii="Tahoma" w:hAnsi="Tahoma" w:cs="Tahoma"/>
                <w:sz w:val="14"/>
              </w:rPr>
              <w:t> </w:t>
            </w:r>
            <w:r w:rsidRPr="000A1C8E">
              <w:rPr>
                <w:rFonts w:ascii="Tahoma" w:hAnsi="Tahoma" w:cs="Tahoma"/>
                <w:sz w:val="14"/>
              </w:rPr>
              <w:t>Licenças Principais de pacote)</w:t>
            </w:r>
            <w:bookmarkEnd w:id="401"/>
            <w:bookmarkEnd w:id="402"/>
          </w:p>
        </w:tc>
        <w:tc>
          <w:tcPr>
            <w:tcW w:w="450" w:type="dxa"/>
            <w:tcBorders>
              <w:bottom w:val="single" w:sz="4" w:space="0" w:color="auto"/>
            </w:tcBorders>
            <w:shd w:val="clear" w:color="auto" w:fill="FABF8F"/>
            <w:vAlign w:val="center"/>
          </w:tcPr>
          <w:p w:rsidR="001A63C6" w:rsidRPr="00DC1AC3" w:rsidRDefault="006C57E7" w:rsidP="0067080E">
            <w:pPr>
              <w:pStyle w:val="TableText"/>
              <w:widowControl w:val="0"/>
              <w:rPr>
                <w:rStyle w:val="EndnoteReference"/>
                <w:rFonts w:cs="Tahoma"/>
                <w:b w:val="0"/>
                <w:color w:val="000000"/>
                <w:sz w:val="13"/>
                <w:szCs w:val="13"/>
                <w:u w:val="single"/>
              </w:rPr>
            </w:pPr>
            <w:hyperlink w:anchor="_91_SQL_Server®" w:history="1">
              <w:r w:rsidR="003D47E7" w:rsidRPr="00DC1AC3">
                <w:rPr>
                  <w:rStyle w:val="Hyperlink"/>
                  <w:rFonts w:cs="Tahoma"/>
                  <w:b/>
                  <w:sz w:val="13"/>
                  <w:szCs w:val="13"/>
                </w:rPr>
                <w:t>91</w:t>
              </w:r>
            </w:hyperlink>
            <w:hyperlink w:anchor="Srv_91SQLServer2012StandardCore" w:history="1"/>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LO/OV</w:t>
            </w: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03" w:name="_Toc336338062"/>
            <w:bookmarkStart w:id="404" w:name="_Toc361829167"/>
            <w:r w:rsidRPr="000A1C8E">
              <w:rPr>
                <w:rFonts w:ascii="Tahoma" w:hAnsi="Tahoma" w:cs="Tahoma"/>
                <w:sz w:val="14"/>
              </w:rPr>
              <w:t>Licença de Gerenciamento de Servidor do System Center Configuration Manager 2007 R3 Enterprise</w:t>
            </w:r>
            <w:bookmarkEnd w:id="403"/>
            <w:bookmarkEnd w:id="404"/>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FF"/>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11/10</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405" w:name="_Toc336338063"/>
            <w:bookmarkStart w:id="406" w:name="_Toc361829168"/>
            <w:r w:rsidRPr="000A1C8E">
              <w:rPr>
                <w:rFonts w:ascii="Tahoma" w:hAnsi="Tahoma" w:cs="Tahoma"/>
                <w:sz w:val="14"/>
              </w:rPr>
              <w:t>Licença de Gerenciamento de Servidor Standard (ML de Servidor Standard) do System Center Configuration Manager 2007 R3)</w:t>
            </w:r>
            <w:bookmarkEnd w:id="405"/>
            <w:bookmarkEnd w:id="406"/>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FF"/>
                <w:sz w:val="13"/>
                <w:szCs w:val="13"/>
                <w:u w:val="single"/>
              </w:rPr>
            </w:pPr>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11/10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33662">
            <w:pPr>
              <w:pStyle w:val="ProductNames"/>
              <w:keepNext/>
              <w:spacing w:beforeLines="10" w:before="24" w:afterLines="10" w:after="24"/>
              <w:rPr>
                <w:rFonts w:ascii="Tahoma" w:hAnsi="Tahoma" w:cs="Tahoma"/>
                <w:sz w:val="14"/>
              </w:rPr>
            </w:pPr>
            <w:bookmarkStart w:id="407" w:name="_Toc257333903"/>
            <w:bookmarkStart w:id="408" w:name="_Toc336338067"/>
            <w:bookmarkStart w:id="409" w:name="_Toc361829169"/>
            <w:r w:rsidRPr="000A1C8E">
              <w:rPr>
                <w:rFonts w:ascii="Tahoma" w:hAnsi="Tahoma" w:cs="Tahoma"/>
                <w:sz w:val="14"/>
              </w:rPr>
              <w:t>Licença de Gerenciamento de Servidor Enterprise do System Center Data Protection Manager 2010</w:t>
            </w:r>
            <w:bookmarkEnd w:id="407"/>
            <w:bookmarkEnd w:id="408"/>
            <w:bookmarkEnd w:id="409"/>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1A63C6" w:rsidP="00133662">
            <w:pPr>
              <w:pStyle w:val="TableText"/>
              <w:keepNext/>
              <w:keepLines/>
              <w:widowControl w:val="0"/>
              <w:jc w:val="left"/>
              <w:rPr>
                <w:rStyle w:val="EndnoteReference"/>
                <w:rFonts w:cs="Tahoma"/>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keepNext/>
              <w:keepLines/>
              <w:widowControl w:val="0"/>
              <w:rPr>
                <w:rFonts w:ascii="Tahoma" w:hAnsi="Tahoma" w:cs="Tahoma"/>
                <w:color w:val="000000"/>
                <w:sz w:val="13"/>
              </w:rPr>
            </w:pPr>
            <w:r w:rsidRPr="000A1C8E">
              <w:rPr>
                <w:rFonts w:ascii="Tahoma" w:hAnsi="Tahoma" w:cs="Tahoma"/>
                <w:sz w:val="13"/>
              </w:rPr>
              <w:t>06/10</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keepNext/>
              <w:keepLines/>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r w:rsidRPr="000A1C8E">
              <w:rPr>
                <w:rFonts w:ascii="Tahoma" w:hAnsi="Tahoma" w:cs="Tahoma"/>
                <w:color w:val="000000"/>
                <w:sz w:val="13"/>
              </w:rPr>
              <w:t>5</w:t>
            </w:r>
          </w:p>
        </w:tc>
        <w:tc>
          <w:tcPr>
            <w:tcW w:w="396" w:type="dxa"/>
            <w:tcBorders>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keepNext/>
              <w:keepLines/>
              <w:widowControl w:val="0"/>
              <w:rPr>
                <w:rFonts w:ascii="Tahoma" w:hAnsi="Tahoma" w:cs="Tahoma"/>
                <w:color w:val="000000"/>
                <w:sz w:val="13"/>
              </w:rPr>
            </w:pPr>
            <w:r w:rsidRPr="000A1C8E">
              <w:rPr>
                <w:rFonts w:ascii="Tahoma" w:hAnsi="Tahoma" w:cs="Tahoma"/>
                <w:sz w:val="13"/>
              </w:rPr>
              <w:t>AO, ST</w:t>
            </w:r>
          </w:p>
        </w:tc>
        <w:tc>
          <w:tcPr>
            <w:tcW w:w="486" w:type="dxa"/>
            <w:tcBorders>
              <w:bottom w:val="single" w:sz="4" w:space="0" w:color="auto"/>
            </w:tcBorders>
            <w:shd w:val="clear" w:color="auto" w:fill="auto"/>
            <w:vAlign w:val="center"/>
          </w:tcPr>
          <w:p w:rsidR="001A63C6" w:rsidRPr="000A1C8E" w:rsidRDefault="001A63C6" w:rsidP="00133662">
            <w:pPr>
              <w:pStyle w:val="TableText"/>
              <w:keepNext/>
              <w:keepLines/>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10" w:before="24" w:afterLines="10" w:after="24"/>
              <w:rPr>
                <w:rFonts w:ascii="Tahoma" w:hAnsi="Tahoma" w:cs="Tahoma"/>
                <w:sz w:val="14"/>
              </w:rPr>
            </w:pPr>
            <w:bookmarkStart w:id="410" w:name="_Toc257333904"/>
            <w:bookmarkStart w:id="411" w:name="_Toc336338068"/>
            <w:bookmarkStart w:id="412" w:name="_Toc361829170"/>
            <w:r w:rsidRPr="000A1C8E">
              <w:rPr>
                <w:rFonts w:ascii="Tahoma" w:hAnsi="Tahoma" w:cs="Tahoma"/>
                <w:sz w:val="14"/>
              </w:rPr>
              <w:t>Licença de Gerenciamento de Servidor Standard do System Center Data Protection Manager 2010</w:t>
            </w:r>
            <w:bookmarkEnd w:id="410"/>
            <w:bookmarkEnd w:id="411"/>
            <w:bookmarkEnd w:id="412"/>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FF"/>
                <w:sz w:val="13"/>
                <w:szCs w:val="13"/>
                <w:u w:val="single"/>
              </w:rPr>
            </w:pPr>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rPr>
              <w:t>06/10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rPr>
              <w:t>AO, 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13" w:name="_Toc336338069"/>
            <w:bookmarkStart w:id="414" w:name="_Toc361829171"/>
            <w:bookmarkStart w:id="415" w:name="_Toc257333905"/>
            <w:r w:rsidRPr="000A1C8E">
              <w:rPr>
                <w:rFonts w:ascii="Tahoma" w:hAnsi="Tahoma" w:cs="Tahoma"/>
                <w:sz w:val="14"/>
              </w:rPr>
              <w:t>System Center Essentials 2010</w:t>
            </w:r>
            <w:bookmarkEnd w:id="413"/>
            <w:bookmarkEnd w:id="414"/>
            <w:r w:rsidRPr="000A1C8E">
              <w:rPr>
                <w:rFonts w:ascii="Tahoma" w:hAnsi="Tahoma" w:cs="Tahoma"/>
                <w:sz w:val="14"/>
              </w:rPr>
              <w:t xml:space="preserve"> </w:t>
            </w:r>
            <w:bookmarkEnd w:id="415"/>
          </w:p>
        </w:tc>
        <w:tc>
          <w:tcPr>
            <w:tcW w:w="450" w:type="dxa"/>
            <w:tcBorders>
              <w:bottom w:val="single" w:sz="4" w:space="0" w:color="auto"/>
            </w:tcBorders>
            <w:shd w:val="clear" w:color="auto" w:fill="auto"/>
            <w:vAlign w:val="center"/>
          </w:tcPr>
          <w:p w:rsidR="001A63C6" w:rsidRPr="00DC1AC3" w:rsidRDefault="006C57E7" w:rsidP="0067080E">
            <w:pPr>
              <w:pStyle w:val="TableText"/>
              <w:widowControl w:val="0"/>
              <w:rPr>
                <w:rStyle w:val="EndnoteReference"/>
                <w:rFonts w:cs="Tahoma"/>
                <w:b w:val="0"/>
                <w:color w:val="0000FF"/>
                <w:sz w:val="13"/>
                <w:szCs w:val="13"/>
                <w:u w:val="single"/>
              </w:rPr>
            </w:pPr>
            <w:hyperlink w:anchor="_79_System_Center" w:history="1">
              <w:r w:rsidR="003D47E7" w:rsidRPr="00DC1AC3">
                <w:rPr>
                  <w:rStyle w:val="Hyperlink"/>
                  <w:rFonts w:cs="Tahoma"/>
                  <w:b/>
                  <w:sz w:val="13"/>
                  <w:szCs w:val="13"/>
                </w:rPr>
                <w:t>92</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color w:val="000000"/>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86460">
            <w:pPr>
              <w:pStyle w:val="ProductNames"/>
              <w:spacing w:beforeLines="20" w:before="48" w:afterLines="20" w:after="48"/>
              <w:rPr>
                <w:rFonts w:ascii="Tahoma" w:hAnsi="Tahoma" w:cs="Tahoma"/>
                <w:sz w:val="14"/>
              </w:rPr>
            </w:pPr>
            <w:bookmarkStart w:id="416" w:name="_Toc257333906"/>
            <w:bookmarkStart w:id="417" w:name="_Toc336338070"/>
            <w:bookmarkStart w:id="418" w:name="_Toc361829172"/>
            <w:r w:rsidRPr="000A1C8E">
              <w:rPr>
                <w:rFonts w:ascii="Tahoma" w:hAnsi="Tahoma" w:cs="Tahoma"/>
                <w:sz w:val="14"/>
              </w:rPr>
              <w:t>ML de Cliente do System Center Essentials</w:t>
            </w:r>
            <w:r w:rsidR="00186460" w:rsidRPr="000A1C8E">
              <w:rPr>
                <w:rFonts w:ascii="Tahoma" w:hAnsi="Tahoma" w:cs="Tahoma"/>
                <w:sz w:val="14"/>
              </w:rPr>
              <w:t> </w:t>
            </w:r>
            <w:r w:rsidRPr="000A1C8E">
              <w:rPr>
                <w:rFonts w:ascii="Tahoma" w:hAnsi="Tahoma" w:cs="Tahoma"/>
                <w:sz w:val="14"/>
              </w:rPr>
              <w:t>2010</w:t>
            </w:r>
            <w:bookmarkEnd w:id="416"/>
            <w:bookmarkEnd w:id="417"/>
            <w:bookmarkEnd w:id="418"/>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100"/>
              <w:rPr>
                <w:rFonts w:ascii="Tahoma" w:hAnsi="Tahoma" w:cs="Tahoma"/>
                <w:color w:val="000000"/>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19" w:name="_Toc257333908"/>
            <w:bookmarkStart w:id="420" w:name="_Toc336338071"/>
            <w:bookmarkStart w:id="421" w:name="_Toc361829173"/>
            <w:r w:rsidRPr="000A1C8E">
              <w:rPr>
                <w:rFonts w:ascii="Tahoma" w:hAnsi="Tahoma" w:cs="Tahoma"/>
                <w:sz w:val="14"/>
              </w:rPr>
              <w:t>ML de Servidor do System Center Essentials 2010</w:t>
            </w:r>
            <w:bookmarkEnd w:id="419"/>
            <w:bookmarkEnd w:id="420"/>
            <w:bookmarkEnd w:id="421"/>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80"/>
              <w:rPr>
                <w:rFonts w:ascii="Tahoma" w:hAnsi="Tahoma" w:cs="Tahoma"/>
                <w:color w:val="000000"/>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422" w:name="_Toc336338072"/>
            <w:bookmarkStart w:id="423" w:name="_Toc361829174"/>
            <w:bookmarkStart w:id="424" w:name="_Toc257333910"/>
            <w:r w:rsidRPr="000A1C8E">
              <w:rPr>
                <w:rFonts w:ascii="Tahoma" w:hAnsi="Tahoma" w:cs="Tahoma"/>
                <w:sz w:val="14"/>
              </w:rPr>
              <w:t>System Center Essentials 2010 com Tecnologia SQL Server 2008</w:t>
            </w:r>
            <w:bookmarkEnd w:id="422"/>
            <w:bookmarkEnd w:id="423"/>
            <w:r w:rsidRPr="000A1C8E">
              <w:rPr>
                <w:rFonts w:ascii="Tahoma" w:hAnsi="Tahoma" w:cs="Tahoma"/>
                <w:sz w:val="14"/>
              </w:rPr>
              <w:t xml:space="preserve"> </w:t>
            </w:r>
            <w:bookmarkEnd w:id="424"/>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200"/>
              <w:rPr>
                <w:rFonts w:ascii="Tahoma" w:hAnsi="Tahoma" w:cs="Tahoma"/>
                <w:color w:val="000000"/>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25" w:name="_Toc336338073"/>
            <w:bookmarkStart w:id="426" w:name="_Toc361829175"/>
            <w:r w:rsidRPr="000A1C8E">
              <w:rPr>
                <w:rFonts w:ascii="Tahoma" w:hAnsi="Tahoma" w:cs="Tahoma"/>
                <w:sz w:val="14"/>
              </w:rPr>
              <w:t>Management License Suite do System Center Essentials Plus 2010 Client</w:t>
            </w:r>
            <w:bookmarkEnd w:id="425"/>
            <w:bookmarkEnd w:id="426"/>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07/10</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186460">
        <w:trPr>
          <w:cantSplit/>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427" w:name="_Toc336338077"/>
            <w:bookmarkStart w:id="428" w:name="_Toc361829176"/>
            <w:r w:rsidRPr="000A1C8E">
              <w:rPr>
                <w:rFonts w:ascii="Tahoma" w:hAnsi="Tahoma" w:cs="Tahoma"/>
                <w:sz w:val="14"/>
              </w:rPr>
              <w:t>Licença de Gerenciamento de Servidor Standard do System Center Operations Manager 2007 R2</w:t>
            </w:r>
            <w:bookmarkEnd w:id="427"/>
            <w:bookmarkEnd w:id="428"/>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07/09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29" w:name="_Toc336338078"/>
            <w:bookmarkStart w:id="430" w:name="_Toc361829177"/>
            <w:r w:rsidRPr="000A1C8E">
              <w:rPr>
                <w:rFonts w:ascii="Tahoma" w:hAnsi="Tahoma" w:cs="Tahoma"/>
                <w:sz w:val="14"/>
              </w:rPr>
              <w:t>Licença de Gerenciamento de Servidor Enterprise do System Center Operations Manager 2007 R2</w:t>
            </w:r>
            <w:bookmarkEnd w:id="429"/>
            <w:bookmarkEnd w:id="430"/>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07/09</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431" w:name="_Toc336338079"/>
            <w:bookmarkStart w:id="432" w:name="_Toc361829178"/>
            <w:r w:rsidRPr="000A1C8E">
              <w:rPr>
                <w:rFonts w:ascii="Tahoma" w:hAnsi="Tahoma" w:cs="Tahoma"/>
                <w:sz w:val="14"/>
              </w:rPr>
              <w:t>Licença de Gerenciamento de Cliente do System Center Operations Manager 2007 R2 por OSE</w:t>
            </w:r>
            <w:bookmarkEnd w:id="431"/>
            <w:bookmarkEnd w:id="432"/>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07/09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color w:val="000000"/>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color w:val="000000"/>
                <w:sz w:val="13"/>
              </w:rPr>
            </w:pPr>
            <w:r w:rsidRPr="000A1C8E">
              <w:rPr>
                <w:rFonts w:ascii="Tahoma" w:hAnsi="Tahoma" w:cs="Tahoma"/>
                <w:sz w:val="13"/>
              </w:rPr>
              <w:t>AO, 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33" w:name="_Toc336338080"/>
            <w:bookmarkStart w:id="434" w:name="_Toc361829179"/>
            <w:r w:rsidRPr="000A1C8E">
              <w:rPr>
                <w:rFonts w:ascii="Tahoma" w:hAnsi="Tahoma" w:cs="Tahoma"/>
                <w:sz w:val="14"/>
              </w:rPr>
              <w:t>Licença de Gerenciamento de Cliente do System Center Operations Manager 2007 R2 por Usuário</w:t>
            </w:r>
            <w:bookmarkEnd w:id="433"/>
            <w:bookmarkEnd w:id="434"/>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color w:val="000000"/>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07/09</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rPr>
            </w:pPr>
          </w:p>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435" w:name="_Toc336338081"/>
            <w:bookmarkStart w:id="436" w:name="_Toc361829180"/>
            <w:r w:rsidRPr="000A1C8E">
              <w:rPr>
                <w:rFonts w:ascii="Tahoma" w:hAnsi="Tahoma" w:cs="Tahoma"/>
                <w:sz w:val="14"/>
              </w:rPr>
              <w:t>System Center Reporting Manager 2006</w:t>
            </w:r>
            <w:bookmarkEnd w:id="435"/>
            <w:bookmarkEnd w:id="436"/>
            <w:r w:rsidRPr="000A1C8E">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DC1AC3" w:rsidRDefault="006C57E7" w:rsidP="0067080E">
            <w:pPr>
              <w:pStyle w:val="TableText"/>
              <w:widowControl w:val="0"/>
              <w:rPr>
                <w:rStyle w:val="EndnoteReference"/>
                <w:rFonts w:cs="Tahoma"/>
                <w:b w:val="0"/>
                <w:color w:val="0000FF"/>
                <w:sz w:val="13"/>
                <w:szCs w:val="13"/>
                <w:u w:val="single"/>
              </w:rPr>
            </w:pPr>
            <w:hyperlink w:anchor="_80_System_Center" w:history="1">
              <w:r w:rsidR="003D47E7" w:rsidRPr="00DC1AC3">
                <w:rPr>
                  <w:rStyle w:val="Hyperlink"/>
                  <w:rFonts w:cs="Tahoma"/>
                  <w:b/>
                  <w:sz w:val="13"/>
                  <w:szCs w:val="13"/>
                </w:rPr>
                <w:t>93</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1A63C6"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37" w:name="_Toc336338082"/>
            <w:bookmarkStart w:id="438" w:name="_Toc361829181"/>
            <w:r w:rsidRPr="000A1C8E">
              <w:rPr>
                <w:rFonts w:ascii="Tahoma" w:hAnsi="Tahoma" w:cs="Tahoma"/>
                <w:sz w:val="14"/>
              </w:rPr>
              <w:t>System Center Server Management Suite Enterprise</w:t>
            </w:r>
            <w:bookmarkEnd w:id="437"/>
            <w:bookmarkEnd w:id="438"/>
            <w:r w:rsidRPr="000A1C8E">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color w:val="0000FF"/>
                <w:sz w:val="13"/>
                <w:szCs w:val="13"/>
                <w:u w:val="single"/>
              </w:rPr>
            </w:pPr>
            <w:hyperlink w:anchor="Srv_85SysCtrSvrMgmtSuiteEnterprise" w:history="1">
              <w:r w:rsidR="003D47E7" w:rsidRPr="00DC1AC3">
                <w:rPr>
                  <w:rStyle w:val="Hyperlink"/>
                  <w:rFonts w:cs="Tahoma"/>
                  <w:b/>
                  <w:sz w:val="13"/>
                  <w:szCs w:val="13"/>
                </w:rPr>
                <w:t>94</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10/07</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0A1C8E"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0A1C8E"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15</w:t>
            </w:r>
          </w:p>
        </w:tc>
        <w:tc>
          <w:tcPr>
            <w:tcW w:w="396"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4F6A95">
            <w:pPr>
              <w:pStyle w:val="Heading4"/>
              <w:spacing w:beforeLines="20" w:before="48" w:afterLines="20" w:after="48"/>
              <w:ind w:left="0" w:firstLine="0"/>
              <w:rPr>
                <w:rFonts w:ascii="Tahoma" w:hAnsi="Tahoma" w:cs="Tahoma"/>
                <w:b w:val="0"/>
                <w:sz w:val="18"/>
                <w:szCs w:val="18"/>
              </w:rPr>
            </w:pPr>
            <w:bookmarkStart w:id="439" w:name="_Toc336338083"/>
            <w:bookmarkStart w:id="440" w:name="_Toc361829182"/>
            <w:r w:rsidRPr="000A1C8E">
              <w:rPr>
                <w:rFonts w:ascii="Tahoma" w:hAnsi="Tahoma" w:cs="Tahoma"/>
                <w:b w:val="0"/>
                <w:sz w:val="14"/>
                <w:szCs w:val="18"/>
              </w:rPr>
              <w:t>System Center Server Management Suite Datacenter</w:t>
            </w:r>
            <w:bookmarkEnd w:id="439"/>
            <w:bookmarkEnd w:id="440"/>
          </w:p>
        </w:tc>
        <w:tc>
          <w:tcPr>
            <w:tcW w:w="450" w:type="dxa"/>
            <w:tcBorders>
              <w:bottom w:val="single" w:sz="4" w:space="0" w:color="auto"/>
            </w:tcBorders>
            <w:shd w:val="clear" w:color="auto" w:fill="FABF8F"/>
          </w:tcPr>
          <w:p w:rsidR="001A63C6" w:rsidRPr="00DC1AC3" w:rsidRDefault="006C57E7" w:rsidP="00796355">
            <w:pPr>
              <w:pStyle w:val="TableText"/>
              <w:widowControl w:val="0"/>
              <w:spacing w:before="120"/>
              <w:rPr>
                <w:rStyle w:val="EndnoteReference"/>
                <w:rFonts w:cs="Tahoma"/>
                <w:b w:val="0"/>
                <w:sz w:val="13"/>
                <w:szCs w:val="13"/>
                <w:u w:val="single"/>
              </w:rPr>
            </w:pPr>
            <w:hyperlink w:anchor="_86_System_Center" w:history="1">
              <w:r w:rsidR="003D47E7" w:rsidRPr="00DC1AC3">
                <w:rPr>
                  <w:rStyle w:val="Hyperlink"/>
                  <w:rFonts w:cs="Tahoma"/>
                  <w:b/>
                  <w:sz w:val="13"/>
                  <w:szCs w:val="13"/>
                </w:rPr>
                <w:t>95</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07/09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r>
      <w:tr w:rsidR="001A63C6"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805E66">
            <w:pPr>
              <w:pStyle w:val="ProductNames"/>
              <w:spacing w:beforeLines="10" w:before="24" w:afterLines="10" w:after="24"/>
              <w:rPr>
                <w:rFonts w:ascii="Tahoma" w:hAnsi="Tahoma" w:cs="Tahoma"/>
                <w:b/>
                <w:sz w:val="14"/>
              </w:rPr>
            </w:pPr>
            <w:bookmarkStart w:id="441" w:name="_Toc336338086"/>
            <w:bookmarkStart w:id="442" w:name="_Toc361829183"/>
            <w:r w:rsidRPr="000A1C8E">
              <w:rPr>
                <w:rFonts w:ascii="Tahoma" w:hAnsi="Tahoma" w:cs="Tahoma"/>
                <w:sz w:val="14"/>
              </w:rPr>
              <w:t>Licença de Gerenciamento de Cliente (ML</w:t>
            </w:r>
            <w:r w:rsidR="00805E66" w:rsidRPr="000A1C8E">
              <w:rPr>
                <w:rFonts w:ascii="Tahoma" w:hAnsi="Tahoma" w:cs="Tahoma"/>
                <w:sz w:val="14"/>
              </w:rPr>
              <w:t> </w:t>
            </w:r>
            <w:r w:rsidRPr="000A1C8E">
              <w:rPr>
                <w:rFonts w:ascii="Tahoma" w:hAnsi="Tahoma" w:cs="Tahoma"/>
                <w:sz w:val="14"/>
              </w:rPr>
              <w:t>de Cliente) do System Center Service Manager 2010 por OSE</w:t>
            </w:r>
            <w:bookmarkEnd w:id="441"/>
            <w:bookmarkEnd w:id="442"/>
          </w:p>
        </w:tc>
        <w:tc>
          <w:tcPr>
            <w:tcW w:w="450" w:type="dxa"/>
            <w:tcBorders>
              <w:bottom w:val="single" w:sz="4" w:space="0" w:color="auto"/>
            </w:tcBorders>
            <w:shd w:val="clear" w:color="auto" w:fill="auto"/>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04/10</w:t>
            </w:r>
          </w:p>
        </w:tc>
        <w:tc>
          <w:tcPr>
            <w:tcW w:w="377" w:type="dxa"/>
            <w:tcBorders>
              <w:bottom w:val="single" w:sz="4" w:space="0" w:color="auto"/>
              <w:right w:val="single" w:sz="18" w:space="0" w:color="auto"/>
            </w:tcBorders>
            <w:shd w:val="clear" w:color="auto" w:fill="auto"/>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rPr>
            </w:pPr>
          </w:p>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805E66">
            <w:pPr>
              <w:pStyle w:val="ProductNames"/>
              <w:spacing w:beforeLines="10" w:before="24" w:afterLines="10" w:after="24"/>
              <w:rPr>
                <w:rFonts w:ascii="Tahoma" w:hAnsi="Tahoma" w:cs="Tahoma"/>
                <w:b/>
                <w:sz w:val="14"/>
              </w:rPr>
            </w:pPr>
            <w:bookmarkStart w:id="443" w:name="_Toc336338087"/>
            <w:bookmarkStart w:id="444" w:name="_Toc361829184"/>
            <w:r w:rsidRPr="000A1C8E">
              <w:rPr>
                <w:rFonts w:ascii="Tahoma" w:hAnsi="Tahoma" w:cs="Tahoma"/>
                <w:sz w:val="14"/>
              </w:rPr>
              <w:lastRenderedPageBreak/>
              <w:t>Licença de Gerenciamento de Cliente (ML</w:t>
            </w:r>
            <w:r w:rsidR="00805E66" w:rsidRPr="000A1C8E">
              <w:rPr>
                <w:rFonts w:ascii="Tahoma" w:hAnsi="Tahoma" w:cs="Tahoma"/>
                <w:sz w:val="14"/>
              </w:rPr>
              <w:t> </w:t>
            </w:r>
            <w:r w:rsidRPr="000A1C8E">
              <w:rPr>
                <w:rFonts w:ascii="Tahoma" w:hAnsi="Tahoma" w:cs="Tahoma"/>
                <w:sz w:val="14"/>
              </w:rPr>
              <w:t>de Cliente) do System Center Service Manager 2010 por Usuário</w:t>
            </w:r>
            <w:bookmarkEnd w:id="443"/>
            <w:bookmarkEnd w:id="444"/>
          </w:p>
        </w:tc>
        <w:tc>
          <w:tcPr>
            <w:tcW w:w="450" w:type="dxa"/>
            <w:tcBorders>
              <w:bottom w:val="single" w:sz="4" w:space="0" w:color="auto"/>
            </w:tcBorders>
            <w:shd w:val="clear" w:color="auto" w:fill="FABF8F"/>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04/10</w:t>
            </w:r>
          </w:p>
        </w:tc>
        <w:tc>
          <w:tcPr>
            <w:tcW w:w="377" w:type="dxa"/>
            <w:tcBorders>
              <w:bottom w:val="single" w:sz="4" w:space="0" w:color="auto"/>
              <w:right w:val="single" w:sz="18" w:space="0" w:color="auto"/>
            </w:tcBorders>
            <w:shd w:val="clear" w:color="auto" w:fill="FABF8F"/>
          </w:tcPr>
          <w:p w:rsidR="001A63C6" w:rsidRPr="000A1C8E" w:rsidRDefault="001A63C6" w:rsidP="001A63C6">
            <w:pPr>
              <w:pStyle w:val="TableText"/>
              <w:widowControl w:val="0"/>
              <w:spacing w:before="12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rPr>
            </w:pPr>
          </w:p>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r>
      <w:tr w:rsidR="00B33D0E"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805E66">
            <w:pPr>
              <w:pStyle w:val="Heading3"/>
              <w:spacing w:beforeLines="20" w:before="48" w:afterLines="20" w:after="48"/>
              <w:rPr>
                <w:rFonts w:ascii="Tahoma" w:hAnsi="Tahoma" w:cs="Tahoma"/>
                <w:b w:val="0"/>
                <w:sz w:val="14"/>
                <w:szCs w:val="16"/>
              </w:rPr>
            </w:pPr>
            <w:bookmarkStart w:id="445" w:name="_Toc336338088"/>
            <w:bookmarkStart w:id="446" w:name="_Toc361829185"/>
            <w:r w:rsidRPr="000A1C8E">
              <w:rPr>
                <w:rFonts w:ascii="Tahoma" w:hAnsi="Tahoma" w:cs="Tahoma"/>
                <w:b w:val="0"/>
                <w:sz w:val="14"/>
                <w:szCs w:val="16"/>
              </w:rPr>
              <w:t>Licença de Gerenciamento de Servidor (ML</w:t>
            </w:r>
            <w:r w:rsidR="00805E66" w:rsidRPr="000A1C8E">
              <w:rPr>
                <w:rFonts w:ascii="Tahoma" w:hAnsi="Tahoma" w:cs="Tahoma"/>
                <w:b w:val="0"/>
                <w:sz w:val="14"/>
                <w:szCs w:val="16"/>
              </w:rPr>
              <w:t> </w:t>
            </w:r>
            <w:r w:rsidRPr="000A1C8E">
              <w:rPr>
                <w:rFonts w:ascii="Tahoma" w:hAnsi="Tahoma" w:cs="Tahoma"/>
                <w:b w:val="0"/>
                <w:sz w:val="14"/>
                <w:szCs w:val="16"/>
              </w:rPr>
              <w:t>de Servidor) do System Center Service Manager 2010 por OSE</w:t>
            </w:r>
            <w:bookmarkEnd w:id="445"/>
            <w:bookmarkEnd w:id="446"/>
          </w:p>
        </w:tc>
        <w:tc>
          <w:tcPr>
            <w:tcW w:w="450" w:type="dxa"/>
            <w:tcBorders>
              <w:bottom w:val="single" w:sz="4" w:space="0" w:color="auto"/>
            </w:tcBorders>
            <w:shd w:val="clear" w:color="auto" w:fill="auto"/>
          </w:tcPr>
          <w:p w:rsidR="001A63C6" w:rsidRPr="00DC1AC3" w:rsidRDefault="001A63C6" w:rsidP="001A63C6">
            <w:pPr>
              <w:pStyle w:val="TableText"/>
              <w:widowControl w:val="0"/>
              <w:spacing w:before="20" w:after="20"/>
              <w:rPr>
                <w:rStyle w:val="EndnoteReference"/>
                <w:rFonts w:cs="Tahoma"/>
                <w:sz w:val="13"/>
                <w:szCs w:val="13"/>
                <w:u w:val="single"/>
              </w:rPr>
            </w:pPr>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04/10</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rPr>
            </w:pPr>
          </w:p>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A,</w:t>
            </w:r>
            <w:r w:rsidR="0018646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r>
      <w:tr w:rsidR="006864A1" w:rsidRPr="000A1C8E" w:rsidTr="00C16156">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jc w:val="center"/>
        </w:trPr>
        <w:tc>
          <w:tcPr>
            <w:tcW w:w="2734" w:type="dxa"/>
            <w:gridSpan w:val="2"/>
            <w:tcBorders>
              <w:bottom w:val="single" w:sz="2" w:space="0" w:color="auto"/>
            </w:tcBorders>
            <w:shd w:val="clear" w:color="auto" w:fill="FABF8F"/>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47" w:name="_Toc336338089"/>
            <w:bookmarkStart w:id="448" w:name="_Toc361829186"/>
            <w:r w:rsidRPr="000A1C8E">
              <w:rPr>
                <w:rFonts w:ascii="Tahoma" w:hAnsi="Tahoma" w:cs="Tahoma"/>
                <w:b w:val="0"/>
                <w:sz w:val="14"/>
                <w:szCs w:val="14"/>
              </w:rPr>
              <w:t>Licença de Gerenciamento de Cliente do System Center Virtual Machine Manager 2008 R2 por OSE</w:t>
            </w:r>
            <w:bookmarkEnd w:id="447"/>
            <w:bookmarkEnd w:id="448"/>
          </w:p>
        </w:tc>
        <w:tc>
          <w:tcPr>
            <w:tcW w:w="450" w:type="dxa"/>
            <w:tcBorders>
              <w:bottom w:val="single" w:sz="2" w:space="0" w:color="auto"/>
            </w:tcBorders>
            <w:shd w:val="clear" w:color="auto" w:fill="FABF8F"/>
            <w:vAlign w:val="center"/>
          </w:tcPr>
          <w:p w:rsidR="001A63C6" w:rsidRPr="00DC1AC3" w:rsidRDefault="006C57E7" w:rsidP="00796355">
            <w:pPr>
              <w:pStyle w:val="TableText"/>
              <w:widowControl w:val="0"/>
              <w:spacing w:before="60"/>
              <w:rPr>
                <w:rStyle w:val="EndnoteReference"/>
                <w:rFonts w:cs="Tahoma"/>
                <w:b w:val="0"/>
                <w:color w:val="0000FF"/>
                <w:sz w:val="13"/>
                <w:szCs w:val="13"/>
                <w:u w:val="single"/>
              </w:rPr>
            </w:pPr>
            <w:hyperlink w:anchor="_87_System_Center" w:history="1">
              <w:r w:rsidR="003D47E7" w:rsidRPr="00DC1AC3">
                <w:rPr>
                  <w:rStyle w:val="Hyperlink"/>
                  <w:rFonts w:cs="Tahoma"/>
                  <w:b/>
                  <w:sz w:val="13"/>
                  <w:szCs w:val="13"/>
                </w:rPr>
                <w:t>96</w:t>
              </w:r>
            </w:hyperlink>
          </w:p>
        </w:tc>
        <w:tc>
          <w:tcPr>
            <w:tcW w:w="433"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11/09</w:t>
            </w:r>
          </w:p>
        </w:tc>
        <w:tc>
          <w:tcPr>
            <w:tcW w:w="377" w:type="dxa"/>
            <w:tcBorders>
              <w:bottom w:val="single" w:sz="2" w:space="0" w:color="auto"/>
              <w:right w:val="single" w:sz="5"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369" w:type="dxa"/>
            <w:tcBorders>
              <w:left w:val="single" w:sz="5" w:space="0" w:color="auto"/>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4"/>
                <w:szCs w:val="14"/>
              </w:rPr>
              <w:t>1</w:t>
            </w:r>
          </w:p>
        </w:tc>
        <w:tc>
          <w:tcPr>
            <w:tcW w:w="396" w:type="dxa"/>
            <w:tcBorders>
              <w:bottom w:val="single" w:sz="2" w:space="0" w:color="auto"/>
              <w:right w:val="single" w:sz="5"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396" w:type="dxa"/>
            <w:tcBorders>
              <w:left w:val="single" w:sz="5" w:space="0" w:color="auto"/>
              <w:bottom w:val="single" w:sz="2" w:space="0" w:color="auto"/>
              <w:right w:val="single" w:sz="5"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693"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3"/>
              </w:rPr>
              <w:t>A</w:t>
            </w:r>
          </w:p>
        </w:tc>
        <w:tc>
          <w:tcPr>
            <w:tcW w:w="486" w:type="dxa"/>
            <w:tcBorders>
              <w:bottom w:val="single" w:sz="2"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r>
      <w:tr w:rsidR="006864A1" w:rsidRPr="000A1C8E" w:rsidTr="00C16156">
        <w:trPr>
          <w:trHeight w:val="145"/>
          <w:jc w:val="center"/>
        </w:trPr>
        <w:tc>
          <w:tcPr>
            <w:tcW w:w="2734" w:type="dxa"/>
            <w:gridSpan w:val="2"/>
            <w:tcBorders>
              <w:bottom w:val="single" w:sz="4" w:space="0" w:color="auto"/>
            </w:tcBorders>
            <w:shd w:val="clear" w:color="auto" w:fill="FABF8F"/>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49" w:name="_Toc336338090"/>
            <w:bookmarkStart w:id="450" w:name="_Toc361829187"/>
            <w:r w:rsidRPr="000A1C8E">
              <w:rPr>
                <w:rFonts w:ascii="Tahoma" w:hAnsi="Tahoma" w:cs="Tahoma"/>
                <w:b w:val="0"/>
                <w:sz w:val="14"/>
                <w:szCs w:val="14"/>
              </w:rPr>
              <w:t>Licença de Gerenciamento de Cliente do System Center Virtual Machine Manager 2008 R2 por Usuário</w:t>
            </w:r>
            <w:bookmarkEnd w:id="449"/>
            <w:bookmarkEnd w:id="450"/>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spacing w:before="60"/>
              <w:rPr>
                <w:rStyle w:val="EndnoteReference"/>
                <w:rFonts w:cs="Tahoma"/>
                <w:b w:val="0"/>
                <w:sz w:val="13"/>
                <w:szCs w:val="13"/>
                <w:u w:val="single"/>
              </w:rPr>
            </w:pPr>
            <w:hyperlink w:anchor="_87_System_Center" w:history="1">
              <w:r w:rsidR="008E5ED7" w:rsidRPr="00DC1AC3">
                <w:rPr>
                  <w:rStyle w:val="Hyperlink"/>
                  <w:rFonts w:cs="Tahoma"/>
                  <w:b/>
                  <w:sz w:val="13"/>
                  <w:szCs w:val="13"/>
                </w:rPr>
                <w:t>96</w:t>
              </w:r>
            </w:hyperlink>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11/09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4"/>
                <w:szCs w:val="14"/>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4"/>
                <w:szCs w:val="14"/>
              </w:rPr>
            </w:pPr>
          </w:p>
        </w:tc>
      </w:tr>
      <w:tr w:rsidR="006864A1"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4F6A95">
            <w:pPr>
              <w:pStyle w:val="ProductNames"/>
              <w:spacing w:beforeLines="20" w:before="48" w:afterLines="20" w:after="48"/>
              <w:rPr>
                <w:rFonts w:ascii="Tahoma" w:hAnsi="Tahoma" w:cs="Tahoma"/>
                <w:sz w:val="14"/>
                <w:szCs w:val="14"/>
              </w:rPr>
            </w:pPr>
            <w:bookmarkStart w:id="451" w:name="_Toc336338091"/>
            <w:bookmarkStart w:id="452" w:name="_Toc361829188"/>
            <w:r w:rsidRPr="000A1C8E">
              <w:rPr>
                <w:rFonts w:ascii="Tahoma" w:hAnsi="Tahoma" w:cs="Tahoma"/>
                <w:color w:val="000000"/>
                <w:sz w:val="14"/>
                <w:szCs w:val="14"/>
              </w:rPr>
              <w:t>Licença de Gerenciamento de Servidor Enterprise do System Center Virtual Machine Manager 2008 R2</w:t>
            </w:r>
            <w:bookmarkEnd w:id="451"/>
            <w:bookmarkEnd w:id="452"/>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spacing w:before="120"/>
              <w:rPr>
                <w:rStyle w:val="EndnoteReference"/>
                <w:rFonts w:cs="Tahoma"/>
                <w:b w:val="0"/>
                <w:sz w:val="13"/>
                <w:szCs w:val="13"/>
                <w:u w:val="single"/>
              </w:rPr>
            </w:pPr>
            <w:hyperlink w:anchor="_87_System_Center" w:history="1">
              <w:r w:rsidR="008E5ED7" w:rsidRPr="00DC1AC3">
                <w:rPr>
                  <w:rStyle w:val="Hyperlink"/>
                  <w:rFonts w:cs="Tahoma"/>
                  <w:b/>
                  <w:sz w:val="13"/>
                  <w:szCs w:val="13"/>
                </w:rPr>
                <w:t>96</w:t>
              </w:r>
            </w:hyperlink>
            <w:hyperlink w:anchor="Srv_100SysCenterVMM2008R2" w:history="1"/>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10/08</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4"/>
                <w:szCs w:val="14"/>
              </w:rPr>
              <w:t>10</w:t>
            </w:r>
          </w:p>
        </w:tc>
        <w:tc>
          <w:tcPr>
            <w:tcW w:w="396"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4"/>
                <w:szCs w:val="14"/>
              </w:rPr>
            </w:pPr>
          </w:p>
        </w:tc>
      </w:tr>
      <w:tr w:rsidR="006864A1" w:rsidRPr="000A1C8E" w:rsidTr="00C16156">
        <w:trPr>
          <w:trHeight w:val="368"/>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453" w:name="_Toc336338093"/>
            <w:bookmarkStart w:id="454" w:name="_Toc361829189"/>
            <w:r w:rsidRPr="000A1C8E">
              <w:rPr>
                <w:rFonts w:ascii="Tahoma" w:hAnsi="Tahoma" w:cs="Tahoma"/>
                <w:sz w:val="14"/>
                <w:szCs w:val="18"/>
              </w:rPr>
              <w:t>System Center 2012 Client Management Suite (ML de Cliente) por OSE</w:t>
            </w:r>
            <w:bookmarkEnd w:id="453"/>
            <w:bookmarkEnd w:id="454"/>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Fonts w:cs="Tahoma"/>
                <w:b/>
                <w:color w:val="000000"/>
                <w:sz w:val="13"/>
                <w:szCs w:val="13"/>
                <w:u w:val="single"/>
              </w:rPr>
            </w:pPr>
            <w:hyperlink w:anchor="_91_89_System" w:history="1">
              <w:r w:rsidR="003D47E7" w:rsidRPr="00DC1AC3">
                <w:rPr>
                  <w:rStyle w:val="Hyperlink"/>
                  <w:rFonts w:cs="Tahoma"/>
                  <w:b/>
                  <w:sz w:val="13"/>
                  <w:szCs w:val="13"/>
                </w:rPr>
                <w:t>97</w:t>
              </w:r>
            </w:hyperlink>
            <w:hyperlink w:anchor="_91_89_System" w:history="1"/>
            <w:hyperlink w:anchor="Srv_101SystemCenter2012" w:history="1"/>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1A63C6" w:rsidRPr="00132FFC" w:rsidRDefault="001A63C6" w:rsidP="00BF08CC">
            <w:pPr>
              <w:pStyle w:val="TableText"/>
              <w:widowControl w:val="0"/>
              <w:rPr>
                <w:rFonts w:ascii="Arial" w:hAnsi="Arial" w:cs="Arial"/>
                <w:sz w:val="13"/>
                <w:szCs w:val="13"/>
              </w:rPr>
            </w:pPr>
            <w:r w:rsidRPr="00132FFC">
              <w:rPr>
                <w:rFonts w:ascii="Arial" w:hAnsi="Arial" w:cs="Arial"/>
                <w:sz w:val="13"/>
                <w:szCs w:val="13"/>
              </w:rPr>
              <w:t>A, E</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132FFC" w:rsidRDefault="001A63C6" w:rsidP="00BF08CC">
            <w:pPr>
              <w:pStyle w:val="TableText"/>
              <w:widowControl w:val="0"/>
              <w:rPr>
                <w:rFonts w:ascii="Arial" w:hAnsi="Arial" w:cs="Arial"/>
                <w:sz w:val="13"/>
                <w:szCs w:val="13"/>
              </w:rPr>
            </w:pPr>
            <w:r w:rsidRPr="00132FFC">
              <w:rPr>
                <w:rFonts w:ascii="Arial" w:hAnsi="Arial" w:cs="Arial"/>
                <w:sz w:val="13"/>
                <w:szCs w:val="13"/>
              </w:rPr>
              <w:t>P</w:t>
            </w:r>
          </w:p>
        </w:tc>
        <w:tc>
          <w:tcPr>
            <w:tcW w:w="693" w:type="dxa"/>
            <w:tcBorders>
              <w:bottom w:val="single" w:sz="4" w:space="0" w:color="auto"/>
            </w:tcBorders>
            <w:shd w:val="clear" w:color="auto" w:fill="FABF8F"/>
            <w:vAlign w:val="center"/>
          </w:tcPr>
          <w:p w:rsidR="001A63C6" w:rsidRPr="00132FFC" w:rsidRDefault="001A63C6" w:rsidP="00BF08CC">
            <w:pPr>
              <w:jc w:val="center"/>
              <w:rPr>
                <w:rFonts w:ascii="Arial" w:hAnsi="Arial" w:cs="Arial"/>
              </w:rPr>
            </w:pPr>
            <w:r w:rsidRPr="00132FFC">
              <w:rPr>
                <w:rFonts w:ascii="Arial" w:hAnsi="Arial" w:cs="Arial"/>
                <w:sz w:val="13"/>
                <w:szCs w:val="13"/>
              </w:rPr>
              <w:t>AO, ST</w:t>
            </w:r>
          </w:p>
          <w:p w:rsidR="001A63C6" w:rsidRPr="00132FFC" w:rsidRDefault="001A63C6" w:rsidP="00BF08CC">
            <w:pPr>
              <w:pStyle w:val="TableText"/>
              <w:widowControl w:val="0"/>
              <w:rPr>
                <w:rFonts w:ascii="Arial" w:hAnsi="Arial" w:cs="Arial"/>
                <w:sz w:val="13"/>
                <w:szCs w:val="13"/>
              </w:rPr>
            </w:pPr>
          </w:p>
        </w:tc>
        <w:tc>
          <w:tcPr>
            <w:tcW w:w="486"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r>
      <w:tr w:rsidR="006864A1" w:rsidRPr="000A1C8E" w:rsidTr="00C16156">
        <w:trPr>
          <w:trHeight w:val="134"/>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55" w:name="_Toc336338094"/>
            <w:bookmarkStart w:id="456" w:name="_Toc361829190"/>
            <w:r w:rsidRPr="000A1C8E">
              <w:rPr>
                <w:rFonts w:ascii="Tahoma" w:hAnsi="Tahoma" w:cs="Tahoma"/>
                <w:sz w:val="14"/>
                <w:szCs w:val="18"/>
              </w:rPr>
              <w:t>System Center 2012 Client Management Suite (ML de Cliente) por Usuário</w:t>
            </w:r>
            <w:bookmarkEnd w:id="455"/>
            <w:bookmarkEnd w:id="456"/>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Fonts w:cs="Tahoma"/>
                <w:b/>
                <w:color w:val="000000"/>
                <w:sz w:val="13"/>
                <w:szCs w:val="13"/>
                <w:u w:val="single"/>
              </w:rPr>
            </w:pPr>
            <w:hyperlink w:anchor="_91_89_System" w:history="1">
              <w:r w:rsidR="008E5ED7" w:rsidRPr="00DC1AC3">
                <w:rPr>
                  <w:rStyle w:val="Hyperlink"/>
                  <w:rFonts w:cs="Tahoma"/>
                  <w:b/>
                  <w:sz w:val="13"/>
                  <w:szCs w:val="13"/>
                </w:rPr>
                <w:t>97</w:t>
              </w:r>
            </w:hyperlink>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r>
      <w:tr w:rsidR="006864A1" w:rsidRPr="000A1C8E" w:rsidTr="00C16156">
        <w:trPr>
          <w:cantSplit/>
          <w:trHeight w:val="134"/>
          <w:jc w:val="center"/>
        </w:trPr>
        <w:tc>
          <w:tcPr>
            <w:tcW w:w="2734" w:type="dxa"/>
            <w:gridSpan w:val="2"/>
            <w:tcBorders>
              <w:bottom w:val="single" w:sz="4" w:space="0" w:color="auto"/>
            </w:tcBorders>
            <w:shd w:val="clear" w:color="auto" w:fill="FABF8F"/>
            <w:vAlign w:val="center"/>
          </w:tcPr>
          <w:p w:rsidR="001A63C6" w:rsidRPr="000A1C8E" w:rsidRDefault="001A63C6" w:rsidP="00805E66">
            <w:pPr>
              <w:pStyle w:val="ProductNames"/>
              <w:spacing w:beforeLines="20" w:before="48" w:afterLines="20" w:after="48"/>
              <w:rPr>
                <w:rFonts w:ascii="Tahoma" w:hAnsi="Tahoma" w:cs="Tahoma"/>
                <w:sz w:val="14"/>
              </w:rPr>
            </w:pPr>
            <w:bookmarkStart w:id="457" w:name="_Toc336338095"/>
            <w:bookmarkStart w:id="458" w:name="_Toc361829191"/>
            <w:r w:rsidRPr="000A1C8E">
              <w:rPr>
                <w:rFonts w:ascii="Tahoma" w:hAnsi="Tahoma" w:cs="Tahoma"/>
                <w:sz w:val="14"/>
                <w:szCs w:val="14"/>
              </w:rPr>
              <w:t>Licença de Gerenciamento de Cliente (ML</w:t>
            </w:r>
            <w:r w:rsidR="00805E66" w:rsidRPr="000A1C8E">
              <w:rPr>
                <w:rFonts w:ascii="Tahoma" w:hAnsi="Tahoma" w:cs="Tahoma"/>
                <w:sz w:val="14"/>
                <w:szCs w:val="14"/>
              </w:rPr>
              <w:t> </w:t>
            </w:r>
            <w:r w:rsidRPr="000A1C8E">
              <w:rPr>
                <w:rFonts w:ascii="Tahoma" w:hAnsi="Tahoma" w:cs="Tahoma"/>
                <w:sz w:val="14"/>
                <w:szCs w:val="14"/>
              </w:rPr>
              <w:t>de Cliente) do System Center 2012 Configuration Manager (Somente para Aluno)</w:t>
            </w:r>
            <w:bookmarkEnd w:id="457"/>
            <w:bookmarkEnd w:id="458"/>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Fonts w:cs="Tahoma"/>
                <w:b/>
                <w:color w:val="000000"/>
                <w:sz w:val="13"/>
                <w:szCs w:val="13"/>
                <w:u w:val="single"/>
              </w:rPr>
            </w:pPr>
            <w:hyperlink w:anchor="_91_89_System" w:history="1">
              <w:r w:rsidR="008E5ED7" w:rsidRPr="00DC1AC3">
                <w:rPr>
                  <w:rStyle w:val="Hyperlink"/>
                  <w:rFonts w:cs="Tahoma"/>
                  <w:b/>
                  <w:sz w:val="13"/>
                  <w:szCs w:val="13"/>
                </w:rPr>
                <w:t>97</w:t>
              </w:r>
            </w:hyperlink>
            <w:hyperlink w:anchor="_91_89_System" w:history="1"/>
            <w:hyperlink w:anchor="Srv_101SystemCenter2012" w:history="1"/>
          </w:p>
        </w:tc>
        <w:tc>
          <w:tcPr>
            <w:tcW w:w="43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r w:rsidRPr="000A1C8E">
              <w:rPr>
                <w:rFonts w:ascii="Tahoma" w:hAnsi="Tahoma" w:cs="Tahoma"/>
                <w:sz w:val="13"/>
                <w:szCs w:val="13"/>
              </w:rPr>
              <w:t>3</w:t>
            </w:r>
          </w:p>
        </w:tc>
        <w:tc>
          <w:tcPr>
            <w:tcW w:w="369" w:type="dxa"/>
            <w:tcBorders>
              <w:left w:val="single" w:sz="18" w:space="0" w:color="auto"/>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szCs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BF08CC">
            <w:pPr>
              <w:pStyle w:val="TableText"/>
              <w:widowControl w:val="0"/>
              <w:rPr>
                <w:rFonts w:ascii="Tahoma" w:hAnsi="Tahoma" w:cs="Tahoma"/>
                <w:sz w:val="13"/>
              </w:rPr>
            </w:pPr>
          </w:p>
        </w:tc>
      </w:tr>
      <w:tr w:rsidR="006864A1" w:rsidRPr="000A1C8E" w:rsidTr="00C16156">
        <w:trPr>
          <w:trHeight w:val="134"/>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ProductNames"/>
              <w:spacing w:beforeLines="20" w:before="48" w:afterLines="20" w:after="48"/>
              <w:rPr>
                <w:rFonts w:ascii="Tahoma" w:hAnsi="Tahoma" w:cs="Tahoma"/>
                <w:sz w:val="14"/>
              </w:rPr>
            </w:pPr>
            <w:bookmarkStart w:id="459" w:name="_Toc336338096"/>
            <w:bookmarkStart w:id="460" w:name="_Toc361829192"/>
            <w:r w:rsidRPr="000A1C8E">
              <w:rPr>
                <w:rFonts w:ascii="Tahoma" w:hAnsi="Tahoma" w:cs="Tahoma"/>
                <w:sz w:val="14"/>
              </w:rPr>
              <w:t>Licença de Gerenciamento de Cliente do System Center 2012 Configuration Manager por OSE</w:t>
            </w:r>
            <w:bookmarkEnd w:id="459"/>
            <w:bookmarkEnd w:id="460"/>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Fonts w:cs="Tahoma"/>
                <w:b/>
                <w:color w:val="000000"/>
                <w:sz w:val="13"/>
                <w:szCs w:val="13"/>
                <w:u w:val="single"/>
              </w:rPr>
            </w:pPr>
            <w:hyperlink w:anchor="_91_89_System" w:history="1">
              <w:r w:rsidR="008E5ED7" w:rsidRPr="00DC1AC3">
                <w:rPr>
                  <w:rStyle w:val="Hyperlink"/>
                  <w:rFonts w:cs="Tahoma"/>
                  <w:b/>
                  <w:sz w:val="13"/>
                  <w:szCs w:val="13"/>
                </w:rPr>
                <w:t>97</w:t>
              </w:r>
            </w:hyperlink>
            <w:hyperlink w:anchor="_91_89_System" w:history="1"/>
          </w:p>
        </w:tc>
        <w:tc>
          <w:tcPr>
            <w:tcW w:w="43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452CF" w:rsidRDefault="001A63C6" w:rsidP="00BF08CC">
            <w:pPr>
              <w:pStyle w:val="TableText"/>
              <w:widowControl w:val="0"/>
              <w:rPr>
                <w:rFonts w:ascii="Arial" w:hAnsi="Arial" w:cs="Arial"/>
                <w:sz w:val="13"/>
                <w:szCs w:val="13"/>
              </w:rPr>
            </w:pPr>
            <w:r w:rsidRPr="009452CF">
              <w:rPr>
                <w:rFonts w:ascii="Arial" w:hAnsi="Arial" w:cs="Arial"/>
                <w:sz w:val="13"/>
                <w:szCs w:val="13"/>
              </w:rPr>
              <w:t>3</w:t>
            </w:r>
          </w:p>
        </w:tc>
        <w:tc>
          <w:tcPr>
            <w:tcW w:w="450" w:type="dxa"/>
            <w:tcBorders>
              <w:bottom w:val="single" w:sz="4" w:space="0" w:color="auto"/>
            </w:tcBorders>
            <w:shd w:val="clear" w:color="auto" w:fill="auto"/>
            <w:vAlign w:val="center"/>
          </w:tcPr>
          <w:p w:rsidR="001A63C6" w:rsidRPr="009452CF" w:rsidRDefault="001A63C6" w:rsidP="00BF08CC">
            <w:pPr>
              <w:pStyle w:val="TableText"/>
              <w:widowControl w:val="0"/>
              <w:rPr>
                <w:rFonts w:ascii="Arial" w:hAnsi="Arial" w:cs="Arial"/>
                <w:sz w:val="13"/>
                <w:szCs w:val="13"/>
              </w:rPr>
            </w:pPr>
            <w:r w:rsidRPr="009452CF">
              <w:rPr>
                <w:rFonts w:ascii="Arial" w:hAnsi="Arial" w:cs="Arial"/>
                <w:sz w:val="13"/>
                <w:szCs w:val="13"/>
              </w:rPr>
              <w:t>2</w:t>
            </w:r>
          </w:p>
        </w:tc>
        <w:tc>
          <w:tcPr>
            <w:tcW w:w="450" w:type="dxa"/>
            <w:tcBorders>
              <w:bottom w:val="single" w:sz="4" w:space="0" w:color="auto"/>
            </w:tcBorders>
            <w:shd w:val="clear" w:color="auto" w:fill="auto"/>
            <w:vAlign w:val="center"/>
          </w:tcPr>
          <w:p w:rsidR="001A63C6" w:rsidRPr="009452CF" w:rsidRDefault="001A63C6" w:rsidP="00BF08CC">
            <w:pPr>
              <w:pStyle w:val="TableText"/>
              <w:widowControl w:val="0"/>
              <w:rPr>
                <w:rFonts w:ascii="Arial" w:hAnsi="Arial" w:cs="Arial"/>
                <w:sz w:val="13"/>
                <w:szCs w:val="13"/>
              </w:rPr>
            </w:pPr>
            <w:r w:rsidRPr="009452CF">
              <w:rPr>
                <w:rFonts w:ascii="Arial" w:hAnsi="Arial" w:cs="Arial"/>
                <w:sz w:val="13"/>
                <w:szCs w:val="13"/>
              </w:rPr>
              <w:t>2</w:t>
            </w:r>
          </w:p>
        </w:tc>
        <w:tc>
          <w:tcPr>
            <w:tcW w:w="450" w:type="dxa"/>
            <w:tcBorders>
              <w:bottom w:val="single" w:sz="4" w:space="0" w:color="auto"/>
            </w:tcBorders>
            <w:shd w:val="clear" w:color="auto" w:fill="auto"/>
            <w:vAlign w:val="center"/>
          </w:tcPr>
          <w:p w:rsidR="001A63C6" w:rsidRPr="009452CF" w:rsidRDefault="001A63C6" w:rsidP="00BF08CC">
            <w:pPr>
              <w:pStyle w:val="TableText"/>
              <w:widowControl w:val="0"/>
              <w:rPr>
                <w:rFonts w:ascii="Arial" w:hAnsi="Arial" w:cs="Arial"/>
                <w:sz w:val="13"/>
                <w:szCs w:val="13"/>
              </w:rPr>
            </w:pPr>
            <w:r w:rsidRPr="009452CF">
              <w:rPr>
                <w:rFonts w:ascii="Arial" w:hAnsi="Arial" w:cs="Arial"/>
                <w:sz w:val="13"/>
                <w:szCs w:val="13"/>
              </w:rPr>
              <w:t>2</w:t>
            </w:r>
          </w:p>
        </w:tc>
        <w:tc>
          <w:tcPr>
            <w:tcW w:w="450" w:type="dxa"/>
            <w:tcBorders>
              <w:bottom w:val="single" w:sz="4" w:space="0" w:color="auto"/>
            </w:tcBorders>
            <w:shd w:val="clear" w:color="auto" w:fill="auto"/>
            <w:vAlign w:val="center"/>
          </w:tcPr>
          <w:p w:rsidR="001A63C6" w:rsidRPr="009452CF" w:rsidRDefault="001A63C6" w:rsidP="00BF08CC">
            <w:pPr>
              <w:pStyle w:val="TableText"/>
              <w:widowControl w:val="0"/>
              <w:rPr>
                <w:rFonts w:ascii="Arial" w:hAnsi="Arial" w:cs="Arial"/>
                <w:sz w:val="13"/>
                <w:szCs w:val="13"/>
              </w:rPr>
            </w:pPr>
            <w:r w:rsidRPr="009452CF">
              <w:rPr>
                <w:rFonts w:ascii="Arial" w:hAnsi="Arial" w:cs="Arial"/>
                <w:sz w:val="13"/>
                <w:szCs w:val="13"/>
              </w:rPr>
              <w:t>1</w:t>
            </w:r>
          </w:p>
        </w:tc>
        <w:tc>
          <w:tcPr>
            <w:tcW w:w="360" w:type="dxa"/>
            <w:tcBorders>
              <w:bottom w:val="single" w:sz="4" w:space="0" w:color="auto"/>
              <w:right w:val="single" w:sz="18" w:space="0" w:color="auto"/>
            </w:tcBorders>
            <w:shd w:val="clear" w:color="auto" w:fill="auto"/>
            <w:vAlign w:val="center"/>
          </w:tcPr>
          <w:p w:rsidR="001A63C6" w:rsidRPr="009452CF" w:rsidRDefault="001A63C6" w:rsidP="00BF08CC">
            <w:pPr>
              <w:pStyle w:val="TableText"/>
              <w:widowControl w:val="0"/>
              <w:rPr>
                <w:rFonts w:ascii="Arial" w:hAnsi="Arial" w:cs="Arial"/>
                <w:sz w:val="13"/>
                <w:szCs w:val="13"/>
              </w:rPr>
            </w:pPr>
            <w:r w:rsidRPr="009452CF">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452CF" w:rsidRDefault="001A63C6" w:rsidP="00BF08CC">
            <w:pPr>
              <w:pStyle w:val="TableText"/>
              <w:widowControl w:val="0"/>
              <w:rPr>
                <w:rFonts w:ascii="Arial" w:hAnsi="Arial" w:cs="Arial"/>
                <w:sz w:val="13"/>
                <w:szCs w:val="13"/>
              </w:rPr>
            </w:pPr>
            <w:r w:rsidRPr="009452CF">
              <w:rPr>
                <w:rFonts w:ascii="Arial" w:hAnsi="Arial" w:cs="Arial"/>
                <w:sz w:val="13"/>
                <w:szCs w:val="13"/>
              </w:rPr>
              <w:t>2</w:t>
            </w:r>
          </w:p>
        </w:tc>
        <w:tc>
          <w:tcPr>
            <w:tcW w:w="450" w:type="dxa"/>
            <w:tcBorders>
              <w:bottom w:val="single" w:sz="4" w:space="0" w:color="auto"/>
              <w:right w:val="single" w:sz="18" w:space="0" w:color="auto"/>
            </w:tcBorders>
            <w:shd w:val="clear" w:color="auto" w:fill="auto"/>
            <w:vAlign w:val="center"/>
          </w:tcPr>
          <w:p w:rsidR="001A63C6" w:rsidRPr="009452CF" w:rsidRDefault="001A63C6" w:rsidP="00BF08CC">
            <w:pPr>
              <w:pStyle w:val="TableText"/>
              <w:widowControl w:val="0"/>
              <w:rPr>
                <w:rFonts w:ascii="Arial" w:hAnsi="Arial" w:cs="Arial"/>
                <w:sz w:val="13"/>
                <w:szCs w:val="13"/>
              </w:rPr>
            </w:pPr>
            <w:r w:rsidRPr="009452CF">
              <w:rPr>
                <w:rFonts w:ascii="Arial" w:hAnsi="Arial" w:cs="Arial"/>
                <w:sz w:val="13"/>
                <w:szCs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BF08CC">
            <w:pPr>
              <w:pStyle w:val="TableText"/>
              <w:widowControl w:val="0"/>
              <w:rPr>
                <w:rFonts w:ascii="Tahoma" w:hAnsi="Tahoma" w:cs="Tahoma"/>
                <w:sz w:val="13"/>
              </w:rPr>
            </w:pPr>
          </w:p>
        </w:tc>
      </w:tr>
      <w:tr w:rsidR="006864A1" w:rsidRPr="000A1C8E" w:rsidTr="00C16156">
        <w:trPr>
          <w:trHeight w:val="134"/>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461" w:name="_Toc336338097"/>
            <w:bookmarkStart w:id="462" w:name="_Toc361829193"/>
            <w:r w:rsidRPr="000A1C8E">
              <w:rPr>
                <w:rFonts w:ascii="Tahoma" w:hAnsi="Tahoma" w:cs="Tahoma"/>
                <w:sz w:val="14"/>
              </w:rPr>
              <w:t>Licença de Gerenciamento de Cliente do System Center 2012 Configuration Manager por Usuário</w:t>
            </w:r>
            <w:bookmarkEnd w:id="461"/>
            <w:bookmarkEnd w:id="462"/>
          </w:p>
        </w:tc>
        <w:tc>
          <w:tcPr>
            <w:tcW w:w="450" w:type="dxa"/>
            <w:tcBorders>
              <w:bottom w:val="single" w:sz="4" w:space="0" w:color="auto"/>
            </w:tcBorders>
            <w:shd w:val="clear" w:color="auto" w:fill="FABF8F"/>
            <w:vAlign w:val="center"/>
          </w:tcPr>
          <w:p w:rsidR="001A63C6" w:rsidRPr="00DC1AC3" w:rsidRDefault="006C57E7" w:rsidP="000037A1">
            <w:pPr>
              <w:pStyle w:val="TableText"/>
              <w:widowControl w:val="0"/>
              <w:rPr>
                <w:rFonts w:cs="Tahoma"/>
                <w:b/>
                <w:color w:val="000000"/>
                <w:sz w:val="13"/>
                <w:szCs w:val="13"/>
                <w:u w:val="single"/>
              </w:rPr>
            </w:pPr>
            <w:hyperlink w:anchor="_91_89_System" w:history="1">
              <w:r w:rsidR="008E5ED7" w:rsidRPr="00DC1AC3">
                <w:rPr>
                  <w:rStyle w:val="Hyperlink"/>
                  <w:rFonts w:cs="Tahoma"/>
                  <w:b/>
                  <w:sz w:val="13"/>
                  <w:szCs w:val="13"/>
                </w:rPr>
                <w:t>97</w:t>
              </w:r>
            </w:hyperlink>
            <w:hyperlink w:anchor="_91_89_System" w:history="1"/>
            <w:hyperlink w:anchor="Srv_101SystemCenter2012" w:history="1"/>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 E</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p>
        </w:tc>
      </w:tr>
      <w:tr w:rsidR="00B025C3" w:rsidRPr="000A1C8E" w:rsidTr="00186460">
        <w:trPr>
          <w:cantSplit/>
          <w:trHeight w:val="134"/>
          <w:jc w:val="center"/>
        </w:trPr>
        <w:tc>
          <w:tcPr>
            <w:tcW w:w="2734" w:type="dxa"/>
            <w:gridSpan w:val="2"/>
            <w:tcBorders>
              <w:bottom w:val="single" w:sz="4" w:space="0" w:color="auto"/>
            </w:tcBorders>
            <w:shd w:val="clear" w:color="auto" w:fill="auto"/>
          </w:tcPr>
          <w:p w:rsidR="001A63C6" w:rsidRPr="000A1C8E" w:rsidRDefault="001A63C6" w:rsidP="00805E66">
            <w:pPr>
              <w:pStyle w:val="ProductNames"/>
              <w:spacing w:beforeLines="20" w:before="48" w:afterLines="20" w:after="48"/>
              <w:rPr>
                <w:rFonts w:ascii="Tahoma" w:hAnsi="Tahoma" w:cs="Tahoma"/>
                <w:sz w:val="14"/>
              </w:rPr>
            </w:pPr>
            <w:bookmarkStart w:id="463" w:name="_Toc336338098"/>
            <w:bookmarkStart w:id="464" w:name="_Toc361829194"/>
            <w:r w:rsidRPr="000A1C8E">
              <w:rPr>
                <w:rFonts w:ascii="Tahoma" w:hAnsi="Tahoma" w:cs="Tahoma"/>
                <w:sz w:val="14"/>
              </w:rPr>
              <w:t>Licença de Gerenciamento do System Center 2012 Datacenter Server (2</w:t>
            </w:r>
            <w:r w:rsidR="00805E66" w:rsidRPr="000A1C8E">
              <w:rPr>
                <w:rFonts w:ascii="Tahoma" w:hAnsi="Tahoma" w:cs="Tahoma"/>
                <w:sz w:val="14"/>
              </w:rPr>
              <w:t> </w:t>
            </w:r>
            <w:r w:rsidRPr="000A1C8E">
              <w:rPr>
                <w:rFonts w:ascii="Tahoma" w:hAnsi="Tahoma" w:cs="Tahoma"/>
                <w:sz w:val="14"/>
              </w:rPr>
              <w:t>processadores)</w:t>
            </w:r>
            <w:bookmarkEnd w:id="463"/>
            <w:bookmarkEnd w:id="464"/>
          </w:p>
        </w:tc>
        <w:tc>
          <w:tcPr>
            <w:tcW w:w="450" w:type="dxa"/>
            <w:tcBorders>
              <w:bottom w:val="single" w:sz="4" w:space="0" w:color="auto"/>
            </w:tcBorders>
            <w:shd w:val="clear" w:color="auto" w:fill="auto"/>
            <w:vAlign w:val="center"/>
          </w:tcPr>
          <w:p w:rsidR="001A63C6" w:rsidRPr="00DC1AC3" w:rsidRDefault="006C57E7" w:rsidP="000037A1">
            <w:pPr>
              <w:pStyle w:val="TableText"/>
              <w:widowControl w:val="0"/>
              <w:rPr>
                <w:rFonts w:cs="Tahoma"/>
                <w:b/>
                <w:color w:val="000000"/>
                <w:sz w:val="13"/>
                <w:szCs w:val="13"/>
                <w:u w:val="single"/>
              </w:rPr>
            </w:pPr>
            <w:hyperlink w:anchor="_91_89_System" w:history="1">
              <w:r w:rsidR="008E5ED7" w:rsidRPr="00DC1AC3">
                <w:rPr>
                  <w:rStyle w:val="Hyperlink"/>
                  <w:rFonts w:cs="Tahoma"/>
                  <w:b/>
                  <w:sz w:val="13"/>
                  <w:szCs w:val="13"/>
                </w:rPr>
                <w:t>97</w:t>
              </w:r>
            </w:hyperlink>
            <w:hyperlink w:anchor="_91_89_System" w:history="1"/>
            <w:hyperlink w:anchor="Srv_101SystemCenter2012" w:history="1"/>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63</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50</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25</w:t>
            </w:r>
          </w:p>
        </w:tc>
        <w:tc>
          <w:tcPr>
            <w:tcW w:w="369"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25</w:t>
            </w:r>
          </w:p>
        </w:tc>
        <w:tc>
          <w:tcPr>
            <w:tcW w:w="396"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LO/OV</w:t>
            </w:r>
          </w:p>
        </w:tc>
      </w:tr>
      <w:tr w:rsidR="001136F4" w:rsidRPr="000A1C8E" w:rsidTr="00C16156">
        <w:trPr>
          <w:trHeight w:val="134"/>
          <w:jc w:val="center"/>
        </w:trPr>
        <w:tc>
          <w:tcPr>
            <w:tcW w:w="2734" w:type="dxa"/>
            <w:gridSpan w:val="2"/>
            <w:tcBorders>
              <w:bottom w:val="single" w:sz="4" w:space="0" w:color="auto"/>
            </w:tcBorders>
            <w:shd w:val="clear" w:color="auto" w:fill="FABF8F"/>
            <w:vAlign w:val="center"/>
          </w:tcPr>
          <w:p w:rsidR="001136F4" w:rsidRPr="000A1C8E" w:rsidRDefault="001136F4" w:rsidP="007E466C">
            <w:pPr>
              <w:pStyle w:val="ProductNames"/>
              <w:spacing w:before="60" w:after="60"/>
              <w:rPr>
                <w:rFonts w:ascii="Tahoma" w:hAnsi="Tahoma" w:cs="Tahoma"/>
                <w:sz w:val="14"/>
              </w:rPr>
            </w:pPr>
            <w:bookmarkStart w:id="465" w:name="_Toc361829195"/>
            <w:r w:rsidRPr="000A1C8E">
              <w:rPr>
                <w:rFonts w:ascii="Tahoma" w:hAnsi="Tahoma" w:cs="Tahoma"/>
                <w:sz w:val="14"/>
              </w:rPr>
              <w:t>System Center 2012 Endpoint Protection</w:t>
            </w:r>
            <w:bookmarkEnd w:id="465"/>
          </w:p>
        </w:tc>
        <w:tc>
          <w:tcPr>
            <w:tcW w:w="450" w:type="dxa"/>
            <w:tcBorders>
              <w:bottom w:val="single" w:sz="4" w:space="0" w:color="auto"/>
            </w:tcBorders>
            <w:shd w:val="clear" w:color="auto" w:fill="FABF8F"/>
            <w:vAlign w:val="center"/>
          </w:tcPr>
          <w:p w:rsidR="001136F4" w:rsidRPr="00DC1AC3" w:rsidRDefault="006C57E7" w:rsidP="000037A1">
            <w:pPr>
              <w:pStyle w:val="TableText"/>
              <w:widowControl w:val="0"/>
              <w:rPr>
                <w:rFonts w:cs="Tahoma"/>
                <w:b/>
                <w:color w:val="000000"/>
                <w:sz w:val="13"/>
                <w:szCs w:val="13"/>
                <w:u w:val="single"/>
              </w:rPr>
            </w:pPr>
            <w:hyperlink w:anchor="_103_System_Center" w:history="1">
              <w:r w:rsidR="003D47E7" w:rsidRPr="00DC1AC3">
                <w:rPr>
                  <w:rStyle w:val="Hyperlink"/>
                  <w:rFonts w:cs="Tahoma"/>
                  <w:b/>
                  <w:sz w:val="13"/>
                  <w:szCs w:val="13"/>
                </w:rPr>
                <w:t>98</w:t>
              </w:r>
            </w:hyperlink>
            <w:hyperlink w:anchor="Srv_102SysCtr2012EndpointProt" w:history="1"/>
          </w:p>
        </w:tc>
        <w:tc>
          <w:tcPr>
            <w:tcW w:w="433" w:type="dxa"/>
            <w:tcBorders>
              <w:bottom w:val="single" w:sz="4" w:space="0" w:color="auto"/>
            </w:tcBorders>
            <w:shd w:val="clear" w:color="auto" w:fill="FABF8F"/>
            <w:vAlign w:val="center"/>
          </w:tcPr>
          <w:p w:rsidR="001136F4" w:rsidRPr="000A1C8E" w:rsidRDefault="001136F4" w:rsidP="000037A1">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136F4" w:rsidRPr="000A1C8E" w:rsidRDefault="001136F4" w:rsidP="000037A1">
            <w:pPr>
              <w:pStyle w:val="TableText"/>
              <w:widowControl w:val="0"/>
              <w:rPr>
                <w:rFonts w:ascii="Tahoma" w:hAnsi="Tahoma" w:cs="Tahoma"/>
                <w:color w:val="000000"/>
                <w:sz w:val="13"/>
              </w:rPr>
            </w:pPr>
            <w:r w:rsidRPr="000A1C8E">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0A1C8E" w:rsidRDefault="001136F4" w:rsidP="000037A1">
            <w:pPr>
              <w:pStyle w:val="TableText"/>
              <w:widowControl w:val="0"/>
              <w:rPr>
                <w:rFonts w:ascii="Tahoma" w:hAnsi="Tahoma" w:cs="Tahoma"/>
                <w:sz w:val="13"/>
                <w:szCs w:val="13"/>
              </w:rPr>
            </w:pPr>
            <w:r w:rsidRPr="000A1C8E">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rsidR="001136F4" w:rsidRPr="000A1C8E" w:rsidRDefault="001136F4" w:rsidP="000037A1">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0A1C8E" w:rsidRDefault="001136F4" w:rsidP="000037A1">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0A1C8E" w:rsidRDefault="001136F4" w:rsidP="000037A1">
            <w:pPr>
              <w:pStyle w:val="TableText"/>
              <w:widowControl w:val="0"/>
              <w:rPr>
                <w:rFonts w:ascii="Tahoma" w:hAnsi="Tahoma" w:cs="Tahoma"/>
                <w:sz w:val="13"/>
                <w:szCs w:val="13"/>
              </w:rPr>
            </w:pPr>
          </w:p>
        </w:tc>
        <w:tc>
          <w:tcPr>
            <w:tcW w:w="369" w:type="dxa"/>
            <w:tcBorders>
              <w:left w:val="single" w:sz="18" w:space="0" w:color="auto"/>
              <w:bottom w:val="single" w:sz="4" w:space="0" w:color="auto"/>
            </w:tcBorders>
            <w:shd w:val="clear" w:color="auto" w:fill="FABF8F"/>
            <w:vAlign w:val="center"/>
          </w:tcPr>
          <w:p w:rsidR="001136F4" w:rsidRPr="000A1C8E" w:rsidRDefault="001136F4" w:rsidP="000037A1">
            <w:pPr>
              <w:pStyle w:val="TableText"/>
              <w:widowControl w:val="0"/>
              <w:rPr>
                <w:rFonts w:ascii="Tahoma" w:hAnsi="Tahoma" w:cs="Tahoma"/>
                <w:sz w:val="13"/>
                <w:szCs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1136F4" w:rsidRPr="000A1C8E" w:rsidRDefault="001136F4" w:rsidP="000037A1">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136F4" w:rsidRPr="000A1C8E" w:rsidRDefault="001136F4" w:rsidP="000037A1">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136F4" w:rsidRPr="000A1C8E" w:rsidRDefault="001136F4" w:rsidP="000037A1">
            <w:pPr>
              <w:pStyle w:val="TableText"/>
              <w:widowControl w:val="0"/>
              <w:rPr>
                <w:rFonts w:ascii="Tahoma" w:hAnsi="Tahoma" w:cs="Tahoma"/>
                <w:sz w:val="13"/>
              </w:rPr>
            </w:pPr>
            <w:r w:rsidRPr="000A1C8E">
              <w:rPr>
                <w:rFonts w:ascii="Tahoma" w:hAnsi="Tahoma" w:cs="Tahoma"/>
                <w:sz w:val="13"/>
              </w:rPr>
              <w:t>AO, ST</w:t>
            </w:r>
          </w:p>
        </w:tc>
        <w:tc>
          <w:tcPr>
            <w:tcW w:w="486" w:type="dxa"/>
            <w:tcBorders>
              <w:bottom w:val="single" w:sz="4" w:space="0" w:color="auto"/>
            </w:tcBorders>
            <w:shd w:val="clear" w:color="auto" w:fill="FABF8F"/>
            <w:vAlign w:val="center"/>
          </w:tcPr>
          <w:p w:rsidR="001136F4" w:rsidRPr="000A1C8E" w:rsidRDefault="001136F4" w:rsidP="000037A1">
            <w:pPr>
              <w:pStyle w:val="TableText"/>
              <w:widowControl w:val="0"/>
              <w:rPr>
                <w:rFonts w:ascii="Tahoma" w:hAnsi="Tahoma" w:cs="Tahoma"/>
                <w:sz w:val="13"/>
              </w:rPr>
            </w:pPr>
          </w:p>
        </w:tc>
      </w:tr>
      <w:tr w:rsidR="00B025C3" w:rsidRPr="000A1C8E" w:rsidTr="00C16156">
        <w:trPr>
          <w:trHeight w:val="134"/>
          <w:jc w:val="center"/>
        </w:trPr>
        <w:tc>
          <w:tcPr>
            <w:tcW w:w="2734" w:type="dxa"/>
            <w:gridSpan w:val="2"/>
            <w:tcBorders>
              <w:bottom w:val="single" w:sz="4" w:space="0" w:color="auto"/>
            </w:tcBorders>
            <w:shd w:val="clear" w:color="auto" w:fill="auto"/>
          </w:tcPr>
          <w:p w:rsidR="001A63C6" w:rsidRPr="000A1C8E" w:rsidRDefault="001A63C6" w:rsidP="00805E66">
            <w:pPr>
              <w:pStyle w:val="ProductNames"/>
              <w:spacing w:beforeLines="20" w:before="48" w:afterLines="20" w:after="48"/>
              <w:rPr>
                <w:rFonts w:ascii="Tahoma" w:hAnsi="Tahoma" w:cs="Tahoma"/>
                <w:sz w:val="14"/>
              </w:rPr>
            </w:pPr>
            <w:bookmarkStart w:id="466" w:name="_Toc336338100"/>
            <w:bookmarkStart w:id="467" w:name="_Toc361829196"/>
            <w:r w:rsidRPr="000A1C8E">
              <w:rPr>
                <w:rFonts w:ascii="Tahoma" w:hAnsi="Tahoma" w:cs="Tahoma"/>
                <w:sz w:val="14"/>
              </w:rPr>
              <w:t>Licença de Gerenciamento do System Center 2012 Standard Server (2</w:t>
            </w:r>
            <w:r w:rsidR="00805E66" w:rsidRPr="000A1C8E">
              <w:rPr>
                <w:rFonts w:ascii="Tahoma" w:hAnsi="Tahoma" w:cs="Tahoma"/>
                <w:sz w:val="14"/>
              </w:rPr>
              <w:t> </w:t>
            </w:r>
            <w:r w:rsidRPr="000A1C8E">
              <w:rPr>
                <w:rFonts w:ascii="Tahoma" w:hAnsi="Tahoma" w:cs="Tahoma"/>
                <w:sz w:val="14"/>
              </w:rPr>
              <w:t>processadores)</w:t>
            </w:r>
            <w:bookmarkEnd w:id="466"/>
            <w:bookmarkEnd w:id="467"/>
          </w:p>
        </w:tc>
        <w:tc>
          <w:tcPr>
            <w:tcW w:w="450" w:type="dxa"/>
            <w:tcBorders>
              <w:bottom w:val="single" w:sz="4" w:space="0" w:color="auto"/>
            </w:tcBorders>
            <w:shd w:val="clear" w:color="auto" w:fill="auto"/>
            <w:vAlign w:val="center"/>
          </w:tcPr>
          <w:p w:rsidR="001A63C6" w:rsidRPr="00DC1AC3" w:rsidRDefault="001A63C6" w:rsidP="000037A1">
            <w:pPr>
              <w:pStyle w:val="TableText"/>
              <w:widowControl w:val="0"/>
              <w:rPr>
                <w:rFonts w:cs="Tahoma"/>
                <w:b/>
                <w:color w:val="000000"/>
                <w:sz w:val="13"/>
                <w:szCs w:val="13"/>
                <w:u w:val="single"/>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30</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23</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23</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15</w:t>
            </w:r>
          </w:p>
        </w:tc>
        <w:tc>
          <w:tcPr>
            <w:tcW w:w="369"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15</w:t>
            </w:r>
          </w:p>
        </w:tc>
        <w:tc>
          <w:tcPr>
            <w:tcW w:w="396"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LO/OV</w:t>
            </w:r>
          </w:p>
        </w:tc>
      </w:tr>
      <w:tr w:rsidR="009E5BF9" w:rsidRPr="000A1C8E" w:rsidTr="00C16156">
        <w:trPr>
          <w:trHeight w:val="134"/>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ProductNames"/>
              <w:spacing w:beforeLines="20" w:before="48" w:afterLines="20" w:after="48"/>
              <w:rPr>
                <w:rFonts w:ascii="Tahoma" w:hAnsi="Tahoma" w:cs="Tahoma"/>
                <w:sz w:val="14"/>
              </w:rPr>
            </w:pPr>
            <w:bookmarkStart w:id="468" w:name="_Toc336338101"/>
            <w:bookmarkStart w:id="469" w:name="_Toc361829197"/>
            <w:r w:rsidRPr="000A1C8E">
              <w:rPr>
                <w:rFonts w:ascii="Tahoma" w:hAnsi="Tahoma" w:cs="Tahoma"/>
                <w:sz w:val="14"/>
              </w:rPr>
              <w:t>TechNet Plus Single User</w:t>
            </w:r>
            <w:bookmarkEnd w:id="468"/>
            <w:bookmarkEnd w:id="469"/>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Style w:val="EndnoteReference"/>
                <w:rFonts w:cs="Tahoma"/>
                <w:b w:val="0"/>
                <w:color w:val="000000"/>
                <w:position w:val="-11"/>
                <w:sz w:val="13"/>
                <w:szCs w:val="13"/>
                <w:u w:val="single"/>
              </w:rPr>
            </w:pPr>
            <w:hyperlink w:anchor="_99_TechNet_Plus" w:history="1">
              <w:r w:rsidR="003D47E7" w:rsidRPr="00DC1AC3">
                <w:rPr>
                  <w:rStyle w:val="Hyperlink"/>
                  <w:rFonts w:cs="Tahoma"/>
                  <w:b/>
                  <w:sz w:val="13"/>
                  <w:szCs w:val="13"/>
                </w:rPr>
                <w:t>99</w:t>
              </w:r>
            </w:hyperlink>
            <w:hyperlink w:anchor="Srv_103TechNetPlusSingleUser" w:history="1"/>
          </w:p>
        </w:tc>
        <w:tc>
          <w:tcPr>
            <w:tcW w:w="433" w:type="dxa"/>
            <w:tcBorders>
              <w:bottom w:val="single" w:sz="4" w:space="0" w:color="auto"/>
            </w:tcBorders>
            <w:shd w:val="clear" w:color="auto" w:fill="FABF8F"/>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w:t>
            </w:r>
          </w:p>
        </w:tc>
      </w:tr>
      <w:tr w:rsidR="00EF228F"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70" w:name="_Toc336338102"/>
            <w:bookmarkStart w:id="471" w:name="_Toc361829198"/>
            <w:r w:rsidRPr="000A1C8E">
              <w:rPr>
                <w:rFonts w:ascii="Tahoma" w:hAnsi="Tahoma" w:cs="Tahoma"/>
                <w:b w:val="0"/>
                <w:sz w:val="14"/>
                <w:szCs w:val="14"/>
              </w:rPr>
              <w:t>VDI Suite</w:t>
            </w:r>
            <w:bookmarkEnd w:id="470"/>
            <w:bookmarkEnd w:id="471"/>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Fonts w:cs="Tahoma"/>
                <w:b/>
                <w:sz w:val="13"/>
                <w:szCs w:val="13"/>
                <w:u w:val="single"/>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rPr>
                <w:rFonts w:ascii="Tahoma" w:hAnsi="Tahoma" w:cs="Tahoma"/>
                <w:sz w:val="13"/>
                <w:szCs w:val="13"/>
              </w:rPr>
            </w:pPr>
            <w:r w:rsidRPr="000A1C8E">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rPr>
                <w:rFonts w:ascii="Tahoma" w:hAnsi="Tahoma" w:cs="Tahoma"/>
                <w:sz w:val="13"/>
                <w:szCs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rPr>
                <w:rFonts w:ascii="Tahoma" w:hAnsi="Tahoma" w:cs="Tahoma"/>
                <w:sz w:val="13"/>
                <w:szCs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rPr>
                <w:rFonts w:ascii="Tahoma" w:hAnsi="Tahoma" w:cs="Tahoma"/>
                <w:sz w:val="13"/>
                <w:szCs w:val="13"/>
              </w:rPr>
            </w:pPr>
            <w:r w:rsidRPr="000A1C8E">
              <w:rPr>
                <w:rFonts w:ascii="Tahoma" w:hAnsi="Tahoma" w:cs="Tahoma"/>
                <w:sz w:val="13"/>
                <w:szCs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rPr>
                <w:rFonts w:ascii="Tahoma" w:hAnsi="Tahoma" w:cs="Tahoma"/>
                <w:sz w:val="13"/>
                <w:szCs w:val="13"/>
              </w:rPr>
            </w:pPr>
            <w:r w:rsidRPr="000A1C8E">
              <w:rPr>
                <w:rFonts w:ascii="Tahoma" w:hAnsi="Tahoma" w:cs="Tahoma"/>
                <w:sz w:val="13"/>
                <w:szCs w:val="13"/>
              </w:rPr>
              <w:t>P</w:t>
            </w:r>
          </w:p>
        </w:tc>
        <w:tc>
          <w:tcPr>
            <w:tcW w:w="693" w:type="dxa"/>
            <w:tcBorders>
              <w:bottom w:val="single" w:sz="4" w:space="0" w:color="auto"/>
            </w:tcBorders>
            <w:shd w:val="clear" w:color="auto" w:fill="auto"/>
            <w:vAlign w:val="center"/>
          </w:tcPr>
          <w:p w:rsidR="001A63C6" w:rsidRPr="000A1C8E" w:rsidRDefault="001A63C6" w:rsidP="000037A1">
            <w:pPr>
              <w:pStyle w:val="TableText"/>
              <w:rPr>
                <w:rFonts w:ascii="Tahoma" w:hAnsi="Tahoma" w:cs="Tahoma"/>
                <w:sz w:val="13"/>
                <w:szCs w:val="13"/>
              </w:rPr>
            </w:pPr>
            <w:r w:rsidRPr="000A1C8E">
              <w:rPr>
                <w:rFonts w:ascii="Tahoma" w:hAnsi="Tahoma" w:cs="Tahoma"/>
                <w:sz w:val="13"/>
                <w:szCs w:val="13"/>
              </w:rPr>
              <w:t>A,</w:t>
            </w:r>
            <w:r w:rsidR="00186460" w:rsidRPr="000A1C8E">
              <w:rPr>
                <w:rFonts w:ascii="Tahoma" w:hAnsi="Tahoma" w:cs="Tahoma"/>
                <w:sz w:val="13"/>
                <w:szCs w:val="13"/>
              </w:rPr>
              <w:t xml:space="preserve"> </w:t>
            </w:r>
            <w:r w:rsidRPr="000A1C8E">
              <w:rPr>
                <w:rFonts w:ascii="Tahoma" w:hAnsi="Tahoma" w:cs="Tahoma"/>
                <w:sz w:val="13"/>
                <w:szCs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15"/>
          <w:jc w:val="center"/>
        </w:trPr>
        <w:tc>
          <w:tcPr>
            <w:tcW w:w="2734" w:type="dxa"/>
            <w:gridSpan w:val="2"/>
            <w:tcBorders>
              <w:bottom w:val="single" w:sz="4" w:space="0" w:color="auto"/>
            </w:tcBorders>
            <w:shd w:val="clear" w:color="auto" w:fill="FABF8F"/>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72" w:name="_Toc336338103"/>
            <w:bookmarkStart w:id="473" w:name="_Toc361829199"/>
            <w:r w:rsidRPr="000A1C8E">
              <w:rPr>
                <w:rFonts w:ascii="Tahoma" w:hAnsi="Tahoma" w:cs="Tahoma"/>
                <w:b w:val="0"/>
                <w:sz w:val="14"/>
                <w:szCs w:val="14"/>
              </w:rPr>
              <w:t>VDI Suite com MDOP</w:t>
            </w:r>
            <w:bookmarkEnd w:id="472"/>
            <w:bookmarkEnd w:id="473"/>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Fonts w:cs="Tahoma"/>
                <w:b/>
                <w:sz w:val="13"/>
                <w:szCs w:val="13"/>
                <w:u w:val="single"/>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04/12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rPr>
                <w:rFonts w:ascii="Tahoma" w:hAnsi="Tahoma" w:cs="Tahoma"/>
                <w:sz w:val="13"/>
                <w:szCs w:val="13"/>
              </w:rPr>
            </w:pPr>
            <w:r w:rsidRPr="000A1C8E">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rPr>
                <w:rFonts w:ascii="Tahoma" w:hAnsi="Tahoma" w:cs="Tahoma"/>
                <w:sz w:val="13"/>
                <w:szCs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rPr>
                <w:rFonts w:ascii="Tahoma" w:hAnsi="Tahoma" w:cs="Tahoma"/>
                <w:sz w:val="13"/>
                <w:szCs w:val="13"/>
              </w:rPr>
            </w:pPr>
            <w:r w:rsidRPr="000A1C8E">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rPr>
                <w:rFonts w:ascii="Tahoma" w:hAnsi="Tahoma" w:cs="Tahoma"/>
                <w:sz w:val="13"/>
                <w:szCs w:val="13"/>
              </w:rPr>
            </w:pPr>
            <w:r w:rsidRPr="000A1C8E">
              <w:rPr>
                <w:rFonts w:ascii="Tahoma" w:hAnsi="Tahoma" w:cs="Tahoma"/>
                <w:sz w:val="13"/>
                <w:szCs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rPr>
                <w:rFonts w:ascii="Tahoma" w:hAnsi="Tahoma" w:cs="Tahoma"/>
                <w:sz w:val="13"/>
                <w:szCs w:val="13"/>
              </w:rPr>
            </w:pPr>
            <w:r w:rsidRPr="000A1C8E">
              <w:rPr>
                <w:rFonts w:ascii="Tahoma" w:hAnsi="Tahoma" w:cs="Tahoma"/>
                <w:sz w:val="13"/>
                <w:szCs w:val="13"/>
              </w:rPr>
              <w:t>E, P</w:t>
            </w:r>
          </w:p>
        </w:tc>
        <w:tc>
          <w:tcPr>
            <w:tcW w:w="693" w:type="dxa"/>
            <w:tcBorders>
              <w:bottom w:val="single" w:sz="4" w:space="0" w:color="auto"/>
            </w:tcBorders>
            <w:shd w:val="clear" w:color="auto" w:fill="FABF8F"/>
            <w:vAlign w:val="center"/>
          </w:tcPr>
          <w:p w:rsidR="001A63C6" w:rsidRPr="000A1C8E" w:rsidRDefault="001A63C6" w:rsidP="000037A1">
            <w:pPr>
              <w:pStyle w:val="TableText"/>
              <w:rPr>
                <w:rFonts w:ascii="Tahoma" w:hAnsi="Tahoma" w:cs="Tahoma"/>
                <w:sz w:val="13"/>
                <w:szCs w:val="13"/>
              </w:rPr>
            </w:pPr>
            <w:r w:rsidRPr="000A1C8E">
              <w:rPr>
                <w:rFonts w:ascii="Tahoma" w:hAnsi="Tahoma" w:cs="Tahoma"/>
                <w:sz w:val="13"/>
                <w:szCs w:val="13"/>
              </w:rPr>
              <w:t>A,</w:t>
            </w:r>
            <w:r w:rsidR="00186460" w:rsidRPr="000A1C8E">
              <w:rPr>
                <w:rFonts w:ascii="Tahoma" w:hAnsi="Tahoma" w:cs="Tahoma"/>
                <w:sz w:val="13"/>
                <w:szCs w:val="13"/>
              </w:rPr>
              <w:t xml:space="preserve"> </w:t>
            </w:r>
            <w:r w:rsidRPr="000A1C8E">
              <w:rPr>
                <w:rFonts w:ascii="Tahoma" w:hAnsi="Tahoma" w:cs="Tahoma"/>
                <w:sz w:val="13"/>
                <w:szCs w:val="13"/>
              </w:rPr>
              <w:t>ST</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260"/>
          <w:jc w:val="center"/>
        </w:trPr>
        <w:tc>
          <w:tcPr>
            <w:tcW w:w="2734" w:type="dxa"/>
            <w:gridSpan w:val="2"/>
            <w:tcBorders>
              <w:bottom w:val="single" w:sz="4" w:space="0" w:color="auto"/>
            </w:tcBorders>
            <w:shd w:val="clear" w:color="auto" w:fill="auto"/>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74" w:name="_Toc336338104"/>
            <w:bookmarkStart w:id="475" w:name="_Toc361829200"/>
            <w:r w:rsidRPr="000A1C8E">
              <w:rPr>
                <w:rFonts w:ascii="Tahoma" w:hAnsi="Tahoma" w:cs="Tahoma"/>
                <w:b w:val="0"/>
                <w:sz w:val="14"/>
                <w:szCs w:val="14"/>
              </w:rPr>
              <w:t>VDI Standard Suite</w:t>
            </w:r>
            <w:bookmarkEnd w:id="474"/>
            <w:bookmarkEnd w:id="475"/>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sz w:val="13"/>
                <w:szCs w:val="13"/>
              </w:rPr>
            </w:pPr>
            <w:hyperlink w:anchor="_100_VDI_Pacotes" w:history="1">
              <w:r w:rsidR="003D47E7" w:rsidRPr="00DC1AC3">
                <w:rPr>
                  <w:rStyle w:val="Hyperlink"/>
                  <w:rFonts w:cs="Tahoma"/>
                  <w:b/>
                  <w:sz w:val="13"/>
                  <w:szCs w:val="13"/>
                </w:rPr>
                <w:t>100</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60"/>
          <w:jc w:val="center"/>
        </w:trPr>
        <w:tc>
          <w:tcPr>
            <w:tcW w:w="2734" w:type="dxa"/>
            <w:gridSpan w:val="2"/>
            <w:tcBorders>
              <w:bottom w:val="single" w:sz="4" w:space="0" w:color="auto"/>
            </w:tcBorders>
            <w:shd w:val="clear" w:color="auto" w:fill="FABF8F"/>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76" w:name="_Toc336338105"/>
            <w:bookmarkStart w:id="477" w:name="_Toc361829201"/>
            <w:r w:rsidRPr="000A1C8E">
              <w:rPr>
                <w:rFonts w:ascii="Tahoma" w:hAnsi="Tahoma" w:cs="Tahoma"/>
                <w:b w:val="0"/>
                <w:sz w:val="14"/>
                <w:szCs w:val="14"/>
              </w:rPr>
              <w:t>VDI Standard Suite com MDOP</w:t>
            </w:r>
            <w:bookmarkEnd w:id="476"/>
            <w:bookmarkEnd w:id="477"/>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Style w:val="EndnoteReference"/>
                <w:rFonts w:cs="Tahoma"/>
                <w:b w:val="0"/>
                <w:sz w:val="13"/>
                <w:szCs w:val="13"/>
                <w:u w:val="single"/>
              </w:rPr>
            </w:pPr>
            <w:hyperlink w:anchor="_100_VDI_Pacotes" w:history="1">
              <w:r w:rsidR="008E5ED7" w:rsidRPr="00DC1AC3">
                <w:rPr>
                  <w:rStyle w:val="Hyperlink"/>
                  <w:rFonts w:cs="Tahoma"/>
                  <w:b/>
                  <w:sz w:val="13"/>
                  <w:szCs w:val="13"/>
                </w:rPr>
                <w:t>100</w:t>
              </w:r>
            </w:hyperlink>
            <w:hyperlink w:anchor="Srv_105VDIStandardandPremiumSuites" w:history="1"/>
          </w:p>
        </w:tc>
        <w:tc>
          <w:tcPr>
            <w:tcW w:w="43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EF228F" w:rsidRPr="000A1C8E" w:rsidTr="00C16156">
        <w:trPr>
          <w:trHeight w:val="260"/>
          <w:jc w:val="center"/>
        </w:trPr>
        <w:tc>
          <w:tcPr>
            <w:tcW w:w="2734" w:type="dxa"/>
            <w:gridSpan w:val="2"/>
            <w:tcBorders>
              <w:bottom w:val="single" w:sz="4" w:space="0" w:color="auto"/>
            </w:tcBorders>
            <w:shd w:val="clear" w:color="auto" w:fill="auto"/>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78" w:name="_Toc336338106"/>
            <w:bookmarkStart w:id="479" w:name="_Toc361829202"/>
            <w:r w:rsidRPr="000A1C8E">
              <w:rPr>
                <w:rFonts w:ascii="Tahoma" w:hAnsi="Tahoma" w:cs="Tahoma"/>
                <w:b w:val="0"/>
                <w:sz w:val="14"/>
                <w:szCs w:val="14"/>
              </w:rPr>
              <w:t>VDI Premium Suite</w:t>
            </w:r>
            <w:bookmarkEnd w:id="478"/>
            <w:bookmarkEnd w:id="479"/>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sz w:val="13"/>
                <w:szCs w:val="13"/>
                <w:u w:val="single"/>
              </w:rPr>
            </w:pPr>
            <w:hyperlink w:anchor="_100_VDI_Pacotes" w:history="1">
              <w:r w:rsidR="008E5ED7" w:rsidRPr="00DC1AC3">
                <w:rPr>
                  <w:rStyle w:val="Hyperlink"/>
                  <w:rFonts w:cs="Tahoma"/>
                  <w:b/>
                  <w:sz w:val="13"/>
                  <w:szCs w:val="13"/>
                </w:rPr>
                <w:t>100</w:t>
              </w:r>
            </w:hyperlink>
          </w:p>
        </w:tc>
        <w:tc>
          <w:tcPr>
            <w:tcW w:w="43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60"/>
          <w:jc w:val="center"/>
        </w:trPr>
        <w:tc>
          <w:tcPr>
            <w:tcW w:w="2734" w:type="dxa"/>
            <w:gridSpan w:val="2"/>
            <w:tcBorders>
              <w:bottom w:val="single" w:sz="4" w:space="0" w:color="auto"/>
            </w:tcBorders>
            <w:shd w:val="clear" w:color="auto" w:fill="FABF8F"/>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80" w:name="_Toc336338107"/>
            <w:bookmarkStart w:id="481" w:name="_Toc361829203"/>
            <w:r w:rsidRPr="000A1C8E">
              <w:rPr>
                <w:rFonts w:ascii="Tahoma" w:hAnsi="Tahoma" w:cs="Tahoma"/>
                <w:b w:val="0"/>
                <w:sz w:val="14"/>
                <w:szCs w:val="14"/>
              </w:rPr>
              <w:t>VDI Premium Suite com MDOP</w:t>
            </w:r>
            <w:bookmarkEnd w:id="480"/>
            <w:bookmarkEnd w:id="481"/>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Style w:val="EndnoteReference"/>
                <w:rFonts w:cs="Tahoma"/>
                <w:b w:val="0"/>
                <w:sz w:val="13"/>
                <w:szCs w:val="13"/>
                <w:u w:val="single"/>
              </w:rPr>
            </w:pPr>
            <w:hyperlink w:anchor="_100_VDI_Pacotes" w:history="1">
              <w:r w:rsidR="008E5ED7" w:rsidRPr="00DC1AC3">
                <w:rPr>
                  <w:rStyle w:val="Hyperlink"/>
                  <w:rFonts w:cs="Tahoma"/>
                  <w:b/>
                  <w:sz w:val="13"/>
                  <w:szCs w:val="13"/>
                </w:rPr>
                <w:t>100</w:t>
              </w:r>
            </w:hyperlink>
          </w:p>
        </w:tc>
        <w:tc>
          <w:tcPr>
            <w:tcW w:w="43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025C3" w:rsidRPr="000A1C8E" w:rsidTr="00C16156">
        <w:trPr>
          <w:trHeight w:val="145"/>
          <w:jc w:val="center"/>
        </w:trPr>
        <w:tc>
          <w:tcPr>
            <w:tcW w:w="2734" w:type="dxa"/>
            <w:gridSpan w:val="2"/>
            <w:tcBorders>
              <w:bottom w:val="single" w:sz="4" w:space="0" w:color="auto"/>
            </w:tcBorders>
            <w:shd w:val="clear" w:color="auto" w:fill="auto"/>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82" w:name="_Toc336338108"/>
            <w:bookmarkStart w:id="483" w:name="_Toc361829204"/>
            <w:r w:rsidRPr="000A1C8E">
              <w:rPr>
                <w:rFonts w:ascii="Tahoma" w:hAnsi="Tahoma" w:cs="Tahoma"/>
                <w:b w:val="0"/>
                <w:sz w:val="14"/>
                <w:szCs w:val="14"/>
              </w:rPr>
              <w:t>Virtual Server 2005 R2 Enterprise Edition</w:t>
            </w:r>
            <w:bookmarkEnd w:id="482"/>
            <w:bookmarkEnd w:id="483"/>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12/05</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6B1F3F"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84" w:name="_Toc336338109"/>
            <w:bookmarkStart w:id="485" w:name="_Toc361829205"/>
            <w:r w:rsidRPr="000A1C8E">
              <w:rPr>
                <w:rFonts w:ascii="Tahoma" w:hAnsi="Tahoma" w:cs="Tahoma"/>
                <w:b w:val="0"/>
                <w:sz w:val="14"/>
                <w:szCs w:val="14"/>
              </w:rPr>
              <w:t>Visual Studio</w:t>
            </w:r>
            <w:r w:rsidR="00C83286" w:rsidRPr="000A1C8E">
              <w:rPr>
                <w:rFonts w:ascii="Tahoma" w:eastAsia="Times New Roman" w:hAnsi="Tahoma" w:cs="Tahoma"/>
                <w:b w:val="0"/>
                <w:color w:val="000000"/>
                <w:sz w:val="14"/>
                <w:szCs w:val="14"/>
                <w:vertAlign w:val="superscript"/>
              </w:rPr>
              <w:t>®</w:t>
            </w:r>
            <w:r w:rsidRPr="000A1C8E">
              <w:rPr>
                <w:rFonts w:ascii="Tahoma" w:hAnsi="Tahoma" w:cs="Tahoma"/>
                <w:b w:val="0"/>
                <w:sz w:val="14"/>
                <w:szCs w:val="14"/>
              </w:rPr>
              <w:t xml:space="preserve"> Team Foundation Server 2012 com Tecnologia SQL Server 2012</w:t>
            </w:r>
            <w:bookmarkEnd w:id="484"/>
            <w:bookmarkEnd w:id="485"/>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sz w:val="13"/>
                <w:szCs w:val="13"/>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09/12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369"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025C3"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86" w:name="_Toc254805933"/>
            <w:bookmarkStart w:id="487" w:name="_Toc336338110"/>
            <w:bookmarkStart w:id="488" w:name="_Toc361829206"/>
            <w:r w:rsidRPr="000A1C8E">
              <w:rPr>
                <w:rFonts w:ascii="Tahoma" w:hAnsi="Tahoma" w:cs="Tahoma"/>
                <w:b w:val="0"/>
                <w:sz w:val="14"/>
                <w:szCs w:val="14"/>
              </w:rPr>
              <w:t>CAL do Dispositivo do Visual Studio</w:t>
            </w:r>
            <w:r w:rsidR="00C83286" w:rsidRPr="000A1C8E">
              <w:rPr>
                <w:rFonts w:ascii="Tahoma" w:hAnsi="Tahoma" w:cs="Tahoma"/>
                <w:b w:val="0"/>
                <w:sz w:val="14"/>
                <w:szCs w:val="14"/>
                <w:vertAlign w:val="superscript"/>
              </w:rPr>
              <w:t>®</w:t>
            </w:r>
            <w:r w:rsidRPr="000A1C8E">
              <w:rPr>
                <w:rFonts w:ascii="Tahoma" w:hAnsi="Tahoma" w:cs="Tahoma"/>
                <w:b w:val="0"/>
                <w:sz w:val="14"/>
                <w:szCs w:val="14"/>
              </w:rPr>
              <w:t xml:space="preserve"> Team Foundation Server 2012</w:t>
            </w:r>
            <w:bookmarkEnd w:id="486"/>
            <w:bookmarkEnd w:id="487"/>
            <w:bookmarkEnd w:id="488"/>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sz w:val="13"/>
                <w:szCs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09/12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8</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8</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450"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369" w:type="dxa"/>
            <w:tcBorders>
              <w:left w:val="single" w:sz="18" w:space="0" w:color="auto"/>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6B1F3F"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F6A95">
            <w:pPr>
              <w:pStyle w:val="Heading2"/>
              <w:spacing w:beforeLines="20" w:before="48" w:afterLines="20" w:after="48"/>
              <w:ind w:left="0"/>
              <w:rPr>
                <w:rFonts w:ascii="Tahoma" w:hAnsi="Tahoma" w:cs="Tahoma"/>
                <w:b w:val="0"/>
                <w:sz w:val="14"/>
                <w:szCs w:val="14"/>
              </w:rPr>
            </w:pPr>
            <w:bookmarkStart w:id="489" w:name="_Toc254805934"/>
            <w:bookmarkStart w:id="490" w:name="_Toc336338111"/>
            <w:bookmarkStart w:id="491" w:name="_Toc361829207"/>
            <w:r w:rsidRPr="000A1C8E">
              <w:rPr>
                <w:rFonts w:ascii="Tahoma" w:hAnsi="Tahoma" w:cs="Tahoma"/>
                <w:b w:val="0"/>
                <w:sz w:val="14"/>
                <w:szCs w:val="14"/>
              </w:rPr>
              <w:t>CAL do Usuário do Visual Studio</w:t>
            </w:r>
            <w:r w:rsidR="00C83286" w:rsidRPr="000A1C8E">
              <w:rPr>
                <w:rFonts w:ascii="Tahoma" w:hAnsi="Tahoma" w:cs="Tahoma"/>
                <w:b w:val="0"/>
                <w:sz w:val="14"/>
                <w:szCs w:val="14"/>
                <w:vertAlign w:val="superscript"/>
              </w:rPr>
              <w:t>®</w:t>
            </w:r>
            <w:r w:rsidRPr="000A1C8E">
              <w:rPr>
                <w:rFonts w:ascii="Tahoma" w:hAnsi="Tahoma" w:cs="Tahoma"/>
                <w:b w:val="0"/>
                <w:sz w:val="14"/>
                <w:szCs w:val="14"/>
              </w:rPr>
              <w:t xml:space="preserve"> Team Foundation Server 2012</w:t>
            </w:r>
            <w:bookmarkEnd w:id="489"/>
            <w:bookmarkEnd w:id="490"/>
            <w:bookmarkEnd w:id="491"/>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sz w:val="13"/>
                <w:szCs w:val="13"/>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09/12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0037A1">
            <w:pPr>
              <w:pStyle w:val="TableText"/>
              <w:widowControl w:val="0"/>
              <w:rPr>
                <w:rFonts w:ascii="Tahoma" w:hAnsi="Tahoma" w:cs="Tahoma"/>
                <w:sz w:val="13"/>
                <w:szCs w:val="13"/>
              </w:rPr>
            </w:pPr>
            <w:r w:rsidRPr="000A1C8E">
              <w:rPr>
                <w:rFonts w:ascii="Tahoma" w:hAnsi="Tahoma" w:cs="Tahoma"/>
                <w:sz w:val="13"/>
                <w:szCs w:val="13"/>
              </w:rPr>
              <w:t>5</w:t>
            </w:r>
          </w:p>
        </w:tc>
        <w:tc>
          <w:tcPr>
            <w:tcW w:w="369" w:type="dxa"/>
            <w:tcBorders>
              <w:left w:val="single" w:sz="18" w:space="0" w:color="auto"/>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S</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87"/>
          <w:jc w:val="center"/>
        </w:trPr>
        <w:tc>
          <w:tcPr>
            <w:tcW w:w="2734" w:type="dxa"/>
            <w:gridSpan w:val="2"/>
            <w:tcBorders>
              <w:bottom w:val="single" w:sz="4" w:space="0" w:color="auto"/>
            </w:tcBorders>
            <w:shd w:val="clear" w:color="auto" w:fill="auto"/>
            <w:vAlign w:val="center"/>
          </w:tcPr>
          <w:p w:rsidR="001A63C6" w:rsidRPr="000A1C8E" w:rsidRDefault="001A63C6" w:rsidP="004F6A95">
            <w:pPr>
              <w:pStyle w:val="Heading2"/>
              <w:spacing w:beforeLines="20" w:before="48" w:afterLines="20" w:after="48"/>
              <w:ind w:left="0"/>
              <w:rPr>
                <w:rFonts w:ascii="Tahoma" w:hAnsi="Tahoma" w:cs="Tahoma"/>
                <w:b w:val="0"/>
                <w:sz w:val="14"/>
              </w:rPr>
            </w:pPr>
            <w:bookmarkStart w:id="492" w:name="_Toc336338114"/>
            <w:bookmarkStart w:id="493" w:name="_Toc361829208"/>
            <w:r w:rsidRPr="000A1C8E">
              <w:rPr>
                <w:rFonts w:ascii="Tahoma" w:hAnsi="Tahoma" w:cs="Tahoma"/>
                <w:b w:val="0"/>
                <w:sz w:val="14"/>
              </w:rPr>
              <w:lastRenderedPageBreak/>
              <w:t>Serviços do Windows Azure</w:t>
            </w:r>
            <w:bookmarkEnd w:id="492"/>
            <w:bookmarkEnd w:id="493"/>
          </w:p>
        </w:tc>
        <w:tc>
          <w:tcPr>
            <w:tcW w:w="450" w:type="dxa"/>
            <w:tcBorders>
              <w:bottom w:val="single" w:sz="4" w:space="0" w:color="auto"/>
            </w:tcBorders>
            <w:shd w:val="clear" w:color="auto" w:fill="auto"/>
            <w:vAlign w:val="center"/>
          </w:tcPr>
          <w:p w:rsidR="001A63C6" w:rsidRPr="00DC1AC3" w:rsidRDefault="006C57E7" w:rsidP="00FC4741">
            <w:pPr>
              <w:pStyle w:val="TableText"/>
              <w:widowControl w:val="0"/>
              <w:spacing w:before="100" w:beforeAutospacing="1"/>
              <w:rPr>
                <w:rFonts w:cs="Tahoma"/>
                <w:b/>
                <w:color w:val="0000FF"/>
                <w:sz w:val="13"/>
                <w:szCs w:val="13"/>
                <w:u w:val="single"/>
              </w:rPr>
            </w:pPr>
            <w:hyperlink w:anchor="_101_Serviços_do" w:history="1">
              <w:r w:rsidR="003D47E7" w:rsidRPr="00DC1AC3">
                <w:rPr>
                  <w:rStyle w:val="Hyperlink"/>
                  <w:rFonts w:cs="Tahoma"/>
                  <w:b/>
                  <w:sz w:val="13"/>
                  <w:szCs w:val="13"/>
                </w:rPr>
                <w:t>101</w:t>
              </w:r>
            </w:hyperlink>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11/11</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1A63C6" w:rsidRPr="000A1C8E" w:rsidTr="00C16156">
        <w:trPr>
          <w:trHeight w:val="152"/>
          <w:jc w:val="center"/>
        </w:trPr>
        <w:tc>
          <w:tcPr>
            <w:tcW w:w="2734" w:type="dxa"/>
            <w:gridSpan w:val="2"/>
            <w:tcBorders>
              <w:bottom w:val="single" w:sz="4" w:space="0" w:color="auto"/>
            </w:tcBorders>
            <w:shd w:val="clear" w:color="auto" w:fill="FABF8F"/>
            <w:vAlign w:val="center"/>
          </w:tcPr>
          <w:p w:rsidR="001A63C6" w:rsidRPr="000A1C8E" w:rsidRDefault="001A63C6" w:rsidP="00186460">
            <w:pPr>
              <w:pStyle w:val="Heading2"/>
              <w:spacing w:before="20" w:after="20"/>
              <w:ind w:left="0"/>
              <w:rPr>
                <w:rFonts w:ascii="Tahoma" w:hAnsi="Tahoma" w:cs="Tahoma"/>
                <w:b w:val="0"/>
                <w:sz w:val="14"/>
                <w:szCs w:val="14"/>
              </w:rPr>
            </w:pPr>
            <w:bookmarkStart w:id="494" w:name="_Toc336338115"/>
            <w:bookmarkStart w:id="495" w:name="_Toc361829209"/>
            <w:r w:rsidRPr="000A1C8E">
              <w:rPr>
                <w:rFonts w:ascii="Tahoma" w:hAnsi="Tahoma" w:cs="Tahoma"/>
                <w:b w:val="0"/>
                <w:sz w:val="14"/>
              </w:rPr>
              <w:t>Windows</w:t>
            </w:r>
            <w:r w:rsidR="00C83286" w:rsidRPr="000A1C8E">
              <w:rPr>
                <w:rFonts w:ascii="Tahoma" w:hAnsi="Tahoma" w:cs="Tahoma"/>
                <w:b w:val="0"/>
                <w:sz w:val="14"/>
                <w:vertAlign w:val="superscript"/>
              </w:rPr>
              <w:t>®</w:t>
            </w:r>
            <w:r w:rsidRPr="000A1C8E">
              <w:rPr>
                <w:rFonts w:ascii="Tahoma" w:hAnsi="Tahoma" w:cs="Tahoma"/>
                <w:b w:val="0"/>
                <w:sz w:val="14"/>
              </w:rPr>
              <w:t xml:space="preserve"> Embedded Device Manager</w:t>
            </w:r>
            <w:r w:rsidR="00186460" w:rsidRPr="000A1C8E">
              <w:rPr>
                <w:rFonts w:ascii="Tahoma" w:hAnsi="Tahoma" w:cs="Tahoma"/>
                <w:b w:val="0"/>
                <w:sz w:val="14"/>
              </w:rPr>
              <w:t> </w:t>
            </w:r>
            <w:r w:rsidRPr="000A1C8E">
              <w:rPr>
                <w:rFonts w:ascii="Tahoma" w:hAnsi="Tahoma" w:cs="Tahoma"/>
                <w:b w:val="0"/>
                <w:sz w:val="14"/>
              </w:rPr>
              <w:t>2011</w:t>
            </w:r>
            <w:bookmarkEnd w:id="494"/>
            <w:bookmarkEnd w:id="495"/>
          </w:p>
        </w:tc>
        <w:tc>
          <w:tcPr>
            <w:tcW w:w="450" w:type="dxa"/>
            <w:tcBorders>
              <w:bottom w:val="single" w:sz="4" w:space="0" w:color="auto"/>
            </w:tcBorders>
            <w:shd w:val="clear" w:color="auto" w:fill="FABF8F"/>
            <w:vAlign w:val="center"/>
          </w:tcPr>
          <w:p w:rsidR="001A63C6" w:rsidRPr="00DC1AC3" w:rsidRDefault="006C57E7" w:rsidP="005312F5">
            <w:pPr>
              <w:pStyle w:val="TableText"/>
              <w:widowControl w:val="0"/>
              <w:spacing w:before="100" w:beforeAutospacing="1"/>
              <w:rPr>
                <w:rFonts w:cs="Tahoma"/>
                <w:b/>
                <w:color w:val="0000FF"/>
                <w:sz w:val="13"/>
                <w:szCs w:val="13"/>
                <w:u w:val="single"/>
              </w:rPr>
            </w:pPr>
            <w:hyperlink w:anchor="_98_Windows_Embedded" w:history="1">
              <w:r w:rsidR="003D47E7" w:rsidRPr="00DC1AC3">
                <w:rPr>
                  <w:rStyle w:val="Hyperlink"/>
                  <w:rFonts w:cs="Tahoma"/>
                  <w:b/>
                  <w:sz w:val="13"/>
                  <w:szCs w:val="13"/>
                </w:rPr>
                <w:t>102</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87"/>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496" w:name="_Toc336338116"/>
            <w:bookmarkStart w:id="497" w:name="_Toc361829210"/>
            <w:r w:rsidRPr="000A1C8E">
              <w:rPr>
                <w:rFonts w:ascii="Tahoma" w:hAnsi="Tahoma" w:cs="Tahoma"/>
                <w:b w:val="0"/>
                <w:sz w:val="14"/>
              </w:rPr>
              <w:t>Licença de Gerenciamento de Cliente do Windows</w:t>
            </w:r>
            <w:r w:rsidR="00C83286" w:rsidRPr="000A1C8E">
              <w:rPr>
                <w:rFonts w:ascii="Tahoma" w:hAnsi="Tahoma" w:cs="Tahoma"/>
                <w:b w:val="0"/>
                <w:sz w:val="14"/>
                <w:vertAlign w:val="superscript"/>
              </w:rPr>
              <w:t>®</w:t>
            </w:r>
            <w:r w:rsidRPr="000A1C8E">
              <w:rPr>
                <w:rFonts w:ascii="Tahoma" w:hAnsi="Tahoma" w:cs="Tahoma"/>
                <w:b w:val="0"/>
                <w:sz w:val="14"/>
              </w:rPr>
              <w:t xml:space="preserve"> Embedded Device Manager 2011 por OSE</w:t>
            </w:r>
            <w:bookmarkEnd w:id="496"/>
            <w:bookmarkEnd w:id="497"/>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spacing w:before="100" w:beforeAutospacing="1"/>
              <w:rPr>
                <w:rFonts w:cs="Tahoma"/>
                <w:b/>
                <w:color w:val="0000FF"/>
                <w:sz w:val="13"/>
                <w:szCs w:val="13"/>
              </w:rPr>
            </w:pPr>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1A63C6" w:rsidRPr="000A1C8E" w:rsidTr="00C16156">
        <w:trPr>
          <w:trHeight w:val="287"/>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498" w:name="_Toc336338117"/>
            <w:bookmarkStart w:id="499" w:name="_Toc361829211"/>
            <w:r w:rsidRPr="000A1C8E">
              <w:rPr>
                <w:rFonts w:ascii="Tahoma" w:hAnsi="Tahoma" w:cs="Tahoma"/>
                <w:b w:val="0"/>
                <w:sz w:val="14"/>
              </w:rPr>
              <w:t>Licença de Gerenciamento de Cliente do Windows</w:t>
            </w:r>
            <w:r w:rsidR="00C83286" w:rsidRPr="000A1C8E">
              <w:rPr>
                <w:rFonts w:ascii="Tahoma" w:hAnsi="Tahoma" w:cs="Tahoma"/>
                <w:b w:val="0"/>
                <w:sz w:val="14"/>
                <w:vertAlign w:val="superscript"/>
              </w:rPr>
              <w:t>®</w:t>
            </w:r>
            <w:r w:rsidRPr="000A1C8E">
              <w:rPr>
                <w:rFonts w:ascii="Tahoma" w:hAnsi="Tahoma" w:cs="Tahoma"/>
                <w:b w:val="0"/>
                <w:sz w:val="14"/>
              </w:rPr>
              <w:t xml:space="preserve"> Embedded Device Manager 2011 por Usuário</w:t>
            </w:r>
            <w:bookmarkEnd w:id="498"/>
            <w:bookmarkEnd w:id="499"/>
          </w:p>
        </w:tc>
        <w:tc>
          <w:tcPr>
            <w:tcW w:w="450" w:type="dxa"/>
            <w:tcBorders>
              <w:bottom w:val="single" w:sz="4" w:space="0" w:color="auto"/>
            </w:tcBorders>
            <w:shd w:val="clear" w:color="auto" w:fill="FABF8F"/>
            <w:vAlign w:val="center"/>
          </w:tcPr>
          <w:p w:rsidR="001A63C6" w:rsidRPr="00DC1AC3" w:rsidRDefault="006C57E7" w:rsidP="005312F5">
            <w:pPr>
              <w:pStyle w:val="TableText"/>
              <w:widowControl w:val="0"/>
              <w:spacing w:before="100" w:beforeAutospacing="1"/>
              <w:rPr>
                <w:rFonts w:cs="Tahoma"/>
                <w:b/>
                <w:color w:val="0000FF"/>
                <w:sz w:val="13"/>
                <w:szCs w:val="13"/>
              </w:rPr>
            </w:pPr>
            <w:hyperlink w:anchor="_103_Windows_Embedded" w:history="1">
              <w:r w:rsidR="003D47E7" w:rsidRPr="00DC1AC3">
                <w:rPr>
                  <w:rStyle w:val="Hyperlink"/>
                  <w:rFonts w:cs="Tahoma"/>
                  <w:b/>
                  <w:sz w:val="13"/>
                  <w:szCs w:val="13"/>
                </w:rPr>
                <w:t>103</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87"/>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00" w:name="_Toc336338118"/>
            <w:bookmarkStart w:id="501" w:name="_Toc361829212"/>
            <w:r w:rsidRPr="000A1C8E">
              <w:rPr>
                <w:rFonts w:ascii="Tahoma" w:hAnsi="Tahoma" w:cs="Tahoma"/>
                <w:b w:val="0"/>
                <w:sz w:val="14"/>
              </w:rPr>
              <w:t>Windows</w:t>
            </w:r>
            <w:r w:rsidR="00C83286" w:rsidRPr="000A1C8E">
              <w:rPr>
                <w:rFonts w:ascii="Tahoma" w:hAnsi="Tahoma" w:cs="Tahoma"/>
                <w:b w:val="0"/>
                <w:sz w:val="14"/>
                <w:vertAlign w:val="superscript"/>
              </w:rPr>
              <w:t>®</w:t>
            </w:r>
            <w:r w:rsidRPr="000A1C8E">
              <w:rPr>
                <w:rFonts w:ascii="Tahoma" w:hAnsi="Tahoma" w:cs="Tahoma"/>
                <w:b w:val="0"/>
                <w:sz w:val="14"/>
              </w:rPr>
              <w:t xml:space="preserve"> Embedded Device Manager 2011 com Tecnologia SQL Server</w:t>
            </w:r>
            <w:r w:rsidR="00C83286" w:rsidRPr="000A1C8E">
              <w:rPr>
                <w:rFonts w:ascii="Tahoma" w:hAnsi="Tahoma" w:cs="Tahoma"/>
                <w:b w:val="0"/>
                <w:sz w:val="14"/>
                <w:vertAlign w:val="superscript"/>
              </w:rPr>
              <w:t>®</w:t>
            </w:r>
            <w:r w:rsidRPr="000A1C8E">
              <w:rPr>
                <w:rFonts w:ascii="Tahoma" w:hAnsi="Tahoma" w:cs="Tahoma"/>
                <w:b w:val="0"/>
                <w:sz w:val="14"/>
              </w:rPr>
              <w:t xml:space="preserve"> 2008</w:t>
            </w:r>
            <w:bookmarkEnd w:id="500"/>
            <w:bookmarkEnd w:id="501"/>
          </w:p>
        </w:tc>
        <w:tc>
          <w:tcPr>
            <w:tcW w:w="450" w:type="dxa"/>
            <w:tcBorders>
              <w:bottom w:val="single" w:sz="4" w:space="0" w:color="auto"/>
            </w:tcBorders>
            <w:shd w:val="clear" w:color="auto" w:fill="auto"/>
            <w:vAlign w:val="center"/>
          </w:tcPr>
          <w:p w:rsidR="001A63C6" w:rsidRPr="00DC1AC3" w:rsidRDefault="006C57E7" w:rsidP="005312F5">
            <w:pPr>
              <w:pStyle w:val="TableText"/>
              <w:widowControl w:val="0"/>
              <w:spacing w:before="100" w:beforeAutospacing="1"/>
              <w:rPr>
                <w:rFonts w:cs="Tahoma"/>
                <w:b/>
                <w:color w:val="0000FF"/>
                <w:sz w:val="13"/>
                <w:szCs w:val="13"/>
                <w:u w:val="single"/>
              </w:rPr>
            </w:pPr>
            <w:hyperlink w:anchor="_103_Windows_Embedded" w:history="1">
              <w:r w:rsidR="008E5ED7" w:rsidRPr="00DC1AC3">
                <w:rPr>
                  <w:rStyle w:val="Hyperlink"/>
                  <w:rFonts w:cs="Tahoma"/>
                  <w:b/>
                  <w:sz w:val="13"/>
                  <w:szCs w:val="13"/>
                </w:rPr>
                <w:t>103</w:t>
              </w:r>
            </w:hyperlink>
          </w:p>
        </w:tc>
        <w:tc>
          <w:tcPr>
            <w:tcW w:w="433" w:type="dxa"/>
            <w:tcBorders>
              <w:bottom w:val="single" w:sz="4" w:space="0" w:color="auto"/>
            </w:tcBorders>
            <w:shd w:val="clear" w:color="auto" w:fill="auto"/>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1A63C6" w:rsidRPr="000A1C8E" w:rsidTr="00C16156">
        <w:trPr>
          <w:trHeight w:val="287"/>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02" w:name="_Toc336338119"/>
            <w:bookmarkStart w:id="503" w:name="_Toc361829213"/>
            <w:r w:rsidRPr="000A1C8E">
              <w:rPr>
                <w:rFonts w:ascii="Tahoma" w:hAnsi="Tahoma" w:cs="Tahoma"/>
                <w:b w:val="0"/>
                <w:sz w:val="14"/>
                <w:szCs w:val="14"/>
              </w:rPr>
              <w:t>Windows Essential Business Server 2008 Standard</w:t>
            </w:r>
            <w:bookmarkEnd w:id="502"/>
            <w:bookmarkEnd w:id="503"/>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spacing w:before="100" w:beforeAutospacing="1"/>
              <w:rPr>
                <w:rStyle w:val="EndnoteReference"/>
                <w:rFonts w:cs="Tahoma"/>
                <w:b w:val="0"/>
                <w:color w:val="0000FF"/>
                <w:sz w:val="13"/>
                <w:szCs w:val="13"/>
                <w:u w:val="single"/>
              </w:rPr>
            </w:pPr>
            <w:hyperlink w:anchor="_104_Windows_EBS" w:history="1">
              <w:r w:rsidR="003D47E7" w:rsidRPr="00DC1AC3">
                <w:rPr>
                  <w:rStyle w:val="Hyperlink"/>
                  <w:rFonts w:cs="Tahoma"/>
                  <w:b/>
                  <w:sz w:val="13"/>
                  <w:szCs w:val="13"/>
                </w:rPr>
                <w:t>104</w:t>
              </w:r>
            </w:hyperlink>
          </w:p>
        </w:tc>
        <w:tc>
          <w:tcPr>
            <w:tcW w:w="433" w:type="dxa"/>
            <w:tcBorders>
              <w:bottom w:val="single" w:sz="4" w:space="0" w:color="auto"/>
            </w:tcBorders>
            <w:shd w:val="clear" w:color="auto" w:fill="FABF8F"/>
            <w:vAlign w:val="center"/>
          </w:tcPr>
          <w:p w:rsidR="001A63C6" w:rsidRPr="000A1C8E" w:rsidRDefault="001A63C6" w:rsidP="001A63C6">
            <w:pPr>
              <w:pStyle w:val="TableText"/>
              <w:widowControl w:val="0"/>
              <w:spacing w:before="80"/>
              <w:rPr>
                <w:rFonts w:ascii="Tahoma" w:hAnsi="Tahoma" w:cs="Tahoma"/>
                <w:sz w:val="13"/>
              </w:rPr>
            </w:pP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C16156">
        <w:trPr>
          <w:trHeight w:val="287"/>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04" w:name="_Toc336338120"/>
            <w:bookmarkStart w:id="505" w:name="_Toc361829214"/>
            <w:r w:rsidRPr="000A1C8E">
              <w:rPr>
                <w:rFonts w:ascii="Tahoma" w:hAnsi="Tahoma" w:cs="Tahoma"/>
                <w:b w:val="0"/>
                <w:sz w:val="14"/>
                <w:szCs w:val="14"/>
              </w:rPr>
              <w:t>Windows Essential Business Server 2008 CAL Suite</w:t>
            </w:r>
            <w:bookmarkEnd w:id="504"/>
            <w:bookmarkEnd w:id="505"/>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spacing w:before="100" w:beforeAutospacing="1"/>
              <w:rPr>
                <w:rStyle w:val="EndnoteReference"/>
                <w:rFonts w:cs="Tahoma"/>
                <w:color w:val="0000FF"/>
                <w:sz w:val="13"/>
                <w:szCs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11/08</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1A63C6" w:rsidRPr="000A1C8E" w:rsidTr="00C16156">
        <w:trPr>
          <w:trHeight w:val="287"/>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06" w:name="_Toc336338121"/>
            <w:bookmarkStart w:id="507" w:name="_Toc361829215"/>
            <w:r w:rsidRPr="000A1C8E">
              <w:rPr>
                <w:rFonts w:ascii="Tahoma" w:hAnsi="Tahoma" w:cs="Tahoma"/>
                <w:b w:val="0"/>
                <w:sz w:val="14"/>
                <w:szCs w:val="14"/>
              </w:rPr>
              <w:t>Windows Essential Business Server 2008 CAL Suite (5 clientes)</w:t>
            </w:r>
            <w:bookmarkEnd w:id="506"/>
            <w:bookmarkEnd w:id="507"/>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spacing w:before="100" w:beforeAutospacing="1"/>
              <w:rPr>
                <w:rStyle w:val="EndnoteReference"/>
                <w:rFonts w:cs="Tahoma"/>
                <w:color w:val="0000FF"/>
                <w:sz w:val="13"/>
                <w:szCs w:val="13"/>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11/08</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w:t>
            </w:r>
          </w:p>
        </w:tc>
      </w:tr>
      <w:tr w:rsidR="00B33D0E" w:rsidRPr="000A1C8E" w:rsidTr="00C16156">
        <w:trPr>
          <w:trHeight w:val="287"/>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08" w:name="_Toc336338122"/>
            <w:bookmarkStart w:id="509" w:name="_Toc361829216"/>
            <w:r w:rsidRPr="000A1C8E">
              <w:rPr>
                <w:rFonts w:ascii="Tahoma" w:hAnsi="Tahoma" w:cs="Tahoma"/>
                <w:b w:val="0"/>
                <w:color w:val="000000"/>
                <w:sz w:val="14"/>
                <w:szCs w:val="14"/>
              </w:rPr>
              <w:t>Windows Essential Business Server 2008 CAL Suite (20 clientes)</w:t>
            </w:r>
            <w:bookmarkEnd w:id="508"/>
            <w:bookmarkEnd w:id="509"/>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spacing w:before="100" w:beforeAutospacing="1"/>
              <w:rPr>
                <w:rStyle w:val="EndnoteReference"/>
                <w:rFonts w:cs="Tahoma"/>
                <w:color w:val="0000FF"/>
                <w:sz w:val="13"/>
                <w:szCs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11/08</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w:t>
            </w:r>
          </w:p>
        </w:tc>
      </w:tr>
      <w:tr w:rsidR="001A63C6" w:rsidRPr="000A1C8E" w:rsidTr="00C16156">
        <w:trPr>
          <w:trHeight w:val="287"/>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10" w:name="_Toc336338123"/>
            <w:bookmarkStart w:id="511" w:name="_Toc361829217"/>
            <w:r w:rsidRPr="000A1C8E">
              <w:rPr>
                <w:rFonts w:ascii="Tahoma" w:hAnsi="Tahoma" w:cs="Tahoma"/>
                <w:b w:val="0"/>
                <w:sz w:val="14"/>
                <w:szCs w:val="14"/>
              </w:rPr>
              <w:t>Windows Essential Business Server 2008 CAL Suite (50 clientes)</w:t>
            </w:r>
            <w:bookmarkEnd w:id="510"/>
            <w:bookmarkEnd w:id="511"/>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spacing w:before="100" w:beforeAutospacing="1"/>
              <w:rPr>
                <w:rStyle w:val="EndnoteReference"/>
                <w:rFonts w:cs="Tahoma"/>
                <w:color w:val="0000FF"/>
                <w:sz w:val="13"/>
                <w:szCs w:val="13"/>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11/08</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w:t>
            </w:r>
          </w:p>
        </w:tc>
      </w:tr>
      <w:tr w:rsidR="00B33D0E" w:rsidRPr="000A1C8E" w:rsidTr="00C16156">
        <w:trPr>
          <w:trHeight w:val="287"/>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12" w:name="_Toc336338124"/>
            <w:bookmarkStart w:id="513" w:name="_Toc361829218"/>
            <w:r w:rsidRPr="000A1C8E">
              <w:rPr>
                <w:rFonts w:ascii="Tahoma" w:hAnsi="Tahoma" w:cs="Tahoma"/>
                <w:b w:val="0"/>
                <w:sz w:val="14"/>
                <w:szCs w:val="14"/>
              </w:rPr>
              <w:t>Windows Essential Business Server 2008 Premium</w:t>
            </w:r>
            <w:bookmarkEnd w:id="512"/>
            <w:bookmarkEnd w:id="513"/>
            <w:r w:rsidRPr="000A1C8E">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spacing w:before="100" w:beforeAutospacing="1"/>
              <w:rPr>
                <w:rStyle w:val="EndnoteReference"/>
                <w:rFonts w:cs="Tahoma"/>
                <w:b w:val="0"/>
                <w:color w:val="0000FF"/>
                <w:sz w:val="13"/>
                <w:szCs w:val="13"/>
                <w:u w:val="single"/>
              </w:rPr>
            </w:pPr>
            <w:hyperlink w:anchor="_104_Windows_EBS" w:history="1">
              <w:r w:rsidR="008E5ED7" w:rsidRPr="00DC1AC3">
                <w:rPr>
                  <w:rStyle w:val="Hyperlink"/>
                  <w:rFonts w:cs="Tahoma"/>
                  <w:b/>
                  <w:sz w:val="13"/>
                  <w:szCs w:val="13"/>
                </w:rPr>
                <w:t>104</w:t>
              </w:r>
            </w:hyperlink>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r>
      <w:tr w:rsidR="00E5334D" w:rsidRPr="000A1C8E" w:rsidTr="00C16156">
        <w:trPr>
          <w:cantSplit/>
          <w:trHeight w:val="287"/>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14" w:name="_Toc336338125"/>
            <w:bookmarkStart w:id="515" w:name="_Toc361829219"/>
            <w:r w:rsidRPr="000A1C8E">
              <w:rPr>
                <w:rFonts w:ascii="Tahoma" w:hAnsi="Tahoma" w:cs="Tahoma"/>
                <w:b w:val="0"/>
                <w:sz w:val="14"/>
                <w:szCs w:val="14"/>
              </w:rPr>
              <w:t>Pacote de CALs do Windows Essential Business Server 2008 CAL para Usuários ou Dispositivos Premium</w:t>
            </w:r>
            <w:bookmarkEnd w:id="514"/>
            <w:bookmarkEnd w:id="515"/>
            <w:r w:rsidRPr="000A1C8E">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spacing w:before="100" w:beforeAutospacing="1"/>
              <w:rPr>
                <w:rStyle w:val="EndnoteReference"/>
                <w:rFonts w:cs="Tahoma"/>
                <w:sz w:val="13"/>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11/08</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r>
      <w:tr w:rsidR="00B33D0E" w:rsidRPr="000A1C8E" w:rsidTr="00186460">
        <w:trPr>
          <w:cantSplit/>
          <w:trHeight w:val="287"/>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16" w:name="_Toc336338126"/>
            <w:bookmarkStart w:id="517" w:name="_Toc361829220"/>
            <w:r w:rsidRPr="000A1C8E">
              <w:rPr>
                <w:rFonts w:ascii="Tahoma" w:hAnsi="Tahoma" w:cs="Tahoma"/>
                <w:b w:val="0"/>
                <w:sz w:val="14"/>
                <w:szCs w:val="14"/>
              </w:rPr>
              <w:t>Windows Essential Business Server 2008 CAL Suite para Usuários ou Dispositivos Premium (5 clientes)</w:t>
            </w:r>
            <w:bookmarkEnd w:id="516"/>
            <w:bookmarkEnd w:id="517"/>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spacing w:before="100" w:beforeAutospacing="1"/>
              <w:rPr>
                <w:rStyle w:val="EndnoteReference"/>
                <w:rFonts w:cs="Tahoma"/>
                <w:sz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11/08</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w:t>
            </w:r>
          </w:p>
        </w:tc>
      </w:tr>
      <w:tr w:rsidR="00E5334D" w:rsidRPr="000A1C8E" w:rsidTr="00C16156">
        <w:trPr>
          <w:trHeight w:val="287"/>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18" w:name="_Toc336338127"/>
            <w:bookmarkStart w:id="519" w:name="_Toc361829221"/>
            <w:r w:rsidRPr="000A1C8E">
              <w:rPr>
                <w:rFonts w:ascii="Tahoma" w:hAnsi="Tahoma" w:cs="Tahoma"/>
                <w:b w:val="0"/>
                <w:sz w:val="14"/>
                <w:szCs w:val="14"/>
              </w:rPr>
              <w:t>Windows Essential Business Server 2008 CAL Suite para Usuários ou Dispositivos Premium (20 clientes)</w:t>
            </w:r>
            <w:bookmarkEnd w:id="518"/>
            <w:bookmarkEnd w:id="519"/>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spacing w:before="100" w:beforeAutospacing="1"/>
              <w:rPr>
                <w:rStyle w:val="EndnoteReference"/>
                <w:rFonts w:cs="Tahoma"/>
                <w:sz w:val="13"/>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11/08</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w:t>
            </w:r>
          </w:p>
        </w:tc>
      </w:tr>
      <w:tr w:rsidR="00B33D0E" w:rsidRPr="000A1C8E" w:rsidTr="00C16156">
        <w:trPr>
          <w:trHeight w:val="287"/>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20" w:name="_Toc336338128"/>
            <w:bookmarkStart w:id="521" w:name="_Toc361829222"/>
            <w:r w:rsidRPr="000A1C8E">
              <w:rPr>
                <w:rFonts w:ascii="Tahoma" w:hAnsi="Tahoma" w:cs="Tahoma"/>
                <w:b w:val="0"/>
                <w:sz w:val="14"/>
                <w:szCs w:val="14"/>
              </w:rPr>
              <w:t>Windows Essential Business Server 2008 CAL Suite para Usuários ou Dispositivos Premium (50 clientes)</w:t>
            </w:r>
            <w:bookmarkEnd w:id="520"/>
            <w:bookmarkEnd w:id="521"/>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spacing w:before="100" w:beforeAutospacing="1"/>
              <w:rPr>
                <w:rStyle w:val="EndnoteReference"/>
                <w:rFonts w:cs="Tahoma"/>
                <w:color w:val="0000FF"/>
                <w:sz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11/08</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tcPr>
          <w:p w:rsidR="001A63C6" w:rsidRPr="000A1C8E" w:rsidRDefault="001A63C6"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LO</w:t>
            </w:r>
          </w:p>
        </w:tc>
      </w:tr>
      <w:tr w:rsidR="00E5334D"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44693F">
            <w:pPr>
              <w:pStyle w:val="Heading2"/>
              <w:keepNext/>
              <w:spacing w:before="20" w:after="20"/>
              <w:ind w:left="0"/>
              <w:rPr>
                <w:rFonts w:ascii="Tahoma" w:hAnsi="Tahoma" w:cs="Tahoma"/>
                <w:b w:val="0"/>
                <w:sz w:val="14"/>
                <w:szCs w:val="14"/>
              </w:rPr>
            </w:pPr>
            <w:bookmarkStart w:id="522" w:name="_Toc336338129"/>
            <w:bookmarkStart w:id="523" w:name="_Toc361829223"/>
            <w:r w:rsidRPr="000A1C8E">
              <w:rPr>
                <w:rFonts w:ascii="Tahoma" w:hAnsi="Tahoma" w:cs="Tahoma"/>
                <w:b w:val="0"/>
                <w:sz w:val="14"/>
                <w:szCs w:val="14"/>
              </w:rPr>
              <w:t>Windows HPC Server 2008 R2 Suite</w:t>
            </w:r>
            <w:bookmarkEnd w:id="522"/>
            <w:bookmarkEnd w:id="523"/>
            <w:r w:rsidRPr="000A1C8E">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Fonts w:cs="Tahoma"/>
                <w:b/>
                <w:sz w:val="13"/>
                <w:szCs w:val="13"/>
                <w:u w:val="single"/>
              </w:rPr>
            </w:pPr>
            <w:hyperlink w:anchor="_105_Windows_HPC" w:history="1">
              <w:r w:rsidR="003D47E7" w:rsidRPr="00DC1AC3">
                <w:rPr>
                  <w:rStyle w:val="Hyperlink"/>
                  <w:rFonts w:cs="Tahoma"/>
                  <w:b/>
                  <w:sz w:val="13"/>
                  <w:szCs w:val="13"/>
                </w:rPr>
                <w:t>105</w:t>
              </w:r>
            </w:hyperlink>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09/10</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tcPr>
          <w:p w:rsidR="001A63C6" w:rsidRPr="000A1C8E" w:rsidRDefault="001A63C6"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33662">
            <w:pPr>
              <w:pStyle w:val="Heading2"/>
              <w:spacing w:before="20" w:after="20"/>
              <w:ind w:left="0"/>
              <w:rPr>
                <w:rFonts w:ascii="Tahoma" w:hAnsi="Tahoma" w:cs="Tahoma"/>
                <w:b w:val="0"/>
                <w:sz w:val="14"/>
                <w:szCs w:val="14"/>
              </w:rPr>
            </w:pPr>
            <w:bookmarkStart w:id="524" w:name="_Toc361829224"/>
            <w:r w:rsidRPr="000A1C8E">
              <w:rPr>
                <w:rFonts w:ascii="Tahoma" w:hAnsi="Tahoma" w:cs="Tahoma"/>
                <w:b w:val="0"/>
                <w:sz w:val="14"/>
              </w:rPr>
              <w:t>Complemento do Windows Intune para System Center Configuration Manager e</w:t>
            </w:r>
            <w:r w:rsidR="00133662" w:rsidRPr="000A1C8E">
              <w:rPr>
                <w:rFonts w:ascii="Tahoma" w:hAnsi="Tahoma" w:cs="Tahoma"/>
                <w:b w:val="0"/>
                <w:sz w:val="14"/>
              </w:rPr>
              <w:t> </w:t>
            </w:r>
            <w:r w:rsidRPr="000A1C8E">
              <w:rPr>
                <w:rFonts w:ascii="Tahoma" w:hAnsi="Tahoma" w:cs="Tahoma"/>
                <w:b w:val="0"/>
                <w:sz w:val="14"/>
              </w:rPr>
              <w:t>System Center Endppoint Protection (por</w:t>
            </w:r>
            <w:r w:rsidR="00133662" w:rsidRPr="000A1C8E">
              <w:rPr>
                <w:rFonts w:ascii="Tahoma" w:hAnsi="Tahoma" w:cs="Tahoma"/>
                <w:b w:val="0"/>
                <w:sz w:val="14"/>
              </w:rPr>
              <w:t> </w:t>
            </w:r>
            <w:r w:rsidRPr="000A1C8E">
              <w:rPr>
                <w:rFonts w:ascii="Tahoma" w:hAnsi="Tahoma" w:cs="Tahoma"/>
                <w:b w:val="0"/>
                <w:sz w:val="14"/>
              </w:rPr>
              <w:t>usuário)</w:t>
            </w:r>
            <w:bookmarkEnd w:id="524"/>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Fonts w:cs="Tahoma"/>
                <w:b/>
                <w:sz w:val="13"/>
                <w:szCs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12/12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25" w:name="_Toc361829225"/>
            <w:r w:rsidRPr="000A1C8E">
              <w:rPr>
                <w:rFonts w:ascii="Tahoma" w:hAnsi="Tahoma" w:cs="Tahoma"/>
                <w:b w:val="0"/>
                <w:sz w:val="14"/>
                <w:szCs w:val="14"/>
              </w:rPr>
              <w:t>Windows Intune (por usuário)</w:t>
            </w:r>
            <w:bookmarkEnd w:id="525"/>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Fonts w:cs="Tahoma"/>
                <w:b/>
                <w:sz w:val="13"/>
                <w:szCs w:val="13"/>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12/12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EOLS</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33662">
            <w:pPr>
              <w:pStyle w:val="Heading2"/>
              <w:spacing w:before="20" w:after="20"/>
              <w:ind w:left="0"/>
              <w:rPr>
                <w:rFonts w:ascii="Tahoma" w:hAnsi="Tahoma" w:cs="Tahoma"/>
                <w:b w:val="0"/>
                <w:sz w:val="14"/>
                <w:szCs w:val="14"/>
              </w:rPr>
            </w:pPr>
            <w:bookmarkStart w:id="526" w:name="_Toc336338132"/>
            <w:bookmarkStart w:id="527" w:name="_Toc341193035"/>
            <w:bookmarkStart w:id="528" w:name="_Toc361829226"/>
            <w:r w:rsidRPr="000A1C8E">
              <w:rPr>
                <w:rFonts w:ascii="Tahoma" w:hAnsi="Tahoma" w:cs="Tahoma"/>
                <w:b w:val="0"/>
                <w:sz w:val="14"/>
                <w:szCs w:val="14"/>
              </w:rPr>
              <w:t>Armazenamento Extra Complementar de 1</w:t>
            </w:r>
            <w:r w:rsidR="00133662" w:rsidRPr="000A1C8E">
              <w:rPr>
                <w:rFonts w:ascii="Tahoma" w:hAnsi="Tahoma" w:cs="Tahoma"/>
                <w:b w:val="0"/>
                <w:sz w:val="14"/>
                <w:szCs w:val="14"/>
              </w:rPr>
              <w:t> </w:t>
            </w:r>
            <w:r w:rsidRPr="000A1C8E">
              <w:rPr>
                <w:rFonts w:ascii="Tahoma" w:hAnsi="Tahoma" w:cs="Tahoma"/>
                <w:b w:val="0"/>
                <w:sz w:val="14"/>
                <w:szCs w:val="14"/>
              </w:rPr>
              <w:t>GB de SL de Usuário do Windows Intune</w:t>
            </w:r>
            <w:bookmarkEnd w:id="526"/>
            <w:bookmarkEnd w:id="527"/>
            <w:bookmarkEnd w:id="528"/>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Fonts w:cs="Tahoma"/>
                <w:b/>
                <w:sz w:val="13"/>
                <w:szCs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12/12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29" w:name="_Toc336338133"/>
            <w:bookmarkStart w:id="530" w:name="_Toc361829227"/>
            <w:r w:rsidRPr="000A1C8E">
              <w:rPr>
                <w:rFonts w:ascii="Tahoma" w:hAnsi="Tahoma" w:cs="Tahoma"/>
                <w:b w:val="0"/>
                <w:sz w:val="14"/>
                <w:szCs w:val="14"/>
              </w:rPr>
              <w:t>Windows MultiPoint Server 2012 Standard</w:t>
            </w:r>
            <w:bookmarkEnd w:id="529"/>
            <w:bookmarkEnd w:id="530"/>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Fonts w:cs="Tahoma"/>
                <w:b/>
                <w:sz w:val="13"/>
                <w:szCs w:val="13"/>
                <w:u w:val="single"/>
              </w:rPr>
            </w:pPr>
            <w:hyperlink w:anchor="_105_Windows_Multipoint" w:history="1">
              <w:r w:rsidR="003D47E7" w:rsidRPr="00DC1AC3">
                <w:rPr>
                  <w:rStyle w:val="Hyperlink"/>
                  <w:rFonts w:cs="Tahoma"/>
                  <w:b/>
                  <w:sz w:val="13"/>
                  <w:szCs w:val="13"/>
                </w:rPr>
                <w:t>106</w:t>
              </w:r>
            </w:hyperlink>
            <w:hyperlink w:anchor="_98_Windows_Multipoint" w:history="1"/>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12/12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31" w:name="_Toc336338134"/>
            <w:bookmarkStart w:id="532" w:name="_Toc361829228"/>
            <w:r w:rsidRPr="000A1C8E">
              <w:rPr>
                <w:rFonts w:ascii="Tahoma" w:hAnsi="Tahoma" w:cs="Tahoma"/>
                <w:b w:val="0"/>
                <w:sz w:val="14"/>
                <w:szCs w:val="14"/>
              </w:rPr>
              <w:t>Windows MultiPoint Server 2012 Premium</w:t>
            </w:r>
            <w:bookmarkEnd w:id="531"/>
            <w:bookmarkEnd w:id="532"/>
          </w:p>
        </w:tc>
        <w:tc>
          <w:tcPr>
            <w:tcW w:w="450" w:type="dxa"/>
            <w:tcBorders>
              <w:bottom w:val="single" w:sz="4" w:space="0" w:color="auto"/>
            </w:tcBorders>
            <w:shd w:val="clear" w:color="auto" w:fill="auto"/>
            <w:vAlign w:val="center"/>
          </w:tcPr>
          <w:p w:rsidR="001A63C6" w:rsidRPr="00DC1AC3" w:rsidRDefault="006C57E7" w:rsidP="00740B19">
            <w:pPr>
              <w:pStyle w:val="TableText"/>
              <w:widowControl w:val="0"/>
              <w:rPr>
                <w:rFonts w:cs="Tahoma"/>
                <w:b/>
                <w:sz w:val="13"/>
                <w:szCs w:val="13"/>
                <w:u w:val="single"/>
              </w:rPr>
            </w:pPr>
            <w:hyperlink w:anchor="_106_Windows_Multipoint" w:history="1">
              <w:r w:rsidR="003D47E7" w:rsidRPr="00140565">
                <w:rPr>
                  <w:rStyle w:val="Hyperlink"/>
                  <w:rFonts w:cs="Tahoma"/>
                  <w:b/>
                  <w:sz w:val="13"/>
                  <w:szCs w:val="13"/>
                </w:rPr>
                <w:t>107</w:t>
              </w:r>
            </w:hyperlink>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12/12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33" w:name="_Toc336338135"/>
            <w:bookmarkStart w:id="534" w:name="_Toc361829229"/>
            <w:r w:rsidRPr="000A1C8E">
              <w:rPr>
                <w:rFonts w:ascii="Tahoma" w:hAnsi="Tahoma" w:cs="Tahoma"/>
                <w:b w:val="0"/>
                <w:sz w:val="14"/>
                <w:szCs w:val="14"/>
              </w:rPr>
              <w:t>CAL do Windows MultiPoint Server 2012</w:t>
            </w:r>
            <w:bookmarkEnd w:id="533"/>
            <w:bookmarkEnd w:id="534"/>
          </w:p>
        </w:tc>
        <w:tc>
          <w:tcPr>
            <w:tcW w:w="450" w:type="dxa"/>
            <w:tcBorders>
              <w:bottom w:val="single" w:sz="4" w:space="0" w:color="auto"/>
            </w:tcBorders>
            <w:shd w:val="clear" w:color="auto" w:fill="FABF8F"/>
            <w:vAlign w:val="center"/>
          </w:tcPr>
          <w:p w:rsidR="001A63C6" w:rsidRPr="00DC1AC3" w:rsidRDefault="006C57E7" w:rsidP="00796355">
            <w:pPr>
              <w:pStyle w:val="TableText"/>
              <w:widowControl w:val="0"/>
              <w:rPr>
                <w:rFonts w:cs="Tahoma"/>
                <w:b/>
                <w:sz w:val="13"/>
                <w:szCs w:val="13"/>
                <w:u w:val="single"/>
              </w:rPr>
            </w:pPr>
            <w:hyperlink w:anchor="_108_CAL_do" w:history="1">
              <w:r w:rsidR="003D47E7" w:rsidRPr="00DC1AC3">
                <w:rPr>
                  <w:rStyle w:val="Hyperlink"/>
                  <w:rFonts w:cs="Tahoma"/>
                  <w:b/>
                  <w:sz w:val="13"/>
                  <w:szCs w:val="13"/>
                </w:rPr>
                <w:t>108</w:t>
              </w:r>
            </w:hyperlink>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12/12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35" w:name="_Toc336338136"/>
            <w:bookmarkStart w:id="536" w:name="_Toc361829230"/>
            <w:r w:rsidRPr="000A1C8E">
              <w:rPr>
                <w:rFonts w:ascii="Tahoma" w:hAnsi="Tahoma" w:cs="Tahoma"/>
                <w:b w:val="0"/>
                <w:sz w:val="14"/>
                <w:szCs w:val="14"/>
              </w:rPr>
              <w:t>CAL do Windows MultiPoint Server 2012 com CAL do Windows Server 2012</w:t>
            </w:r>
            <w:bookmarkEnd w:id="535"/>
            <w:bookmarkEnd w:id="536"/>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Fonts w:cs="Tahoma"/>
                <w:b/>
                <w:sz w:val="13"/>
                <w:szCs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12/12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37" w:name="_Toc336338137"/>
            <w:bookmarkStart w:id="538" w:name="_Toc361829231"/>
            <w:r w:rsidRPr="000A1C8E">
              <w:rPr>
                <w:rFonts w:ascii="Tahoma" w:hAnsi="Tahoma" w:cs="Tahoma"/>
                <w:b w:val="0"/>
                <w:sz w:val="14"/>
                <w:szCs w:val="14"/>
              </w:rPr>
              <w:t>Windows MultiPoint Server 2012 Premium com Windows MultiPoint Server 2012 (CAL) (5 Clientes)</w:t>
            </w:r>
            <w:bookmarkEnd w:id="537"/>
            <w:bookmarkEnd w:id="538"/>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Fonts w:cs="Tahoma"/>
                <w:b/>
                <w:sz w:val="13"/>
                <w:szCs w:val="13"/>
              </w:rPr>
            </w:pPr>
          </w:p>
        </w:tc>
        <w:tc>
          <w:tcPr>
            <w:tcW w:w="43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01/13</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63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39" w:name="_Toc336338138"/>
            <w:bookmarkStart w:id="540" w:name="_Toc361829232"/>
            <w:r w:rsidRPr="000A1C8E">
              <w:rPr>
                <w:rFonts w:ascii="Tahoma" w:hAnsi="Tahoma" w:cs="Tahoma"/>
                <w:b w:val="0"/>
                <w:sz w:val="14"/>
                <w:szCs w:val="14"/>
              </w:rPr>
              <w:t>Windows MultiPoint Server 2012 Premium com Windows MultiPoint Server 2012 (CAL) (5 Clientes) com CAL do Windows Server 2012 (5 Clientes)</w:t>
            </w:r>
            <w:bookmarkEnd w:id="539"/>
            <w:bookmarkEnd w:id="540"/>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Fonts w:cs="Tahoma"/>
                <w:b/>
                <w:sz w:val="13"/>
                <w:szCs w:val="13"/>
              </w:rPr>
            </w:pPr>
          </w:p>
        </w:tc>
        <w:tc>
          <w:tcPr>
            <w:tcW w:w="43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color w:val="000000"/>
                <w:sz w:val="13"/>
              </w:rPr>
              <w:t>01/13</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63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LO/OV</w:t>
            </w:r>
          </w:p>
        </w:tc>
      </w:tr>
      <w:tr w:rsidR="001933C6" w:rsidRPr="000A1C8E" w:rsidTr="00C16156">
        <w:trPr>
          <w:trHeight w:val="145"/>
          <w:jc w:val="center"/>
        </w:trPr>
        <w:tc>
          <w:tcPr>
            <w:tcW w:w="2734" w:type="dxa"/>
            <w:gridSpan w:val="2"/>
            <w:tcBorders>
              <w:bottom w:val="single" w:sz="4" w:space="0" w:color="auto"/>
            </w:tcBorders>
            <w:shd w:val="clear" w:color="auto" w:fill="FABF8F"/>
            <w:vAlign w:val="center"/>
          </w:tcPr>
          <w:p w:rsidR="001933C6" w:rsidRPr="000A1C8E" w:rsidRDefault="001933C6" w:rsidP="001A63C6">
            <w:pPr>
              <w:pStyle w:val="Heading2"/>
              <w:spacing w:before="20" w:after="20"/>
              <w:ind w:left="0"/>
              <w:rPr>
                <w:rFonts w:ascii="Tahoma" w:hAnsi="Tahoma" w:cs="Tahoma"/>
                <w:b w:val="0"/>
                <w:sz w:val="14"/>
                <w:szCs w:val="14"/>
              </w:rPr>
            </w:pPr>
            <w:bookmarkStart w:id="541" w:name="_Toc361829233"/>
            <w:r w:rsidRPr="000A1C8E">
              <w:rPr>
                <w:rFonts w:ascii="Tahoma" w:hAnsi="Tahoma" w:cs="Tahoma"/>
                <w:b w:val="0"/>
                <w:sz w:val="14"/>
                <w:szCs w:val="14"/>
              </w:rPr>
              <w:t>Windows Server™ 2008 R2 HPC Edition</w:t>
            </w:r>
            <w:bookmarkEnd w:id="541"/>
          </w:p>
        </w:tc>
        <w:tc>
          <w:tcPr>
            <w:tcW w:w="450" w:type="dxa"/>
            <w:tcBorders>
              <w:bottom w:val="single" w:sz="4" w:space="0" w:color="auto"/>
            </w:tcBorders>
            <w:shd w:val="clear" w:color="auto" w:fill="FABF8F"/>
            <w:vAlign w:val="center"/>
          </w:tcPr>
          <w:p w:rsidR="001933C6" w:rsidRPr="00DC1AC3" w:rsidRDefault="006C57E7" w:rsidP="00740B19">
            <w:pPr>
              <w:pStyle w:val="TableText"/>
              <w:widowControl w:val="0"/>
              <w:rPr>
                <w:rFonts w:cs="Tahoma"/>
              </w:rPr>
            </w:pPr>
            <w:hyperlink w:anchor="_108_Windows_Server" w:history="1">
              <w:r w:rsidR="003D47E7" w:rsidRPr="00140565">
                <w:rPr>
                  <w:rStyle w:val="Hyperlink"/>
                  <w:rFonts w:cs="Tahoma"/>
                  <w:b/>
                  <w:sz w:val="13"/>
                  <w:szCs w:val="13"/>
                </w:rPr>
                <w:t>109</w:t>
              </w:r>
            </w:hyperlink>
          </w:p>
        </w:tc>
        <w:tc>
          <w:tcPr>
            <w:tcW w:w="433" w:type="dxa"/>
            <w:tcBorders>
              <w:bottom w:val="single" w:sz="4" w:space="0" w:color="auto"/>
            </w:tcBorders>
            <w:shd w:val="clear" w:color="auto" w:fill="FABF8F"/>
            <w:vAlign w:val="center"/>
          </w:tcPr>
          <w:p w:rsidR="001933C6" w:rsidRPr="000A1C8E" w:rsidRDefault="001933C6" w:rsidP="001A63C6">
            <w:pPr>
              <w:pStyle w:val="TableText"/>
              <w:widowControl w:val="0"/>
              <w:spacing w:before="80"/>
              <w:rPr>
                <w:rFonts w:ascii="Tahoma" w:hAnsi="Tahoma" w:cs="Tahoma"/>
                <w:color w:val="000000"/>
                <w:sz w:val="13"/>
              </w:rPr>
            </w:pPr>
            <w:r w:rsidRPr="000A1C8E">
              <w:rPr>
                <w:rFonts w:ascii="Tahoma" w:hAnsi="Tahoma" w:cs="Tahoma"/>
                <w:sz w:val="13"/>
              </w:rPr>
              <w:t>09/10</w:t>
            </w:r>
          </w:p>
        </w:tc>
        <w:tc>
          <w:tcPr>
            <w:tcW w:w="377" w:type="dxa"/>
            <w:tcBorders>
              <w:bottom w:val="single" w:sz="4" w:space="0" w:color="auto"/>
              <w:right w:val="single" w:sz="18" w:space="0" w:color="auto"/>
            </w:tcBorders>
            <w:shd w:val="clear" w:color="auto" w:fill="FABF8F"/>
            <w:vAlign w:val="center"/>
          </w:tcPr>
          <w:p w:rsidR="001933C6" w:rsidRPr="000A1C8E" w:rsidRDefault="00193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933C6" w:rsidRPr="000A1C8E" w:rsidRDefault="00193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933C6" w:rsidRPr="000A1C8E" w:rsidRDefault="001933C6" w:rsidP="000037A1">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1933C6" w:rsidRPr="000A1C8E" w:rsidRDefault="00193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42" w:name="_Toc336338140"/>
            <w:bookmarkStart w:id="543" w:name="_Toc361829234"/>
            <w:r w:rsidRPr="000A1C8E">
              <w:rPr>
                <w:rFonts w:ascii="Tahoma" w:hAnsi="Tahoma" w:cs="Tahoma"/>
                <w:b w:val="0"/>
                <w:sz w:val="14"/>
                <w:szCs w:val="14"/>
              </w:rPr>
              <w:t>Windows Server™ 2008 R2 Enterprise</w:t>
            </w:r>
            <w:bookmarkEnd w:id="542"/>
            <w:bookmarkEnd w:id="543"/>
          </w:p>
        </w:tc>
        <w:tc>
          <w:tcPr>
            <w:tcW w:w="450" w:type="dxa"/>
            <w:tcBorders>
              <w:bottom w:val="single" w:sz="4" w:space="0" w:color="auto"/>
            </w:tcBorders>
            <w:shd w:val="clear" w:color="auto" w:fill="auto"/>
            <w:vAlign w:val="center"/>
          </w:tcPr>
          <w:p w:rsidR="001A63C6" w:rsidRPr="00DC1AC3" w:rsidRDefault="006C57E7" w:rsidP="00796355">
            <w:pPr>
              <w:pStyle w:val="TableText"/>
              <w:widowControl w:val="0"/>
              <w:rPr>
                <w:rStyle w:val="EndnoteReference"/>
                <w:rFonts w:cs="Tahoma"/>
                <w:b w:val="0"/>
                <w:color w:val="0000FF"/>
                <w:sz w:val="13"/>
                <w:szCs w:val="13"/>
                <w:u w:val="single"/>
              </w:rPr>
            </w:pPr>
            <w:hyperlink w:anchor="_109_Windows_Server" w:history="1">
              <w:r w:rsidR="003D47E7" w:rsidRPr="00DC1AC3">
                <w:rPr>
                  <w:rStyle w:val="Hyperlink"/>
                  <w:rFonts w:cs="Tahoma"/>
                  <w:b/>
                  <w:sz w:val="13"/>
                  <w:szCs w:val="13"/>
                </w:rPr>
                <w:t>110</w:t>
              </w:r>
            </w:hyperlink>
          </w:p>
        </w:tc>
        <w:tc>
          <w:tcPr>
            <w:tcW w:w="433" w:type="dxa"/>
            <w:tcBorders>
              <w:bottom w:val="single" w:sz="4" w:space="0" w:color="auto"/>
            </w:tcBorders>
            <w:shd w:val="clear" w:color="auto" w:fill="auto"/>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08/09</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44" w:name="_Toc336338141"/>
            <w:bookmarkStart w:id="545" w:name="_Toc361829235"/>
            <w:r w:rsidRPr="000A1C8E">
              <w:rPr>
                <w:rFonts w:ascii="Tahoma" w:hAnsi="Tahoma" w:cs="Tahoma"/>
                <w:b w:val="0"/>
                <w:sz w:val="14"/>
                <w:szCs w:val="14"/>
              </w:rPr>
              <w:lastRenderedPageBreak/>
              <w:t>Windows Server™ 2008 R2 Itanium Based Systems</w:t>
            </w:r>
            <w:bookmarkEnd w:id="544"/>
            <w:bookmarkEnd w:id="545"/>
          </w:p>
        </w:tc>
        <w:tc>
          <w:tcPr>
            <w:tcW w:w="450" w:type="dxa"/>
            <w:tcBorders>
              <w:bottom w:val="single" w:sz="4" w:space="0" w:color="auto"/>
            </w:tcBorders>
            <w:shd w:val="clear" w:color="auto" w:fill="FABF8F"/>
            <w:vAlign w:val="center"/>
          </w:tcPr>
          <w:p w:rsidR="001A63C6" w:rsidRPr="00DC1AC3" w:rsidRDefault="006C57E7" w:rsidP="00FC4741">
            <w:pPr>
              <w:pStyle w:val="TableText"/>
              <w:widowControl w:val="0"/>
              <w:rPr>
                <w:rStyle w:val="EndnoteReference"/>
                <w:rFonts w:cs="Tahoma"/>
                <w:b w:val="0"/>
                <w:sz w:val="13"/>
                <w:szCs w:val="13"/>
                <w:u w:val="single"/>
              </w:rPr>
            </w:pPr>
            <w:hyperlink w:anchor="_110_Windows_Server_1" w:history="1">
              <w:r w:rsidR="003D47E7" w:rsidRPr="00DC1AC3">
                <w:rPr>
                  <w:rStyle w:val="Hyperlink"/>
                  <w:rFonts w:cs="Tahoma"/>
                  <w:b/>
                  <w:sz w:val="13"/>
                  <w:szCs w:val="13"/>
                </w:rPr>
                <w:t>111</w:t>
              </w:r>
            </w:hyperlink>
          </w:p>
        </w:tc>
        <w:tc>
          <w:tcPr>
            <w:tcW w:w="433" w:type="dxa"/>
            <w:tcBorders>
              <w:bottom w:val="single" w:sz="4" w:space="0" w:color="auto"/>
            </w:tcBorders>
            <w:shd w:val="clear" w:color="auto" w:fill="FABF8F"/>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08/09</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46" w:name="_Toc336338142"/>
            <w:bookmarkStart w:id="547" w:name="_Toc361829236"/>
            <w:r w:rsidRPr="000A1C8E">
              <w:rPr>
                <w:rFonts w:ascii="Tahoma" w:hAnsi="Tahoma" w:cs="Tahoma"/>
                <w:b w:val="0"/>
                <w:sz w:val="14"/>
                <w:szCs w:val="14"/>
              </w:rPr>
              <w:t>CAL do Windows Server™ 2012 (Dispositivo e Usuário)</w:t>
            </w:r>
            <w:bookmarkEnd w:id="546"/>
            <w:bookmarkEnd w:id="547"/>
          </w:p>
        </w:tc>
        <w:tc>
          <w:tcPr>
            <w:tcW w:w="450" w:type="dxa"/>
            <w:tcBorders>
              <w:bottom w:val="single" w:sz="4" w:space="0" w:color="auto"/>
            </w:tcBorders>
            <w:shd w:val="clear" w:color="auto" w:fill="auto"/>
            <w:vAlign w:val="center"/>
          </w:tcPr>
          <w:p w:rsidR="001A63C6" w:rsidRPr="00DC1AC3" w:rsidRDefault="006C57E7" w:rsidP="00FC4741">
            <w:pPr>
              <w:pStyle w:val="TableText"/>
              <w:widowControl w:val="0"/>
              <w:rPr>
                <w:rFonts w:cs="Tahoma"/>
                <w:b/>
                <w:sz w:val="13"/>
                <w:szCs w:val="13"/>
                <w:u w:val="single"/>
              </w:rPr>
            </w:pPr>
            <w:hyperlink w:anchor="_116_Windows_Server" w:history="1">
              <w:r w:rsidR="003D47E7" w:rsidRPr="00DC1AC3">
                <w:rPr>
                  <w:rStyle w:val="Hyperlink"/>
                  <w:rFonts w:cs="Tahoma"/>
                  <w:b/>
                  <w:sz w:val="13"/>
                  <w:szCs w:val="13"/>
                </w:rPr>
                <w:t>112</w:t>
              </w:r>
            </w:hyperlink>
          </w:p>
        </w:tc>
        <w:tc>
          <w:tcPr>
            <w:tcW w:w="433" w:type="dxa"/>
            <w:tcBorders>
              <w:bottom w:val="single" w:sz="4" w:space="0" w:color="auto"/>
            </w:tcBorders>
            <w:shd w:val="clear" w:color="auto" w:fill="auto"/>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09/12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D</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r w:rsidR="0018646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48" w:name="_Toc336338143"/>
            <w:bookmarkStart w:id="549" w:name="_Toc361829237"/>
            <w:r w:rsidRPr="000A1C8E">
              <w:rPr>
                <w:rFonts w:ascii="Tahoma" w:hAnsi="Tahoma" w:cs="Tahoma"/>
                <w:b w:val="0"/>
                <w:sz w:val="14"/>
                <w:szCs w:val="14"/>
              </w:rPr>
              <w:t>Windows Server™ 2012 Datacenter</w:t>
            </w:r>
            <w:bookmarkEnd w:id="548"/>
            <w:bookmarkEnd w:id="549"/>
          </w:p>
        </w:tc>
        <w:tc>
          <w:tcPr>
            <w:tcW w:w="450" w:type="dxa"/>
            <w:tcBorders>
              <w:bottom w:val="single" w:sz="4" w:space="0" w:color="auto"/>
            </w:tcBorders>
            <w:shd w:val="clear" w:color="auto" w:fill="FABF8F"/>
            <w:vAlign w:val="center"/>
          </w:tcPr>
          <w:p w:rsidR="001A63C6" w:rsidRPr="00DC1AC3" w:rsidRDefault="006C57E7" w:rsidP="00FC4741">
            <w:pPr>
              <w:pStyle w:val="TableText"/>
              <w:widowControl w:val="0"/>
              <w:rPr>
                <w:rStyle w:val="EndnoteReference"/>
                <w:rFonts w:cs="Tahoma"/>
                <w:b w:val="0"/>
                <w:color w:val="0070C0"/>
                <w:sz w:val="13"/>
                <w:szCs w:val="13"/>
                <w:u w:val="single"/>
              </w:rPr>
            </w:pPr>
            <w:hyperlink w:anchor="_114_Windows_Server" w:history="1">
              <w:r w:rsidR="003D47E7" w:rsidRPr="00DC1AC3">
                <w:rPr>
                  <w:rStyle w:val="Hyperlink"/>
                  <w:rFonts w:cs="Tahoma"/>
                  <w:b/>
                  <w:sz w:val="13"/>
                  <w:szCs w:val="13"/>
                </w:rPr>
                <w:t>113</w:t>
              </w:r>
            </w:hyperlink>
          </w:p>
        </w:tc>
        <w:tc>
          <w:tcPr>
            <w:tcW w:w="433" w:type="dxa"/>
            <w:tcBorders>
              <w:bottom w:val="single" w:sz="4" w:space="0" w:color="auto"/>
            </w:tcBorders>
            <w:shd w:val="clear" w:color="auto" w:fill="FABF8F"/>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08/12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50" w:name="_Toc336338144"/>
            <w:bookmarkStart w:id="551" w:name="_Toc361829238"/>
            <w:r w:rsidRPr="000A1C8E">
              <w:rPr>
                <w:rFonts w:ascii="Tahoma" w:hAnsi="Tahoma" w:cs="Tahoma"/>
                <w:b w:val="0"/>
                <w:sz w:val="14"/>
                <w:szCs w:val="14"/>
              </w:rPr>
              <w:t>Windows Server™ 2012 Standard</w:t>
            </w:r>
            <w:bookmarkEnd w:id="550"/>
            <w:bookmarkEnd w:id="551"/>
          </w:p>
        </w:tc>
        <w:tc>
          <w:tcPr>
            <w:tcW w:w="450" w:type="dxa"/>
            <w:tcBorders>
              <w:bottom w:val="single" w:sz="4" w:space="0" w:color="auto"/>
            </w:tcBorders>
            <w:shd w:val="clear" w:color="auto" w:fill="auto"/>
            <w:vAlign w:val="center"/>
          </w:tcPr>
          <w:p w:rsidR="001A63C6" w:rsidRPr="00DC1AC3" w:rsidRDefault="006C57E7" w:rsidP="00A9151E">
            <w:pPr>
              <w:pStyle w:val="TableText"/>
              <w:widowControl w:val="0"/>
              <w:rPr>
                <w:rStyle w:val="EndnoteReference"/>
                <w:rFonts w:cs="Tahoma"/>
                <w:b w:val="0"/>
                <w:color w:val="0070C0"/>
                <w:sz w:val="13"/>
                <w:szCs w:val="13"/>
                <w:u w:val="single"/>
                <w:vertAlign w:val="baseline"/>
              </w:rPr>
            </w:pPr>
            <w:hyperlink w:anchor="_118_Windows_Server" w:history="1">
              <w:r w:rsidR="003D47E7" w:rsidRPr="00DC1AC3">
                <w:rPr>
                  <w:rStyle w:val="Hyperlink"/>
                  <w:rFonts w:cs="Tahoma"/>
                  <w:b/>
                  <w:sz w:val="13"/>
                  <w:szCs w:val="13"/>
                </w:rPr>
                <w:t>114</w:t>
              </w:r>
            </w:hyperlink>
          </w:p>
        </w:tc>
        <w:tc>
          <w:tcPr>
            <w:tcW w:w="433" w:type="dxa"/>
            <w:tcBorders>
              <w:bottom w:val="single" w:sz="4" w:space="0" w:color="auto"/>
            </w:tcBorders>
            <w:shd w:val="clear" w:color="auto" w:fill="auto"/>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08/12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30</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145"/>
          <w:jc w:val="center"/>
        </w:trPr>
        <w:tc>
          <w:tcPr>
            <w:tcW w:w="2734" w:type="dxa"/>
            <w:gridSpan w:val="2"/>
            <w:tcBorders>
              <w:bottom w:val="single" w:sz="4" w:space="0" w:color="auto"/>
            </w:tcBorders>
            <w:shd w:val="clear" w:color="auto" w:fill="FABF8F"/>
            <w:vAlign w:val="center"/>
          </w:tcPr>
          <w:p w:rsidR="001A63C6" w:rsidRPr="000A1C8E" w:rsidRDefault="001A63C6" w:rsidP="001A63C6">
            <w:pPr>
              <w:pStyle w:val="Heading2"/>
              <w:spacing w:before="20" w:after="20"/>
              <w:ind w:left="0"/>
              <w:rPr>
                <w:rFonts w:ascii="Tahoma" w:hAnsi="Tahoma" w:cs="Tahoma"/>
                <w:b w:val="0"/>
                <w:sz w:val="14"/>
                <w:szCs w:val="14"/>
              </w:rPr>
            </w:pPr>
            <w:bookmarkStart w:id="552" w:name="_Toc336338145"/>
            <w:bookmarkStart w:id="553" w:name="_Toc361829239"/>
            <w:r w:rsidRPr="000A1C8E">
              <w:rPr>
                <w:rFonts w:ascii="Tahoma" w:hAnsi="Tahoma" w:cs="Tahoma"/>
                <w:b w:val="0"/>
                <w:sz w:val="14"/>
                <w:szCs w:val="14"/>
              </w:rPr>
              <w:t>External Connector do Windows Server™</w:t>
            </w:r>
            <w:bookmarkEnd w:id="552"/>
            <w:bookmarkEnd w:id="553"/>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FABF8F"/>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09/12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63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54" w:name="_Toc336338146"/>
            <w:bookmarkStart w:id="555" w:name="_Toc361829240"/>
            <w:r w:rsidRPr="000A1C8E">
              <w:rPr>
                <w:rFonts w:ascii="Tahoma" w:hAnsi="Tahoma" w:cs="Tahoma"/>
                <w:b w:val="0"/>
                <w:sz w:val="14"/>
                <w:szCs w:val="14"/>
              </w:rPr>
              <w:t>CAL de Serviços de Área de Trabalho Remota do Windows Server™ 2012</w:t>
            </w:r>
            <w:bookmarkEnd w:id="554"/>
            <w:bookmarkEnd w:id="555"/>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auto"/>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09/12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 D</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r w:rsidR="0018646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431"/>
          <w:jc w:val="center"/>
        </w:trPr>
        <w:tc>
          <w:tcPr>
            <w:tcW w:w="2734" w:type="dxa"/>
            <w:gridSpan w:val="2"/>
            <w:tcBorders>
              <w:bottom w:val="single" w:sz="4" w:space="0" w:color="auto"/>
            </w:tcBorders>
            <w:shd w:val="clear" w:color="auto" w:fill="FABF8F"/>
            <w:vAlign w:val="center"/>
          </w:tcPr>
          <w:p w:rsidR="001A63C6" w:rsidRPr="000A1C8E" w:rsidRDefault="001A63C6" w:rsidP="00186460">
            <w:pPr>
              <w:pStyle w:val="Heading2"/>
              <w:spacing w:before="20" w:after="20"/>
              <w:ind w:left="0"/>
              <w:rPr>
                <w:rFonts w:ascii="Tahoma" w:hAnsi="Tahoma" w:cs="Tahoma"/>
                <w:b w:val="0"/>
                <w:sz w:val="14"/>
                <w:szCs w:val="14"/>
              </w:rPr>
            </w:pPr>
            <w:bookmarkStart w:id="556" w:name="_Toc336338147"/>
            <w:bookmarkStart w:id="557" w:name="_Toc361829241"/>
            <w:r w:rsidRPr="000A1C8E">
              <w:rPr>
                <w:rFonts w:ascii="Tahoma" w:hAnsi="Tahoma" w:cs="Tahoma"/>
                <w:b w:val="0"/>
                <w:sz w:val="14"/>
                <w:szCs w:val="14"/>
              </w:rPr>
              <w:t>External Connector dos Serviços de Área</w:t>
            </w:r>
            <w:r w:rsidR="00186460" w:rsidRPr="000A1C8E">
              <w:rPr>
                <w:rFonts w:ascii="Tahoma" w:hAnsi="Tahoma" w:cs="Tahoma"/>
                <w:b w:val="0"/>
                <w:sz w:val="14"/>
                <w:szCs w:val="14"/>
              </w:rPr>
              <w:t> </w:t>
            </w:r>
            <w:r w:rsidRPr="000A1C8E">
              <w:rPr>
                <w:rFonts w:ascii="Tahoma" w:hAnsi="Tahoma" w:cs="Tahoma"/>
                <w:b w:val="0"/>
                <w:sz w:val="14"/>
                <w:szCs w:val="14"/>
              </w:rPr>
              <w:t>de Trabalho Remota do Windows Server™ 2012</w:t>
            </w:r>
            <w:bookmarkEnd w:id="556"/>
            <w:bookmarkEnd w:id="557"/>
          </w:p>
        </w:tc>
        <w:tc>
          <w:tcPr>
            <w:tcW w:w="450" w:type="dxa"/>
            <w:tcBorders>
              <w:bottom w:val="single" w:sz="4" w:space="0" w:color="auto"/>
            </w:tcBorders>
            <w:shd w:val="clear" w:color="auto" w:fill="FABF8F"/>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FABF8F"/>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09/12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188</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150</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113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113</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450"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369" w:type="dxa"/>
            <w:tcBorders>
              <w:left w:val="single" w:sz="18" w:space="0" w:color="auto"/>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75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LO/OV</w:t>
            </w:r>
          </w:p>
        </w:tc>
      </w:tr>
      <w:tr w:rsidR="00B33D0E" w:rsidRPr="000A1C8E" w:rsidTr="00C16156">
        <w:trPr>
          <w:trHeight w:val="145"/>
          <w:jc w:val="center"/>
        </w:trPr>
        <w:tc>
          <w:tcPr>
            <w:tcW w:w="2734" w:type="dxa"/>
            <w:gridSpan w:val="2"/>
            <w:tcBorders>
              <w:bottom w:val="single" w:sz="4" w:space="0" w:color="auto"/>
            </w:tcBorders>
            <w:shd w:val="clear" w:color="auto" w:fill="auto"/>
            <w:vAlign w:val="center"/>
          </w:tcPr>
          <w:p w:rsidR="001A63C6" w:rsidRPr="000A1C8E" w:rsidRDefault="001A63C6" w:rsidP="001A63C6">
            <w:pPr>
              <w:pStyle w:val="Heading2"/>
              <w:spacing w:before="20" w:after="20"/>
              <w:ind w:left="0"/>
              <w:rPr>
                <w:rFonts w:ascii="Tahoma" w:hAnsi="Tahoma" w:cs="Tahoma"/>
                <w:b w:val="0"/>
                <w:sz w:val="14"/>
                <w:szCs w:val="14"/>
              </w:rPr>
            </w:pPr>
            <w:bookmarkStart w:id="558" w:name="_Toc336338148"/>
            <w:bookmarkStart w:id="559" w:name="_Toc361829242"/>
            <w:r w:rsidRPr="000A1C8E">
              <w:rPr>
                <w:rFonts w:ascii="Tahoma" w:hAnsi="Tahoma" w:cs="Tahoma"/>
                <w:b w:val="0"/>
                <w:sz w:val="14"/>
                <w:szCs w:val="14"/>
              </w:rPr>
              <w:t>CAL dos Serviços de Gerenciamento de Direitos do Active Directory do Windows Server™ 2012</w:t>
            </w:r>
            <w:bookmarkEnd w:id="558"/>
            <w:bookmarkEnd w:id="559"/>
          </w:p>
        </w:tc>
        <w:tc>
          <w:tcPr>
            <w:tcW w:w="450" w:type="dxa"/>
            <w:tcBorders>
              <w:bottom w:val="single" w:sz="4" w:space="0" w:color="auto"/>
            </w:tcBorders>
            <w:shd w:val="clear" w:color="auto" w:fill="auto"/>
            <w:vAlign w:val="center"/>
          </w:tcPr>
          <w:p w:rsidR="001A63C6" w:rsidRPr="00DC1AC3" w:rsidRDefault="001A63C6" w:rsidP="001A63C6">
            <w:pPr>
              <w:pStyle w:val="TableText"/>
              <w:widowControl w:val="0"/>
              <w:rPr>
                <w:rStyle w:val="EndnoteReference"/>
                <w:rFonts w:cs="Tahoma"/>
                <w:sz w:val="13"/>
                <w:szCs w:val="13"/>
                <w:u w:val="single"/>
              </w:rPr>
            </w:pPr>
          </w:p>
        </w:tc>
        <w:tc>
          <w:tcPr>
            <w:tcW w:w="433" w:type="dxa"/>
            <w:tcBorders>
              <w:bottom w:val="single" w:sz="4" w:space="0" w:color="auto"/>
            </w:tcBorders>
            <w:shd w:val="clear" w:color="auto" w:fill="auto"/>
            <w:vAlign w:val="center"/>
          </w:tcPr>
          <w:p w:rsidR="001A63C6" w:rsidRPr="000A1C8E" w:rsidRDefault="001A63C6" w:rsidP="00C16156">
            <w:pPr>
              <w:pStyle w:val="TableText"/>
              <w:widowControl w:val="0"/>
              <w:rPr>
                <w:rFonts w:ascii="Tahoma" w:hAnsi="Tahoma" w:cs="Tahoma"/>
                <w:color w:val="000000"/>
                <w:sz w:val="13"/>
              </w:rPr>
            </w:pPr>
            <w:r w:rsidRPr="000A1C8E">
              <w:rPr>
                <w:rFonts w:ascii="Tahoma" w:hAnsi="Tahoma" w:cs="Tahoma"/>
                <w:color w:val="000000"/>
                <w:sz w:val="13"/>
              </w:rPr>
              <w:t>09/12</w:t>
            </w:r>
          </w:p>
        </w:tc>
        <w:tc>
          <w:tcPr>
            <w:tcW w:w="377"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3</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auto"/>
            <w:vAlign w:val="center"/>
          </w:tcPr>
          <w:p w:rsidR="001A63C6" w:rsidRPr="000A1C8E" w:rsidRDefault="001A63C6" w:rsidP="001A63C6">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1A63C6" w:rsidRPr="000A1C8E" w:rsidRDefault="001A63C6" w:rsidP="000037A1">
            <w:pPr>
              <w:pStyle w:val="TableText"/>
              <w:widowControl w:val="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auto"/>
            <w:vAlign w:val="center"/>
          </w:tcPr>
          <w:p w:rsidR="001A63C6" w:rsidRPr="000A1C8E" w:rsidRDefault="001A63C6" w:rsidP="001A63C6">
            <w:pPr>
              <w:pStyle w:val="TableText"/>
              <w:widowControl w:val="0"/>
              <w:rPr>
                <w:rFonts w:ascii="Tahoma" w:hAnsi="Tahoma" w:cs="Tahoma"/>
                <w:color w:val="000000"/>
                <w:sz w:val="13"/>
              </w:rPr>
            </w:pPr>
          </w:p>
        </w:tc>
      </w:tr>
      <w:tr w:rsidR="001A63C6" w:rsidRPr="000A1C8E" w:rsidTr="00C16156">
        <w:trPr>
          <w:trHeight w:val="467"/>
          <w:jc w:val="center"/>
        </w:trPr>
        <w:tc>
          <w:tcPr>
            <w:tcW w:w="2734" w:type="dxa"/>
            <w:gridSpan w:val="2"/>
            <w:tcBorders>
              <w:bottom w:val="single" w:sz="4" w:space="0" w:color="auto"/>
            </w:tcBorders>
            <w:shd w:val="clear" w:color="auto" w:fill="FABF8F"/>
            <w:vAlign w:val="center"/>
          </w:tcPr>
          <w:p w:rsidR="001A63C6" w:rsidRPr="000A1C8E" w:rsidRDefault="001A63C6" w:rsidP="007E466C">
            <w:pPr>
              <w:pStyle w:val="Heading2"/>
              <w:keepNext/>
              <w:keepLines/>
              <w:spacing w:before="20" w:after="20"/>
              <w:ind w:left="0"/>
              <w:rPr>
                <w:rFonts w:ascii="Tahoma" w:hAnsi="Tahoma" w:cs="Tahoma"/>
                <w:b w:val="0"/>
                <w:sz w:val="14"/>
                <w:szCs w:val="14"/>
              </w:rPr>
            </w:pPr>
            <w:bookmarkStart w:id="560" w:name="_Toc336338149"/>
            <w:bookmarkStart w:id="561" w:name="_Toc361829243"/>
            <w:r w:rsidRPr="000A1C8E">
              <w:rPr>
                <w:rFonts w:ascii="Tahoma" w:hAnsi="Tahoma" w:cs="Tahoma"/>
                <w:b w:val="0"/>
                <w:sz w:val="14"/>
                <w:szCs w:val="14"/>
              </w:rPr>
              <w:t>External Connector dos Serviços de Gerenciamento de Direitos do Active Directory do Windows Server™</w:t>
            </w:r>
            <w:bookmarkEnd w:id="560"/>
            <w:bookmarkEnd w:id="561"/>
          </w:p>
        </w:tc>
        <w:tc>
          <w:tcPr>
            <w:tcW w:w="450" w:type="dxa"/>
            <w:tcBorders>
              <w:bottom w:val="single" w:sz="4" w:space="0" w:color="auto"/>
            </w:tcBorders>
            <w:shd w:val="clear" w:color="auto" w:fill="FABF8F"/>
            <w:vAlign w:val="center"/>
          </w:tcPr>
          <w:p w:rsidR="001A63C6" w:rsidRPr="00DC1AC3" w:rsidRDefault="001A63C6" w:rsidP="007E466C">
            <w:pPr>
              <w:pStyle w:val="TableText"/>
              <w:keepNext/>
              <w:keepLines/>
              <w:widowControl w:val="0"/>
              <w:rPr>
                <w:rStyle w:val="EndnoteReference"/>
                <w:rFonts w:cs="Tahoma"/>
                <w:sz w:val="13"/>
                <w:szCs w:val="13"/>
                <w:u w:val="single"/>
              </w:rPr>
            </w:pPr>
          </w:p>
        </w:tc>
        <w:tc>
          <w:tcPr>
            <w:tcW w:w="433" w:type="dxa"/>
            <w:tcBorders>
              <w:bottom w:val="single" w:sz="4" w:space="0" w:color="auto"/>
            </w:tcBorders>
            <w:shd w:val="clear" w:color="auto" w:fill="FABF8F"/>
            <w:vAlign w:val="center"/>
          </w:tcPr>
          <w:p w:rsidR="001A63C6" w:rsidRPr="000A1C8E" w:rsidRDefault="001A63C6" w:rsidP="00C16156">
            <w:pPr>
              <w:pStyle w:val="TableText"/>
              <w:keepNext/>
              <w:keepLines/>
              <w:widowControl w:val="0"/>
              <w:rPr>
                <w:rFonts w:ascii="Tahoma" w:hAnsi="Tahoma" w:cs="Tahoma"/>
                <w:color w:val="000000"/>
                <w:sz w:val="13"/>
              </w:rPr>
            </w:pPr>
            <w:r w:rsidRPr="000A1C8E">
              <w:rPr>
                <w:rFonts w:ascii="Tahoma" w:hAnsi="Tahoma" w:cs="Tahoma"/>
                <w:color w:val="000000"/>
                <w:sz w:val="13"/>
              </w:rPr>
              <w:t>09/12</w:t>
            </w:r>
          </w:p>
        </w:tc>
        <w:tc>
          <w:tcPr>
            <w:tcW w:w="377" w:type="dxa"/>
            <w:tcBorders>
              <w:bottom w:val="single" w:sz="4" w:space="0" w:color="auto"/>
              <w:right w:val="single" w:sz="18"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313</w:t>
            </w:r>
          </w:p>
        </w:tc>
        <w:tc>
          <w:tcPr>
            <w:tcW w:w="450" w:type="dxa"/>
            <w:tcBorders>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250</w:t>
            </w:r>
          </w:p>
        </w:tc>
        <w:tc>
          <w:tcPr>
            <w:tcW w:w="450" w:type="dxa"/>
            <w:tcBorders>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188</w:t>
            </w:r>
          </w:p>
        </w:tc>
        <w:tc>
          <w:tcPr>
            <w:tcW w:w="450" w:type="dxa"/>
            <w:tcBorders>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188</w:t>
            </w:r>
          </w:p>
        </w:tc>
        <w:tc>
          <w:tcPr>
            <w:tcW w:w="450" w:type="dxa"/>
            <w:tcBorders>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125</w:t>
            </w:r>
          </w:p>
        </w:tc>
        <w:tc>
          <w:tcPr>
            <w:tcW w:w="450" w:type="dxa"/>
            <w:tcBorders>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125</w:t>
            </w:r>
          </w:p>
        </w:tc>
        <w:tc>
          <w:tcPr>
            <w:tcW w:w="369" w:type="dxa"/>
            <w:tcBorders>
              <w:left w:val="single" w:sz="18" w:space="0" w:color="auto"/>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125</w:t>
            </w:r>
          </w:p>
        </w:tc>
        <w:tc>
          <w:tcPr>
            <w:tcW w:w="396" w:type="dxa"/>
            <w:tcBorders>
              <w:bottom w:val="single" w:sz="4" w:space="0" w:color="auto"/>
              <w:right w:val="single" w:sz="18"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A</w:t>
            </w:r>
          </w:p>
        </w:tc>
        <w:tc>
          <w:tcPr>
            <w:tcW w:w="396" w:type="dxa"/>
            <w:tcBorders>
              <w:left w:val="single" w:sz="18" w:space="0" w:color="auto"/>
              <w:bottom w:val="single" w:sz="4" w:space="0" w:color="auto"/>
              <w:right w:val="single" w:sz="18"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1A63C6" w:rsidRPr="000A1C8E" w:rsidRDefault="001A63C6" w:rsidP="000037A1">
            <w:pPr>
              <w:pStyle w:val="TableText"/>
              <w:keepNext/>
              <w:keepLines/>
              <w:widowControl w:val="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FABF8F"/>
            <w:vAlign w:val="center"/>
          </w:tcPr>
          <w:p w:rsidR="001A63C6" w:rsidRPr="000A1C8E" w:rsidRDefault="001A63C6" w:rsidP="007E466C">
            <w:pPr>
              <w:pStyle w:val="TableText"/>
              <w:keepNext/>
              <w:keepLines/>
              <w:widowControl w:val="0"/>
              <w:rPr>
                <w:rFonts w:ascii="Tahoma" w:hAnsi="Tahoma" w:cs="Tahoma"/>
                <w:color w:val="000000"/>
                <w:sz w:val="13"/>
              </w:rPr>
            </w:pPr>
            <w:r w:rsidRPr="000A1C8E">
              <w:rPr>
                <w:rFonts w:ascii="Tahoma" w:hAnsi="Tahoma" w:cs="Tahoma"/>
                <w:color w:val="000000"/>
                <w:sz w:val="13"/>
              </w:rPr>
              <w:t>LO/OV</w:t>
            </w:r>
          </w:p>
        </w:tc>
      </w:tr>
      <w:tr w:rsidR="00A5643F" w:rsidRPr="000A1C8E" w:rsidTr="00C16156">
        <w:trPr>
          <w:gridBefore w:val="1"/>
          <w:wBefore w:w="20" w:type="dxa"/>
          <w:trHeight w:val="145"/>
          <w:jc w:val="center"/>
        </w:trPr>
        <w:tc>
          <w:tcPr>
            <w:tcW w:w="2714" w:type="dxa"/>
            <w:tcBorders>
              <w:bottom w:val="single" w:sz="4" w:space="0" w:color="auto"/>
            </w:tcBorders>
            <w:shd w:val="clear" w:color="auto" w:fill="auto"/>
            <w:vAlign w:val="center"/>
          </w:tcPr>
          <w:p w:rsidR="00A5643F" w:rsidRPr="000A1C8E" w:rsidRDefault="00A5643F" w:rsidP="007E466C">
            <w:pPr>
              <w:pStyle w:val="Heading2"/>
              <w:keepNext/>
              <w:keepLines/>
              <w:spacing w:before="20" w:after="20"/>
              <w:ind w:left="0"/>
              <w:rPr>
                <w:rFonts w:ascii="Tahoma" w:hAnsi="Tahoma" w:cs="Tahoma"/>
                <w:b w:val="0"/>
                <w:sz w:val="14"/>
                <w:szCs w:val="14"/>
              </w:rPr>
            </w:pPr>
            <w:bookmarkStart w:id="562" w:name="_Toc361829244"/>
            <w:r w:rsidRPr="000A1C8E">
              <w:rPr>
                <w:rFonts w:ascii="Tahoma" w:hAnsi="Tahoma" w:cs="Tahoma"/>
                <w:b w:val="0"/>
                <w:sz w:val="14"/>
                <w:szCs w:val="14"/>
              </w:rPr>
              <w:t>Windows Small Business Server 2008 Premium</w:t>
            </w:r>
            <w:bookmarkEnd w:id="562"/>
            <w:r w:rsidRPr="000A1C8E">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DC1AC3" w:rsidRDefault="006C57E7" w:rsidP="00A9151E">
            <w:pPr>
              <w:pStyle w:val="TableText"/>
              <w:keepNext/>
              <w:keepLines/>
              <w:widowControl w:val="0"/>
              <w:rPr>
                <w:rFonts w:cs="Tahoma"/>
                <w:b/>
                <w:sz w:val="13"/>
                <w:szCs w:val="13"/>
                <w:u w:val="single"/>
              </w:rPr>
            </w:pPr>
            <w:hyperlink w:anchor="_112_Windows_Small_1" w:history="1">
              <w:r w:rsidR="003D47E7" w:rsidRPr="00DC1AC3">
                <w:rPr>
                  <w:rStyle w:val="Hyperlink"/>
                  <w:rFonts w:cs="Tahoma"/>
                  <w:b/>
                  <w:sz w:val="13"/>
                  <w:szCs w:val="13"/>
                </w:rPr>
                <w:t>116</w:t>
              </w:r>
            </w:hyperlink>
            <w:hyperlink w:anchor="_111_Windows_Web" w:history="1"/>
            <w:hyperlink w:anchor="Srv_116WinSmallBizSVR2011Addon" w:history="1"/>
          </w:p>
        </w:tc>
        <w:tc>
          <w:tcPr>
            <w:tcW w:w="433" w:type="dxa"/>
            <w:tcBorders>
              <w:bottom w:val="single" w:sz="4" w:space="0" w:color="auto"/>
            </w:tcBorders>
            <w:shd w:val="clear" w:color="auto" w:fill="auto"/>
            <w:vAlign w:val="center"/>
          </w:tcPr>
          <w:p w:rsidR="00A5643F" w:rsidRPr="000A1C8E" w:rsidRDefault="00A5643F" w:rsidP="00C16156">
            <w:pPr>
              <w:pStyle w:val="TableText"/>
              <w:keepNext/>
              <w:keepLines/>
              <w:widowControl w:val="0"/>
              <w:rPr>
                <w:rFonts w:ascii="Tahoma" w:hAnsi="Tahoma" w:cs="Tahoma"/>
                <w:sz w:val="13"/>
              </w:rPr>
            </w:pPr>
            <w:r w:rsidRPr="000A1C8E">
              <w:rPr>
                <w:rFonts w:ascii="Tahoma" w:hAnsi="Tahoma" w:cs="Tahoma"/>
                <w:sz w:val="13"/>
              </w:rPr>
              <w:t>10/08</w:t>
            </w:r>
          </w:p>
        </w:tc>
        <w:tc>
          <w:tcPr>
            <w:tcW w:w="377" w:type="dxa"/>
            <w:tcBorders>
              <w:bottom w:val="single" w:sz="4" w:space="0" w:color="auto"/>
              <w:right w:val="single" w:sz="18"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A1C8E"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c>
          <w:tcPr>
            <w:tcW w:w="693" w:type="dxa"/>
            <w:tcBorders>
              <w:bottom w:val="single" w:sz="4" w:space="0" w:color="auto"/>
            </w:tcBorders>
            <w:shd w:val="clear" w:color="auto" w:fill="auto"/>
            <w:vAlign w:val="center"/>
          </w:tcPr>
          <w:p w:rsidR="00A5643F" w:rsidRPr="000A1C8E" w:rsidRDefault="00A5643F" w:rsidP="000037A1">
            <w:pPr>
              <w:pStyle w:val="TableText"/>
              <w:keepNext/>
              <w:keepLines/>
              <w:widowControl w:val="0"/>
              <w:rPr>
                <w:rFonts w:ascii="Tahoma" w:hAnsi="Tahoma" w:cs="Tahoma"/>
                <w:sz w:val="13"/>
              </w:rPr>
            </w:pPr>
          </w:p>
        </w:tc>
        <w:tc>
          <w:tcPr>
            <w:tcW w:w="486" w:type="dxa"/>
            <w:tcBorders>
              <w:bottom w:val="single" w:sz="4" w:space="0" w:color="auto"/>
            </w:tcBorders>
            <w:shd w:val="clear" w:color="auto" w:fill="auto"/>
            <w:vAlign w:val="center"/>
          </w:tcPr>
          <w:p w:rsidR="00A5643F" w:rsidRPr="000A1C8E" w:rsidRDefault="00A5643F" w:rsidP="007E466C">
            <w:pPr>
              <w:pStyle w:val="TableText"/>
              <w:keepNext/>
              <w:keepLines/>
              <w:widowControl w:val="0"/>
              <w:rPr>
                <w:rFonts w:ascii="Tahoma" w:hAnsi="Tahoma" w:cs="Tahoma"/>
                <w:sz w:val="13"/>
              </w:rPr>
            </w:pPr>
          </w:p>
        </w:tc>
      </w:tr>
      <w:tr w:rsidR="00F76ED4" w:rsidRPr="000A1C8E" w:rsidTr="00C16156">
        <w:trPr>
          <w:gridBefore w:val="1"/>
          <w:wBefore w:w="20" w:type="dxa"/>
          <w:trHeight w:val="145"/>
          <w:jc w:val="center"/>
        </w:trPr>
        <w:tc>
          <w:tcPr>
            <w:tcW w:w="2714" w:type="dxa"/>
            <w:tcBorders>
              <w:bottom w:val="single" w:sz="4" w:space="0" w:color="auto"/>
            </w:tcBorders>
            <w:shd w:val="clear" w:color="auto" w:fill="FABF8F"/>
            <w:vAlign w:val="center"/>
          </w:tcPr>
          <w:p w:rsidR="00A5643F" w:rsidRPr="000A1C8E" w:rsidRDefault="00A5643F" w:rsidP="002E5D03">
            <w:pPr>
              <w:pStyle w:val="Heading2"/>
              <w:spacing w:before="20" w:after="20"/>
              <w:ind w:left="0"/>
              <w:rPr>
                <w:rFonts w:ascii="Tahoma" w:hAnsi="Tahoma" w:cs="Tahoma"/>
                <w:b w:val="0"/>
                <w:sz w:val="14"/>
                <w:szCs w:val="14"/>
              </w:rPr>
            </w:pPr>
            <w:bookmarkStart w:id="563" w:name="_Toc336338158"/>
            <w:bookmarkStart w:id="564" w:name="_Toc361829245"/>
            <w:r w:rsidRPr="000A1C8E">
              <w:rPr>
                <w:rFonts w:ascii="Tahoma" w:hAnsi="Tahoma" w:cs="Tahoma"/>
                <w:b w:val="0"/>
                <w:sz w:val="14"/>
                <w:szCs w:val="14"/>
              </w:rPr>
              <w:t>Windows Small Business Server 2011 CAL Suite (1 cliente)</w:t>
            </w:r>
            <w:bookmarkEnd w:id="563"/>
            <w:bookmarkEnd w:id="564"/>
          </w:p>
        </w:tc>
        <w:tc>
          <w:tcPr>
            <w:tcW w:w="450" w:type="dxa"/>
            <w:tcBorders>
              <w:bottom w:val="single" w:sz="4" w:space="0" w:color="auto"/>
            </w:tcBorders>
            <w:shd w:val="clear" w:color="auto" w:fill="FABF8F"/>
            <w:vAlign w:val="center"/>
          </w:tcPr>
          <w:p w:rsidR="00A5643F" w:rsidRPr="00DC1AC3" w:rsidRDefault="006C57E7" w:rsidP="00A9151E">
            <w:pPr>
              <w:pStyle w:val="TableText"/>
              <w:widowControl w:val="0"/>
              <w:rPr>
                <w:rStyle w:val="EndnoteReference"/>
                <w:rFonts w:cs="Tahoma"/>
                <w:b w:val="0"/>
                <w:color w:val="0000FF"/>
                <w:sz w:val="13"/>
                <w:szCs w:val="13"/>
                <w:u w:val="single"/>
              </w:rPr>
            </w:pPr>
            <w:hyperlink w:anchor="_122_Windows_Small" w:history="1">
              <w:r w:rsidR="003D47E7" w:rsidRPr="00DC1AC3">
                <w:rPr>
                  <w:rStyle w:val="Hyperlink"/>
                  <w:rFonts w:cs="Tahoma"/>
                  <w:b/>
                  <w:sz w:val="13"/>
                  <w:szCs w:val="13"/>
                </w:rPr>
                <w:t>117</w:t>
              </w:r>
            </w:hyperlink>
          </w:p>
        </w:tc>
        <w:tc>
          <w:tcPr>
            <w:tcW w:w="433" w:type="dxa"/>
            <w:tcBorders>
              <w:bottom w:val="single" w:sz="4" w:space="0" w:color="auto"/>
            </w:tcBorders>
            <w:shd w:val="clear" w:color="auto" w:fill="FABF8F"/>
            <w:vAlign w:val="center"/>
          </w:tcPr>
          <w:p w:rsidR="00A5643F" w:rsidRPr="000A1C8E" w:rsidRDefault="00A5643F" w:rsidP="00C16156">
            <w:pPr>
              <w:pStyle w:val="TableText"/>
              <w:widowControl w:val="0"/>
              <w:rPr>
                <w:rFonts w:ascii="Tahoma" w:hAnsi="Tahoma" w:cs="Tahoma"/>
                <w:sz w:val="13"/>
              </w:rPr>
            </w:pPr>
            <w:r w:rsidRPr="000A1C8E">
              <w:rPr>
                <w:rFonts w:ascii="Tahoma" w:hAnsi="Tahoma" w:cs="Tahoma"/>
                <w:sz w:val="13"/>
              </w:rPr>
              <w:t>01/11</w:t>
            </w:r>
          </w:p>
        </w:tc>
        <w:tc>
          <w:tcPr>
            <w:tcW w:w="377" w:type="dxa"/>
            <w:tcBorders>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E, P</w:t>
            </w:r>
          </w:p>
        </w:tc>
        <w:tc>
          <w:tcPr>
            <w:tcW w:w="693" w:type="dxa"/>
            <w:tcBorders>
              <w:bottom w:val="single" w:sz="4" w:space="0" w:color="auto"/>
            </w:tcBorders>
            <w:shd w:val="clear" w:color="auto" w:fill="FABF8F"/>
            <w:vAlign w:val="center"/>
          </w:tcPr>
          <w:p w:rsidR="00A5643F" w:rsidRPr="000A1C8E" w:rsidRDefault="00A5643F" w:rsidP="000037A1">
            <w:pPr>
              <w:pStyle w:val="TableText"/>
              <w:widowControl w:val="0"/>
              <w:rPr>
                <w:rFonts w:ascii="Tahoma" w:hAnsi="Tahoma" w:cs="Tahoma"/>
                <w:sz w:val="13"/>
              </w:rPr>
            </w:pPr>
            <w:r w:rsidRPr="000A1C8E">
              <w:rPr>
                <w:rFonts w:ascii="Tahoma" w:hAnsi="Tahoma" w:cs="Tahoma"/>
                <w:sz w:val="13"/>
              </w:rPr>
              <w:t>A,ST</w:t>
            </w:r>
          </w:p>
        </w:tc>
        <w:tc>
          <w:tcPr>
            <w:tcW w:w="486"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r>
      <w:tr w:rsidR="00F76ED4" w:rsidRPr="000A1C8E" w:rsidTr="00186460">
        <w:trPr>
          <w:gridBefore w:val="1"/>
          <w:wBefore w:w="20" w:type="dxa"/>
          <w:cantSplit/>
          <w:trHeight w:val="145"/>
          <w:jc w:val="center"/>
        </w:trPr>
        <w:tc>
          <w:tcPr>
            <w:tcW w:w="2714" w:type="dxa"/>
            <w:tcBorders>
              <w:bottom w:val="single" w:sz="4" w:space="0" w:color="auto"/>
            </w:tcBorders>
            <w:shd w:val="clear" w:color="auto" w:fill="auto"/>
            <w:vAlign w:val="center"/>
          </w:tcPr>
          <w:p w:rsidR="00A5643F" w:rsidRPr="000A1C8E" w:rsidRDefault="00A5643F" w:rsidP="002E5D03">
            <w:pPr>
              <w:pStyle w:val="Heading2"/>
              <w:spacing w:before="20" w:after="20"/>
              <w:ind w:left="0"/>
              <w:rPr>
                <w:rFonts w:ascii="Tahoma" w:hAnsi="Tahoma" w:cs="Tahoma"/>
                <w:b w:val="0"/>
                <w:color w:val="000000"/>
                <w:sz w:val="14"/>
                <w:szCs w:val="14"/>
              </w:rPr>
            </w:pPr>
            <w:bookmarkStart w:id="565" w:name="_Toc336338159"/>
            <w:bookmarkStart w:id="566" w:name="_Toc361829246"/>
            <w:r w:rsidRPr="000A1C8E">
              <w:rPr>
                <w:rFonts w:ascii="Tahoma" w:hAnsi="Tahoma" w:cs="Tahoma"/>
                <w:b w:val="0"/>
                <w:sz w:val="14"/>
                <w:szCs w:val="14"/>
              </w:rPr>
              <w:t>Windows Small Business Server 2011 CAL Suite (5 clientes)</w:t>
            </w:r>
            <w:bookmarkEnd w:id="565"/>
            <w:bookmarkEnd w:id="566"/>
          </w:p>
        </w:tc>
        <w:tc>
          <w:tcPr>
            <w:tcW w:w="450" w:type="dxa"/>
            <w:tcBorders>
              <w:bottom w:val="single" w:sz="4" w:space="0" w:color="auto"/>
            </w:tcBorders>
            <w:shd w:val="clear" w:color="auto" w:fill="auto"/>
            <w:vAlign w:val="center"/>
          </w:tcPr>
          <w:p w:rsidR="00A5643F" w:rsidRPr="00DC1AC3" w:rsidRDefault="006C57E7" w:rsidP="00A9151E">
            <w:pPr>
              <w:pStyle w:val="TableText"/>
              <w:widowControl w:val="0"/>
              <w:rPr>
                <w:rStyle w:val="EndnoteReference"/>
                <w:rFonts w:cs="Tahoma"/>
                <w:b w:val="0"/>
                <w:sz w:val="13"/>
                <w:szCs w:val="13"/>
                <w:u w:val="single"/>
              </w:rPr>
            </w:pPr>
            <w:hyperlink w:anchor="_122_Windows_Small" w:history="1">
              <w:r w:rsidR="008E5ED7" w:rsidRPr="00DC1AC3">
                <w:rPr>
                  <w:rStyle w:val="Hyperlink"/>
                  <w:rFonts w:cs="Tahoma"/>
                  <w:b/>
                  <w:sz w:val="13"/>
                  <w:szCs w:val="13"/>
                </w:rPr>
                <w:t>117</w:t>
              </w:r>
            </w:hyperlink>
          </w:p>
        </w:tc>
        <w:tc>
          <w:tcPr>
            <w:tcW w:w="433" w:type="dxa"/>
            <w:tcBorders>
              <w:bottom w:val="single" w:sz="4" w:space="0" w:color="auto"/>
            </w:tcBorders>
            <w:shd w:val="clear" w:color="auto" w:fill="auto"/>
            <w:vAlign w:val="center"/>
          </w:tcPr>
          <w:p w:rsidR="00A5643F" w:rsidRPr="000A1C8E" w:rsidRDefault="00A5643F" w:rsidP="00C16156">
            <w:pPr>
              <w:pStyle w:val="TableText"/>
              <w:widowControl w:val="0"/>
              <w:rPr>
                <w:rFonts w:ascii="Tahoma" w:hAnsi="Tahoma" w:cs="Tahoma"/>
                <w:sz w:val="13"/>
              </w:rPr>
            </w:pPr>
            <w:r w:rsidRPr="000A1C8E">
              <w:rPr>
                <w:rFonts w:ascii="Tahoma" w:hAnsi="Tahoma" w:cs="Tahoma"/>
                <w:sz w:val="13"/>
              </w:rPr>
              <w:t>01/11</w:t>
            </w:r>
          </w:p>
        </w:tc>
        <w:tc>
          <w:tcPr>
            <w:tcW w:w="377" w:type="dxa"/>
            <w:tcBorders>
              <w:bottom w:val="single" w:sz="4" w:space="0" w:color="auto"/>
              <w:right w:val="single" w:sz="18" w:space="0" w:color="auto"/>
            </w:tcBorders>
            <w:shd w:val="clear" w:color="auto" w:fill="auto"/>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A1C8E"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5</w:t>
            </w:r>
          </w:p>
        </w:tc>
        <w:tc>
          <w:tcPr>
            <w:tcW w:w="450" w:type="dxa"/>
            <w:tcBorders>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A1C8E" w:rsidRDefault="00A5643F" w:rsidP="00886719">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5</w:t>
            </w:r>
          </w:p>
        </w:tc>
        <w:tc>
          <w:tcPr>
            <w:tcW w:w="396" w:type="dxa"/>
            <w:tcBorders>
              <w:bottom w:val="single" w:sz="4" w:space="0" w:color="auto"/>
              <w:right w:val="single" w:sz="18" w:space="0" w:color="auto"/>
            </w:tcBorders>
            <w:shd w:val="clear" w:color="auto" w:fill="auto"/>
            <w:vAlign w:val="center"/>
          </w:tcPr>
          <w:p w:rsidR="00A5643F" w:rsidRPr="000A1C8E" w:rsidRDefault="00A5643F" w:rsidP="00886719">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A5643F" w:rsidRPr="000A1C8E" w:rsidRDefault="00A5643F"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color w:val="000000"/>
                <w:sz w:val="13"/>
              </w:rPr>
              <w:t>LO/OV</w:t>
            </w:r>
          </w:p>
        </w:tc>
      </w:tr>
      <w:tr w:rsidR="00F76ED4" w:rsidRPr="000A1C8E" w:rsidTr="00C16156">
        <w:trPr>
          <w:gridBefore w:val="1"/>
          <w:wBefore w:w="20" w:type="dxa"/>
          <w:cantSplit/>
          <w:trHeight w:val="145"/>
          <w:jc w:val="center"/>
        </w:trPr>
        <w:tc>
          <w:tcPr>
            <w:tcW w:w="2714" w:type="dxa"/>
            <w:tcBorders>
              <w:bottom w:val="single" w:sz="4" w:space="0" w:color="auto"/>
            </w:tcBorders>
            <w:shd w:val="clear" w:color="auto" w:fill="FABF8F"/>
          </w:tcPr>
          <w:p w:rsidR="00A5643F" w:rsidRPr="000A1C8E" w:rsidRDefault="00A5643F" w:rsidP="002E5D03">
            <w:pPr>
              <w:pStyle w:val="Heading2"/>
              <w:spacing w:before="20" w:after="20"/>
              <w:ind w:left="0"/>
              <w:rPr>
                <w:rFonts w:ascii="Tahoma" w:hAnsi="Tahoma" w:cs="Tahoma"/>
                <w:b w:val="0"/>
                <w:color w:val="000000"/>
                <w:sz w:val="14"/>
                <w:szCs w:val="14"/>
              </w:rPr>
            </w:pPr>
            <w:bookmarkStart w:id="567" w:name="_Toc336338160"/>
            <w:bookmarkStart w:id="568" w:name="_Toc361829247"/>
            <w:r w:rsidRPr="000A1C8E">
              <w:rPr>
                <w:rFonts w:ascii="Tahoma" w:hAnsi="Tahoma" w:cs="Tahoma"/>
                <w:b w:val="0"/>
                <w:sz w:val="14"/>
                <w:szCs w:val="14"/>
              </w:rPr>
              <w:t>Windows Small Business Server 2011 CAL Suite (20 clientes)</w:t>
            </w:r>
            <w:bookmarkEnd w:id="567"/>
            <w:bookmarkEnd w:id="568"/>
            <w:r w:rsidRPr="000A1C8E">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DC1AC3" w:rsidRDefault="006C57E7" w:rsidP="00A9151E">
            <w:pPr>
              <w:pStyle w:val="TableText"/>
              <w:widowControl w:val="0"/>
              <w:rPr>
                <w:rStyle w:val="EndnoteReference"/>
                <w:rFonts w:cs="Tahoma"/>
                <w:b w:val="0"/>
                <w:sz w:val="13"/>
                <w:szCs w:val="13"/>
                <w:u w:val="single"/>
              </w:rPr>
            </w:pPr>
            <w:hyperlink w:anchor="_122_Windows_Small" w:history="1">
              <w:r w:rsidR="008E5ED7" w:rsidRPr="00DC1AC3">
                <w:rPr>
                  <w:rStyle w:val="Hyperlink"/>
                  <w:rFonts w:cs="Tahoma"/>
                  <w:b/>
                  <w:sz w:val="13"/>
                  <w:szCs w:val="13"/>
                </w:rPr>
                <w:t>117</w:t>
              </w:r>
            </w:hyperlink>
          </w:p>
        </w:tc>
        <w:tc>
          <w:tcPr>
            <w:tcW w:w="433" w:type="dxa"/>
            <w:tcBorders>
              <w:bottom w:val="single" w:sz="4" w:space="0" w:color="auto"/>
            </w:tcBorders>
            <w:shd w:val="clear" w:color="auto" w:fill="FABF8F"/>
            <w:vAlign w:val="center"/>
          </w:tcPr>
          <w:p w:rsidR="00A5643F" w:rsidRPr="000A1C8E" w:rsidRDefault="00A5643F" w:rsidP="00C16156">
            <w:pPr>
              <w:pStyle w:val="TableText"/>
              <w:widowControl w:val="0"/>
              <w:rPr>
                <w:rFonts w:ascii="Tahoma" w:hAnsi="Tahoma" w:cs="Tahoma"/>
                <w:sz w:val="13"/>
              </w:rPr>
            </w:pPr>
            <w:r w:rsidRPr="000A1C8E">
              <w:rPr>
                <w:rFonts w:ascii="Tahoma" w:hAnsi="Tahoma" w:cs="Tahoma"/>
                <w:sz w:val="13"/>
              </w:rPr>
              <w:t>01/11</w:t>
            </w:r>
          </w:p>
        </w:tc>
        <w:tc>
          <w:tcPr>
            <w:tcW w:w="377" w:type="dxa"/>
            <w:tcBorders>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25</w:t>
            </w:r>
          </w:p>
        </w:tc>
        <w:tc>
          <w:tcPr>
            <w:tcW w:w="396" w:type="dxa"/>
            <w:tcBorders>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A5643F" w:rsidRPr="000A1C8E" w:rsidRDefault="00A5643F"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A5643F" w:rsidRPr="000A1C8E" w:rsidRDefault="00A5643F" w:rsidP="00886719">
            <w:pPr>
              <w:pStyle w:val="TableText"/>
              <w:widowControl w:val="0"/>
              <w:rPr>
                <w:rFonts w:ascii="Tahoma" w:hAnsi="Tahoma" w:cs="Tahoma"/>
                <w:sz w:val="13"/>
              </w:rPr>
            </w:pPr>
            <w:r w:rsidRPr="000A1C8E">
              <w:rPr>
                <w:rFonts w:ascii="Tahoma" w:hAnsi="Tahoma" w:cs="Tahoma"/>
                <w:color w:val="000000"/>
                <w:sz w:val="13"/>
              </w:rPr>
              <w:t>LO/OV</w:t>
            </w:r>
          </w:p>
        </w:tc>
      </w:tr>
      <w:tr w:rsidR="00A5643F" w:rsidRPr="000A1C8E" w:rsidTr="00C16156">
        <w:trPr>
          <w:gridBefore w:val="1"/>
          <w:wBefore w:w="20" w:type="dxa"/>
          <w:trHeight w:val="145"/>
          <w:jc w:val="center"/>
        </w:trPr>
        <w:tc>
          <w:tcPr>
            <w:tcW w:w="2714" w:type="dxa"/>
            <w:tcBorders>
              <w:bottom w:val="single" w:sz="4" w:space="0" w:color="auto"/>
            </w:tcBorders>
            <w:shd w:val="clear" w:color="auto" w:fill="auto"/>
            <w:vAlign w:val="center"/>
          </w:tcPr>
          <w:p w:rsidR="00A5643F" w:rsidRPr="000A1C8E" w:rsidRDefault="00A5643F" w:rsidP="002E5D03">
            <w:pPr>
              <w:pStyle w:val="Heading2"/>
              <w:spacing w:before="20" w:after="20"/>
              <w:ind w:left="0"/>
              <w:rPr>
                <w:rFonts w:ascii="Tahoma" w:hAnsi="Tahoma" w:cs="Tahoma"/>
                <w:b w:val="0"/>
                <w:sz w:val="14"/>
                <w:szCs w:val="14"/>
              </w:rPr>
            </w:pPr>
            <w:bookmarkStart w:id="569" w:name="_Toc336338162"/>
            <w:bookmarkStart w:id="570" w:name="_Toc361829248"/>
            <w:r w:rsidRPr="000A1C8E">
              <w:rPr>
                <w:rFonts w:ascii="Tahoma" w:hAnsi="Tahoma" w:cs="Tahoma"/>
                <w:b w:val="0"/>
                <w:sz w:val="14"/>
                <w:szCs w:val="14"/>
              </w:rPr>
              <w:t>Pacote de CALs do Complemento do Windows Small Business Server (SBS) 2011 Premium</w:t>
            </w:r>
            <w:bookmarkEnd w:id="569"/>
            <w:bookmarkEnd w:id="570"/>
            <w:r w:rsidRPr="000A1C8E">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DC1AC3" w:rsidRDefault="006C57E7" w:rsidP="00A9151E">
            <w:pPr>
              <w:pStyle w:val="TableText"/>
              <w:widowControl w:val="0"/>
              <w:rPr>
                <w:rFonts w:cs="Tahoma"/>
                <w:b/>
                <w:sz w:val="13"/>
                <w:szCs w:val="13"/>
                <w:u w:val="single"/>
              </w:rPr>
            </w:pPr>
            <w:hyperlink w:anchor="_118_Pacote_de" w:history="1">
              <w:r w:rsidR="003D47E7" w:rsidRPr="00DC1AC3">
                <w:rPr>
                  <w:rStyle w:val="Hyperlink"/>
                  <w:rFonts w:cs="Tahoma"/>
                  <w:b/>
                  <w:sz w:val="13"/>
                  <w:szCs w:val="13"/>
                </w:rPr>
                <w:t>118</w:t>
              </w:r>
            </w:hyperlink>
          </w:p>
        </w:tc>
        <w:tc>
          <w:tcPr>
            <w:tcW w:w="433" w:type="dxa"/>
            <w:tcBorders>
              <w:bottom w:val="single" w:sz="4" w:space="0" w:color="auto"/>
            </w:tcBorders>
            <w:shd w:val="clear" w:color="auto" w:fill="auto"/>
            <w:vAlign w:val="center"/>
          </w:tcPr>
          <w:p w:rsidR="00A5643F" w:rsidRPr="000A1C8E" w:rsidRDefault="00A5643F" w:rsidP="00C16156">
            <w:pPr>
              <w:pStyle w:val="TableText"/>
              <w:widowControl w:val="0"/>
              <w:rPr>
                <w:rFonts w:ascii="Tahoma" w:hAnsi="Tahoma" w:cs="Tahoma"/>
                <w:sz w:val="13"/>
              </w:rPr>
            </w:pPr>
            <w:r w:rsidRPr="000A1C8E">
              <w:rPr>
                <w:rFonts w:ascii="Tahoma" w:hAnsi="Tahoma" w:cs="Tahoma"/>
                <w:sz w:val="13"/>
              </w:rPr>
              <w:t>01/11</w:t>
            </w:r>
          </w:p>
        </w:tc>
        <w:tc>
          <w:tcPr>
            <w:tcW w:w="377" w:type="dxa"/>
            <w:tcBorders>
              <w:bottom w:val="single" w:sz="4" w:space="0" w:color="auto"/>
              <w:right w:val="single" w:sz="18" w:space="0" w:color="auto"/>
            </w:tcBorders>
            <w:shd w:val="clear" w:color="auto" w:fill="auto"/>
            <w:vAlign w:val="center"/>
          </w:tcPr>
          <w:p w:rsidR="00A5643F" w:rsidRPr="000A1C8E" w:rsidRDefault="00A5643F">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A1C8E"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A1C8E"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A1C8E"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A1C8E"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A1C8E" w:rsidRDefault="00A5643F">
            <w:pPr>
              <w:pStyle w:val="TableText"/>
              <w:widowControl w:val="0"/>
              <w:rPr>
                <w:rFonts w:ascii="Tahoma" w:hAnsi="Tahoma" w:cs="Tahoma"/>
                <w:sz w:val="13"/>
              </w:rPr>
            </w:pPr>
            <w:r w:rsidRPr="000A1C8E">
              <w:rPr>
                <w:rFonts w:ascii="Tahoma" w:hAnsi="Tahoma" w:cs="Tahoma"/>
                <w:sz w:val="13"/>
              </w:rPr>
              <w:t>1</w:t>
            </w:r>
          </w:p>
        </w:tc>
        <w:tc>
          <w:tcPr>
            <w:tcW w:w="450" w:type="dxa"/>
            <w:tcBorders>
              <w:bottom w:val="single" w:sz="4" w:space="0" w:color="auto"/>
            </w:tcBorders>
            <w:shd w:val="clear" w:color="auto" w:fill="auto"/>
            <w:vAlign w:val="center"/>
          </w:tcPr>
          <w:p w:rsidR="00A5643F" w:rsidRPr="000A1C8E" w:rsidRDefault="00A5643F">
            <w:pPr>
              <w:pStyle w:val="TableText"/>
              <w:widowControl w:val="0"/>
              <w:rPr>
                <w:rFonts w:ascii="Tahoma" w:hAnsi="Tahoma" w:cs="Tahoma"/>
                <w:sz w:val="13"/>
              </w:rPr>
            </w:pPr>
            <w:r w:rsidRPr="000A1C8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0A1C8E" w:rsidRDefault="00A5643F">
            <w:pPr>
              <w:pStyle w:val="TableText"/>
              <w:widowControl w:val="0"/>
              <w:rPr>
                <w:rFonts w:ascii="Tahoma" w:hAnsi="Tahoma" w:cs="Tahoma"/>
                <w:sz w:val="13"/>
              </w:rPr>
            </w:pPr>
            <w:r w:rsidRPr="000A1C8E">
              <w:rPr>
                <w:rFonts w:ascii="Tahoma" w:hAnsi="Tahoma" w:cs="Tahoma"/>
                <w:sz w:val="13"/>
              </w:rPr>
              <w:t>1</w:t>
            </w:r>
          </w:p>
        </w:tc>
        <w:tc>
          <w:tcPr>
            <w:tcW w:w="369" w:type="dxa"/>
            <w:tcBorders>
              <w:left w:val="single" w:sz="18" w:space="0" w:color="auto"/>
              <w:bottom w:val="single" w:sz="4" w:space="0" w:color="auto"/>
            </w:tcBorders>
            <w:shd w:val="clear" w:color="auto" w:fill="auto"/>
            <w:vAlign w:val="center"/>
          </w:tcPr>
          <w:p w:rsidR="00A5643F" w:rsidRPr="000A1C8E" w:rsidRDefault="00A5643F">
            <w:pPr>
              <w:pStyle w:val="TableText"/>
              <w:widowControl w:val="0"/>
              <w:rPr>
                <w:rFonts w:ascii="Tahoma" w:hAnsi="Tahoma" w:cs="Tahoma"/>
                <w:sz w:val="13"/>
              </w:rPr>
            </w:pPr>
            <w:r w:rsidRPr="000A1C8E">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A5643F" w:rsidRPr="000A1C8E" w:rsidRDefault="00A5643F">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A5643F" w:rsidRPr="000A1C8E" w:rsidRDefault="00A5643F">
            <w:pPr>
              <w:pStyle w:val="TableText"/>
              <w:widowControl w:val="0"/>
              <w:rPr>
                <w:rFonts w:ascii="Tahoma" w:hAnsi="Tahoma" w:cs="Tahoma"/>
                <w:sz w:val="13"/>
              </w:rPr>
            </w:pPr>
            <w:r w:rsidRPr="000A1C8E">
              <w:rPr>
                <w:rFonts w:ascii="Tahoma" w:hAnsi="Tahoma" w:cs="Tahoma"/>
                <w:sz w:val="13"/>
              </w:rPr>
              <w:t>E, P</w:t>
            </w:r>
          </w:p>
        </w:tc>
        <w:tc>
          <w:tcPr>
            <w:tcW w:w="693" w:type="dxa"/>
            <w:tcBorders>
              <w:bottom w:val="single" w:sz="4" w:space="0" w:color="auto"/>
            </w:tcBorders>
            <w:shd w:val="clear" w:color="auto" w:fill="auto"/>
            <w:vAlign w:val="center"/>
          </w:tcPr>
          <w:p w:rsidR="00A5643F" w:rsidRPr="000A1C8E" w:rsidRDefault="00A5643F" w:rsidP="000037A1">
            <w:pPr>
              <w:pStyle w:val="TableText"/>
              <w:widowControl w:val="0"/>
              <w:rPr>
                <w:rFonts w:ascii="Tahoma" w:hAnsi="Tahoma" w:cs="Tahoma"/>
                <w:sz w:val="13"/>
              </w:rPr>
            </w:pPr>
            <w:r w:rsidRPr="000A1C8E">
              <w:rPr>
                <w:rFonts w:ascii="Tahoma" w:hAnsi="Tahoma" w:cs="Tahoma"/>
                <w:sz w:val="13"/>
              </w:rPr>
              <w:t>A,</w:t>
            </w:r>
            <w:r w:rsidR="00186460" w:rsidRPr="000A1C8E">
              <w:rPr>
                <w:rFonts w:ascii="Tahoma" w:hAnsi="Tahoma" w:cs="Tahoma"/>
                <w:sz w:val="13"/>
              </w:rPr>
              <w:t xml:space="preserve"> </w:t>
            </w:r>
            <w:r w:rsidRPr="000A1C8E">
              <w:rPr>
                <w:rFonts w:ascii="Tahoma" w:hAnsi="Tahoma" w:cs="Tahoma"/>
                <w:sz w:val="13"/>
              </w:rPr>
              <w:t>ST</w:t>
            </w:r>
          </w:p>
        </w:tc>
        <w:tc>
          <w:tcPr>
            <w:tcW w:w="486" w:type="dxa"/>
            <w:tcBorders>
              <w:bottom w:val="single" w:sz="4" w:space="0" w:color="auto"/>
            </w:tcBorders>
            <w:shd w:val="clear" w:color="auto" w:fill="auto"/>
            <w:vAlign w:val="center"/>
          </w:tcPr>
          <w:p w:rsidR="00A5643F" w:rsidRPr="000A1C8E" w:rsidRDefault="00A5643F">
            <w:pPr>
              <w:pStyle w:val="TableText"/>
              <w:widowControl w:val="0"/>
              <w:rPr>
                <w:rFonts w:ascii="Tahoma" w:hAnsi="Tahoma" w:cs="Tahoma"/>
                <w:sz w:val="13"/>
              </w:rPr>
            </w:pPr>
          </w:p>
        </w:tc>
      </w:tr>
      <w:tr w:rsidR="00A5643F" w:rsidRPr="000A1C8E" w:rsidTr="00C16156">
        <w:trPr>
          <w:gridBefore w:val="1"/>
          <w:wBefore w:w="20" w:type="dxa"/>
          <w:trHeight w:val="145"/>
          <w:jc w:val="center"/>
        </w:trPr>
        <w:tc>
          <w:tcPr>
            <w:tcW w:w="2714" w:type="dxa"/>
            <w:tcBorders>
              <w:bottom w:val="single" w:sz="4" w:space="0" w:color="auto"/>
            </w:tcBorders>
            <w:shd w:val="clear" w:color="auto" w:fill="FABF8F"/>
            <w:vAlign w:val="center"/>
          </w:tcPr>
          <w:p w:rsidR="00A5643F" w:rsidRPr="000A1C8E" w:rsidRDefault="00A5643F" w:rsidP="00133662">
            <w:pPr>
              <w:pStyle w:val="Heading2"/>
              <w:spacing w:before="20" w:after="20"/>
              <w:ind w:left="0"/>
              <w:rPr>
                <w:rFonts w:ascii="Tahoma" w:hAnsi="Tahoma" w:cs="Tahoma"/>
                <w:b w:val="0"/>
                <w:sz w:val="14"/>
                <w:szCs w:val="14"/>
              </w:rPr>
            </w:pPr>
            <w:bookmarkStart w:id="571" w:name="_Toc336338163"/>
            <w:bookmarkStart w:id="572" w:name="_Toc361829249"/>
            <w:r w:rsidRPr="000A1C8E">
              <w:rPr>
                <w:rFonts w:ascii="Tahoma" w:hAnsi="Tahoma" w:cs="Tahoma"/>
                <w:b w:val="0"/>
                <w:sz w:val="14"/>
                <w:szCs w:val="14"/>
              </w:rPr>
              <w:t>Pacote de CALs do Complemento do Windows Small Business Server 2011 (5</w:t>
            </w:r>
            <w:r w:rsidR="00133662" w:rsidRPr="000A1C8E">
              <w:rPr>
                <w:rFonts w:ascii="Tahoma" w:hAnsi="Tahoma" w:cs="Tahoma"/>
                <w:b w:val="0"/>
                <w:sz w:val="14"/>
                <w:szCs w:val="14"/>
              </w:rPr>
              <w:t> </w:t>
            </w:r>
            <w:r w:rsidRPr="000A1C8E">
              <w:rPr>
                <w:rFonts w:ascii="Tahoma" w:hAnsi="Tahoma" w:cs="Tahoma"/>
                <w:b w:val="0"/>
                <w:sz w:val="14"/>
                <w:szCs w:val="14"/>
              </w:rPr>
              <w:t>clientes)</w:t>
            </w:r>
            <w:bookmarkEnd w:id="571"/>
            <w:bookmarkEnd w:id="572"/>
          </w:p>
        </w:tc>
        <w:tc>
          <w:tcPr>
            <w:tcW w:w="450" w:type="dxa"/>
            <w:tcBorders>
              <w:bottom w:val="single" w:sz="4" w:space="0" w:color="auto"/>
            </w:tcBorders>
            <w:shd w:val="clear" w:color="auto" w:fill="FABF8F"/>
            <w:vAlign w:val="center"/>
          </w:tcPr>
          <w:p w:rsidR="00A5643F" w:rsidRPr="00DC1AC3" w:rsidRDefault="006C57E7" w:rsidP="00A9151E">
            <w:pPr>
              <w:pStyle w:val="TableText"/>
              <w:widowControl w:val="0"/>
              <w:rPr>
                <w:rFonts w:cs="Tahoma"/>
                <w:b/>
                <w:sz w:val="13"/>
                <w:szCs w:val="13"/>
                <w:u w:val="single"/>
              </w:rPr>
            </w:pPr>
            <w:hyperlink w:anchor="_118_Pacote_de" w:history="1">
              <w:r w:rsidR="008E5ED7" w:rsidRPr="00DC1AC3">
                <w:rPr>
                  <w:rStyle w:val="Hyperlink"/>
                  <w:rFonts w:cs="Tahoma"/>
                  <w:b/>
                  <w:sz w:val="13"/>
                  <w:szCs w:val="13"/>
                </w:rPr>
                <w:t>118</w:t>
              </w:r>
            </w:hyperlink>
          </w:p>
        </w:tc>
        <w:tc>
          <w:tcPr>
            <w:tcW w:w="433" w:type="dxa"/>
            <w:tcBorders>
              <w:bottom w:val="single" w:sz="4" w:space="0" w:color="auto"/>
            </w:tcBorders>
            <w:shd w:val="clear" w:color="auto" w:fill="FABF8F"/>
            <w:vAlign w:val="center"/>
          </w:tcPr>
          <w:p w:rsidR="00A5643F" w:rsidRPr="000A1C8E" w:rsidRDefault="00A5643F" w:rsidP="00C16156">
            <w:pPr>
              <w:pStyle w:val="TableText"/>
              <w:widowControl w:val="0"/>
              <w:rPr>
                <w:rFonts w:ascii="Tahoma" w:hAnsi="Tahoma" w:cs="Tahoma"/>
                <w:sz w:val="13"/>
              </w:rPr>
            </w:pPr>
            <w:r w:rsidRPr="000A1C8E">
              <w:rPr>
                <w:rFonts w:ascii="Tahoma" w:hAnsi="Tahoma" w:cs="Tahoma"/>
                <w:sz w:val="13"/>
              </w:rPr>
              <w:t>01/11</w:t>
            </w:r>
          </w:p>
        </w:tc>
        <w:tc>
          <w:tcPr>
            <w:tcW w:w="377" w:type="dxa"/>
            <w:tcBorders>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5</w:t>
            </w: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5</w:t>
            </w:r>
          </w:p>
        </w:tc>
        <w:tc>
          <w:tcPr>
            <w:tcW w:w="369" w:type="dxa"/>
            <w:tcBorders>
              <w:left w:val="single" w:sz="18" w:space="0" w:color="auto"/>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5</w:t>
            </w:r>
          </w:p>
        </w:tc>
        <w:tc>
          <w:tcPr>
            <w:tcW w:w="396" w:type="dxa"/>
            <w:tcBorders>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A5643F" w:rsidRPr="000A1C8E" w:rsidRDefault="00A5643F"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LO/OV</w:t>
            </w:r>
          </w:p>
        </w:tc>
      </w:tr>
      <w:tr w:rsidR="00A5643F" w:rsidRPr="000A1C8E" w:rsidTr="00C16156">
        <w:trPr>
          <w:gridBefore w:val="1"/>
          <w:wBefore w:w="20" w:type="dxa"/>
          <w:trHeight w:val="440"/>
          <w:jc w:val="center"/>
        </w:trPr>
        <w:tc>
          <w:tcPr>
            <w:tcW w:w="2714" w:type="dxa"/>
            <w:tcBorders>
              <w:bottom w:val="single" w:sz="4" w:space="0" w:color="auto"/>
            </w:tcBorders>
            <w:shd w:val="clear" w:color="auto" w:fill="auto"/>
            <w:vAlign w:val="center"/>
          </w:tcPr>
          <w:p w:rsidR="00A5643F" w:rsidRPr="000A1C8E" w:rsidRDefault="00A5643F" w:rsidP="00133662">
            <w:pPr>
              <w:pStyle w:val="Heading2"/>
              <w:spacing w:before="20" w:after="20"/>
              <w:ind w:left="0"/>
              <w:rPr>
                <w:rFonts w:ascii="Tahoma" w:hAnsi="Tahoma" w:cs="Tahoma"/>
                <w:b w:val="0"/>
                <w:sz w:val="14"/>
                <w:szCs w:val="14"/>
              </w:rPr>
            </w:pPr>
            <w:bookmarkStart w:id="573" w:name="_Toc336338164"/>
            <w:bookmarkStart w:id="574" w:name="_Toc361829250"/>
            <w:r w:rsidRPr="000A1C8E">
              <w:rPr>
                <w:rFonts w:ascii="Tahoma" w:hAnsi="Tahoma" w:cs="Tahoma"/>
                <w:b w:val="0"/>
                <w:sz w:val="14"/>
                <w:szCs w:val="14"/>
              </w:rPr>
              <w:t>Pacote de CALs do Complemento do Windows Small Business Server 2011 (20</w:t>
            </w:r>
            <w:r w:rsidR="00133662" w:rsidRPr="000A1C8E">
              <w:rPr>
                <w:rFonts w:ascii="Tahoma" w:hAnsi="Tahoma" w:cs="Tahoma"/>
                <w:b w:val="0"/>
                <w:sz w:val="14"/>
                <w:szCs w:val="14"/>
              </w:rPr>
              <w:t> </w:t>
            </w:r>
            <w:r w:rsidRPr="000A1C8E">
              <w:rPr>
                <w:rFonts w:ascii="Tahoma" w:hAnsi="Tahoma" w:cs="Tahoma"/>
                <w:b w:val="0"/>
                <w:sz w:val="14"/>
                <w:szCs w:val="14"/>
              </w:rPr>
              <w:t>clientes)</w:t>
            </w:r>
            <w:bookmarkEnd w:id="573"/>
            <w:bookmarkEnd w:id="574"/>
          </w:p>
        </w:tc>
        <w:tc>
          <w:tcPr>
            <w:tcW w:w="450" w:type="dxa"/>
            <w:tcBorders>
              <w:bottom w:val="single" w:sz="4" w:space="0" w:color="auto"/>
            </w:tcBorders>
            <w:shd w:val="clear" w:color="auto" w:fill="auto"/>
            <w:vAlign w:val="center"/>
          </w:tcPr>
          <w:p w:rsidR="00A5643F" w:rsidRPr="00DC1AC3" w:rsidRDefault="006C57E7" w:rsidP="00A9151E">
            <w:pPr>
              <w:pStyle w:val="TableText"/>
              <w:widowControl w:val="0"/>
              <w:rPr>
                <w:rFonts w:cs="Tahoma"/>
                <w:b/>
                <w:sz w:val="13"/>
                <w:szCs w:val="13"/>
                <w:u w:val="single"/>
              </w:rPr>
            </w:pPr>
            <w:hyperlink w:anchor="_118_Pacote_de" w:history="1">
              <w:r w:rsidR="008E5ED7" w:rsidRPr="00DC1AC3">
                <w:rPr>
                  <w:rStyle w:val="Hyperlink"/>
                  <w:rFonts w:cs="Tahoma"/>
                  <w:b/>
                  <w:sz w:val="13"/>
                  <w:szCs w:val="13"/>
                </w:rPr>
                <w:t>118</w:t>
              </w:r>
            </w:hyperlink>
          </w:p>
        </w:tc>
        <w:tc>
          <w:tcPr>
            <w:tcW w:w="433" w:type="dxa"/>
            <w:tcBorders>
              <w:bottom w:val="single" w:sz="4" w:space="0" w:color="auto"/>
            </w:tcBorders>
            <w:shd w:val="clear" w:color="auto" w:fill="auto"/>
            <w:vAlign w:val="center"/>
          </w:tcPr>
          <w:p w:rsidR="00A5643F" w:rsidRPr="000A1C8E" w:rsidRDefault="00A5643F" w:rsidP="00C16156">
            <w:pPr>
              <w:pStyle w:val="TableText"/>
              <w:widowControl w:val="0"/>
              <w:rPr>
                <w:rFonts w:ascii="Tahoma" w:hAnsi="Tahoma" w:cs="Tahoma"/>
                <w:sz w:val="13"/>
              </w:rPr>
            </w:pPr>
            <w:r w:rsidRPr="000A1C8E">
              <w:rPr>
                <w:rFonts w:ascii="Tahoma" w:hAnsi="Tahoma" w:cs="Tahoma"/>
                <w:sz w:val="13"/>
              </w:rPr>
              <w:t>01/11</w:t>
            </w:r>
          </w:p>
        </w:tc>
        <w:tc>
          <w:tcPr>
            <w:tcW w:w="377" w:type="dxa"/>
            <w:tcBorders>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25</w:t>
            </w: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25</w:t>
            </w:r>
          </w:p>
        </w:tc>
        <w:tc>
          <w:tcPr>
            <w:tcW w:w="369" w:type="dxa"/>
            <w:tcBorders>
              <w:left w:val="single" w:sz="18" w:space="0" w:color="auto"/>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25</w:t>
            </w:r>
          </w:p>
        </w:tc>
        <w:tc>
          <w:tcPr>
            <w:tcW w:w="396" w:type="dxa"/>
            <w:tcBorders>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auto"/>
            <w:vAlign w:val="center"/>
          </w:tcPr>
          <w:p w:rsidR="00A5643F" w:rsidRPr="000A1C8E" w:rsidRDefault="00A5643F" w:rsidP="000037A1">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color w:val="000000"/>
                <w:sz w:val="13"/>
              </w:rPr>
              <w:t>LO/OV</w:t>
            </w:r>
          </w:p>
        </w:tc>
      </w:tr>
      <w:tr w:rsidR="00A5643F" w:rsidRPr="000A1C8E" w:rsidTr="00C16156">
        <w:trPr>
          <w:gridBefore w:val="1"/>
          <w:wBefore w:w="20" w:type="dxa"/>
          <w:trHeight w:val="233"/>
          <w:jc w:val="center"/>
        </w:trPr>
        <w:tc>
          <w:tcPr>
            <w:tcW w:w="2714" w:type="dxa"/>
            <w:tcBorders>
              <w:bottom w:val="single" w:sz="4" w:space="0" w:color="auto"/>
            </w:tcBorders>
            <w:shd w:val="clear" w:color="auto" w:fill="FABF8F"/>
            <w:vAlign w:val="center"/>
          </w:tcPr>
          <w:p w:rsidR="00A5643F" w:rsidRPr="000A1C8E" w:rsidRDefault="00A5643F" w:rsidP="002E5D03">
            <w:pPr>
              <w:pStyle w:val="Heading2"/>
              <w:spacing w:before="20" w:after="20"/>
              <w:ind w:left="0"/>
              <w:rPr>
                <w:rFonts w:ascii="Tahoma" w:hAnsi="Tahoma" w:cs="Tahoma"/>
                <w:b w:val="0"/>
                <w:sz w:val="14"/>
                <w:szCs w:val="14"/>
              </w:rPr>
            </w:pPr>
            <w:bookmarkStart w:id="575" w:name="_Toc336338165"/>
            <w:bookmarkStart w:id="576" w:name="_Toc361829251"/>
            <w:r w:rsidRPr="000A1C8E">
              <w:rPr>
                <w:rFonts w:ascii="Tahoma" w:hAnsi="Tahoma" w:cs="Tahoma"/>
                <w:b w:val="0"/>
                <w:sz w:val="14"/>
                <w:szCs w:val="14"/>
              </w:rPr>
              <w:t>Windows Server Essentials 2012</w:t>
            </w:r>
            <w:bookmarkEnd w:id="575"/>
            <w:bookmarkEnd w:id="576"/>
          </w:p>
        </w:tc>
        <w:tc>
          <w:tcPr>
            <w:tcW w:w="450" w:type="dxa"/>
            <w:tcBorders>
              <w:bottom w:val="single" w:sz="4" w:space="0" w:color="auto"/>
            </w:tcBorders>
            <w:shd w:val="clear" w:color="auto" w:fill="FABF8F"/>
            <w:vAlign w:val="center"/>
          </w:tcPr>
          <w:p w:rsidR="00A5643F" w:rsidRPr="00DC1AC3" w:rsidRDefault="00A5643F" w:rsidP="0059600B">
            <w:pPr>
              <w:pStyle w:val="TableText"/>
              <w:widowControl w:val="0"/>
              <w:rPr>
                <w:rFonts w:cs="Tahoma"/>
                <w:b/>
                <w:sz w:val="13"/>
                <w:szCs w:val="13"/>
                <w:u w:val="single"/>
              </w:rPr>
            </w:pPr>
          </w:p>
        </w:tc>
        <w:tc>
          <w:tcPr>
            <w:tcW w:w="433" w:type="dxa"/>
            <w:tcBorders>
              <w:bottom w:val="single" w:sz="4" w:space="0" w:color="auto"/>
            </w:tcBorders>
            <w:shd w:val="clear" w:color="auto" w:fill="FABF8F"/>
            <w:vAlign w:val="center"/>
          </w:tcPr>
          <w:p w:rsidR="00A5643F" w:rsidRPr="000A1C8E" w:rsidRDefault="00A5643F" w:rsidP="00C16156">
            <w:pPr>
              <w:pStyle w:val="TableText"/>
              <w:widowControl w:val="0"/>
              <w:spacing w:before="120"/>
              <w:rPr>
                <w:rFonts w:ascii="Tahoma" w:hAnsi="Tahoma" w:cs="Tahoma"/>
                <w:sz w:val="13"/>
              </w:rPr>
            </w:pPr>
            <w:r w:rsidRPr="000A1C8E">
              <w:rPr>
                <w:rFonts w:ascii="Tahoma" w:hAnsi="Tahoma" w:cs="Tahoma"/>
                <w:sz w:val="13"/>
              </w:rPr>
              <w:t>11/12</w:t>
            </w:r>
          </w:p>
        </w:tc>
        <w:tc>
          <w:tcPr>
            <w:tcW w:w="377" w:type="dxa"/>
            <w:tcBorders>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5</w:t>
            </w:r>
          </w:p>
        </w:tc>
        <w:tc>
          <w:tcPr>
            <w:tcW w:w="450"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5</w:t>
            </w:r>
          </w:p>
        </w:tc>
        <w:tc>
          <w:tcPr>
            <w:tcW w:w="369" w:type="dxa"/>
            <w:tcBorders>
              <w:left w:val="single" w:sz="18" w:space="0" w:color="auto"/>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5</w:t>
            </w:r>
          </w:p>
        </w:tc>
        <w:tc>
          <w:tcPr>
            <w:tcW w:w="396" w:type="dxa"/>
            <w:tcBorders>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P</w:t>
            </w:r>
          </w:p>
        </w:tc>
        <w:tc>
          <w:tcPr>
            <w:tcW w:w="693" w:type="dxa"/>
            <w:tcBorders>
              <w:bottom w:val="single" w:sz="4" w:space="0" w:color="auto"/>
            </w:tcBorders>
            <w:shd w:val="clear" w:color="auto" w:fill="FABF8F"/>
            <w:vAlign w:val="center"/>
          </w:tcPr>
          <w:p w:rsidR="00A5643F" w:rsidRPr="000A1C8E" w:rsidRDefault="00A5643F" w:rsidP="00C16156">
            <w:pPr>
              <w:pStyle w:val="TableText"/>
              <w:widowControl w:val="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FABF8F"/>
            <w:vAlign w:val="center"/>
          </w:tcPr>
          <w:p w:rsidR="00A5643F" w:rsidRPr="000A1C8E" w:rsidRDefault="00A5643F" w:rsidP="00F97D54">
            <w:pPr>
              <w:pStyle w:val="TableText"/>
              <w:widowControl w:val="0"/>
              <w:rPr>
                <w:rFonts w:ascii="Tahoma" w:hAnsi="Tahoma" w:cs="Tahoma"/>
                <w:color w:val="000000"/>
                <w:sz w:val="13"/>
              </w:rPr>
            </w:pPr>
          </w:p>
        </w:tc>
      </w:tr>
      <w:tr w:rsidR="00A5643F" w:rsidRPr="000A1C8E" w:rsidTr="00C16156">
        <w:trPr>
          <w:gridBefore w:val="1"/>
          <w:wBefore w:w="20" w:type="dxa"/>
          <w:trHeight w:val="145"/>
          <w:jc w:val="center"/>
        </w:trPr>
        <w:tc>
          <w:tcPr>
            <w:tcW w:w="2714" w:type="dxa"/>
            <w:shd w:val="clear" w:color="auto" w:fill="auto"/>
            <w:vAlign w:val="center"/>
          </w:tcPr>
          <w:p w:rsidR="00A5643F" w:rsidRPr="000A1C8E" w:rsidRDefault="00A5643F" w:rsidP="002E5D03">
            <w:pPr>
              <w:pStyle w:val="Heading2"/>
              <w:spacing w:before="20" w:after="20"/>
              <w:ind w:left="0"/>
              <w:rPr>
                <w:rFonts w:ascii="Tahoma" w:hAnsi="Tahoma" w:cs="Tahoma"/>
                <w:b w:val="0"/>
                <w:sz w:val="14"/>
                <w:szCs w:val="14"/>
              </w:rPr>
            </w:pPr>
            <w:bookmarkStart w:id="577" w:name="_Toc336338166"/>
            <w:bookmarkStart w:id="578" w:name="_Toc361829252"/>
            <w:r w:rsidRPr="000A1C8E">
              <w:rPr>
                <w:rFonts w:ascii="Tahoma" w:hAnsi="Tahoma" w:cs="Tahoma"/>
                <w:b w:val="0"/>
                <w:sz w:val="14"/>
                <w:szCs w:val="14"/>
              </w:rPr>
              <w:t>Windows Small Business Server 2011 Essentials</w:t>
            </w:r>
            <w:bookmarkEnd w:id="577"/>
            <w:bookmarkEnd w:id="578"/>
          </w:p>
        </w:tc>
        <w:tc>
          <w:tcPr>
            <w:tcW w:w="450" w:type="dxa"/>
            <w:shd w:val="clear" w:color="auto" w:fill="auto"/>
            <w:vAlign w:val="center"/>
          </w:tcPr>
          <w:p w:rsidR="00A5643F" w:rsidRPr="00DC1AC3" w:rsidRDefault="006C57E7" w:rsidP="00A9151E">
            <w:pPr>
              <w:pStyle w:val="TableText"/>
              <w:widowControl w:val="0"/>
              <w:rPr>
                <w:rFonts w:cs="Tahoma"/>
                <w:b/>
                <w:sz w:val="13"/>
                <w:szCs w:val="13"/>
                <w:u w:val="single"/>
              </w:rPr>
            </w:pPr>
            <w:hyperlink w:anchor="_124_Windows_Small_1" w:history="1">
              <w:r w:rsidR="003D47E7" w:rsidRPr="00DC1AC3">
                <w:rPr>
                  <w:rStyle w:val="Hyperlink"/>
                  <w:rFonts w:cs="Tahoma"/>
                  <w:b/>
                  <w:sz w:val="13"/>
                  <w:szCs w:val="13"/>
                </w:rPr>
                <w:t>119</w:t>
              </w:r>
            </w:hyperlink>
          </w:p>
        </w:tc>
        <w:tc>
          <w:tcPr>
            <w:tcW w:w="433" w:type="dxa"/>
            <w:shd w:val="clear" w:color="auto" w:fill="auto"/>
            <w:vAlign w:val="center"/>
          </w:tcPr>
          <w:p w:rsidR="00A5643F" w:rsidRPr="000A1C8E" w:rsidRDefault="00A5643F" w:rsidP="00C16156">
            <w:pPr>
              <w:pStyle w:val="TableText"/>
              <w:widowControl w:val="0"/>
              <w:spacing w:before="120"/>
              <w:rPr>
                <w:rFonts w:ascii="Tahoma" w:hAnsi="Tahoma" w:cs="Tahoma"/>
                <w:sz w:val="13"/>
              </w:rPr>
            </w:pPr>
            <w:r w:rsidRPr="000A1C8E">
              <w:rPr>
                <w:rFonts w:ascii="Tahoma" w:hAnsi="Tahoma" w:cs="Tahoma"/>
                <w:sz w:val="13"/>
              </w:rPr>
              <w:t>05/11</w:t>
            </w:r>
          </w:p>
        </w:tc>
        <w:tc>
          <w:tcPr>
            <w:tcW w:w="377" w:type="dxa"/>
            <w:tcBorders>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0A1C8E"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369" w:type="dxa"/>
            <w:tcBorders>
              <w:lef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396" w:type="dxa"/>
            <w:tcBorders>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693" w:type="dxa"/>
            <w:shd w:val="clear" w:color="auto" w:fill="auto"/>
          </w:tcPr>
          <w:p w:rsidR="00A5643F" w:rsidRPr="000A1C8E" w:rsidRDefault="00A5643F" w:rsidP="00E27A85">
            <w:pPr>
              <w:pStyle w:val="TableText"/>
              <w:widowControl w:val="0"/>
              <w:spacing w:before="60"/>
              <w:rPr>
                <w:rFonts w:ascii="Tahoma" w:hAnsi="Tahoma" w:cs="Tahoma"/>
                <w:sz w:val="13"/>
              </w:rPr>
            </w:pPr>
          </w:p>
        </w:tc>
        <w:tc>
          <w:tcPr>
            <w:tcW w:w="486" w:type="dxa"/>
            <w:shd w:val="clear" w:color="auto" w:fill="auto"/>
            <w:vAlign w:val="center"/>
          </w:tcPr>
          <w:p w:rsidR="00A5643F" w:rsidRPr="000A1C8E" w:rsidRDefault="00A5643F" w:rsidP="00F97D54">
            <w:pPr>
              <w:pStyle w:val="TableText"/>
              <w:widowControl w:val="0"/>
              <w:rPr>
                <w:rFonts w:ascii="Tahoma" w:hAnsi="Tahoma" w:cs="Tahoma"/>
                <w:color w:val="000000"/>
                <w:sz w:val="13"/>
              </w:rPr>
            </w:pPr>
          </w:p>
        </w:tc>
      </w:tr>
      <w:tr w:rsidR="00CE1716" w:rsidRPr="000A1C8E" w:rsidTr="00C16156">
        <w:trPr>
          <w:gridBefore w:val="1"/>
          <w:wBefore w:w="20" w:type="dxa"/>
          <w:trHeight w:val="278"/>
          <w:jc w:val="center"/>
        </w:trPr>
        <w:tc>
          <w:tcPr>
            <w:tcW w:w="2714" w:type="dxa"/>
            <w:tcBorders>
              <w:bottom w:val="single" w:sz="4" w:space="0" w:color="auto"/>
            </w:tcBorders>
            <w:shd w:val="clear" w:color="auto" w:fill="FABF8F"/>
            <w:vAlign w:val="center"/>
          </w:tcPr>
          <w:p w:rsidR="00CE1716" w:rsidRPr="000A1C8E" w:rsidRDefault="00CE1716" w:rsidP="00E13599">
            <w:pPr>
              <w:pStyle w:val="Heading2"/>
              <w:keepNext/>
              <w:spacing w:before="20" w:after="20"/>
              <w:ind w:left="0"/>
              <w:rPr>
                <w:rFonts w:ascii="Tahoma" w:hAnsi="Tahoma" w:cs="Tahoma"/>
                <w:b w:val="0"/>
                <w:sz w:val="14"/>
                <w:szCs w:val="14"/>
              </w:rPr>
            </w:pPr>
            <w:bookmarkStart w:id="579" w:name="_Toc361829253"/>
            <w:r w:rsidRPr="000A1C8E">
              <w:rPr>
                <w:rFonts w:ascii="Tahoma" w:hAnsi="Tahoma" w:cs="Tahoma"/>
                <w:b w:val="0"/>
                <w:sz w:val="14"/>
                <w:szCs w:val="14"/>
              </w:rPr>
              <w:t>Windows Web Server 2008 R2</w:t>
            </w:r>
            <w:bookmarkEnd w:id="579"/>
          </w:p>
        </w:tc>
        <w:tc>
          <w:tcPr>
            <w:tcW w:w="450" w:type="dxa"/>
            <w:tcBorders>
              <w:bottom w:val="single" w:sz="4" w:space="0" w:color="auto"/>
            </w:tcBorders>
            <w:shd w:val="clear" w:color="auto" w:fill="FABF8F"/>
            <w:vAlign w:val="center"/>
          </w:tcPr>
          <w:p w:rsidR="00CE1716" w:rsidRPr="00DC1AC3" w:rsidRDefault="006C57E7" w:rsidP="00740B19">
            <w:pPr>
              <w:pStyle w:val="TableText"/>
              <w:keepNext/>
              <w:widowControl w:val="0"/>
              <w:rPr>
                <w:rStyle w:val="EndnoteReference"/>
                <w:rFonts w:cs="Tahoma"/>
                <w:b w:val="0"/>
                <w:sz w:val="13"/>
                <w:szCs w:val="13"/>
                <w:u w:val="single"/>
              </w:rPr>
            </w:pPr>
            <w:hyperlink w:anchor="_119_Windows_Web" w:history="1">
              <w:r w:rsidR="003D47E7" w:rsidRPr="00140565">
                <w:rPr>
                  <w:rStyle w:val="Hyperlink"/>
                  <w:rFonts w:cs="Tahoma"/>
                  <w:b/>
                  <w:sz w:val="13"/>
                  <w:szCs w:val="13"/>
                </w:rPr>
                <w:t>115</w:t>
              </w:r>
            </w:hyperlink>
          </w:p>
        </w:tc>
        <w:tc>
          <w:tcPr>
            <w:tcW w:w="433" w:type="dxa"/>
            <w:tcBorders>
              <w:bottom w:val="single" w:sz="4" w:space="0" w:color="auto"/>
            </w:tcBorders>
            <w:shd w:val="clear" w:color="auto" w:fill="FABF8F"/>
            <w:vAlign w:val="center"/>
          </w:tcPr>
          <w:p w:rsidR="00CE1716" w:rsidRPr="000A1C8E" w:rsidRDefault="00CE1716" w:rsidP="00C16156">
            <w:pPr>
              <w:pStyle w:val="TableText"/>
              <w:keepNext/>
              <w:widowControl w:val="0"/>
              <w:spacing w:before="120"/>
              <w:rPr>
                <w:rFonts w:ascii="Tahoma" w:hAnsi="Tahoma" w:cs="Tahoma"/>
                <w:color w:val="000000"/>
                <w:sz w:val="13"/>
              </w:rPr>
            </w:pPr>
            <w:r w:rsidRPr="000A1C8E">
              <w:rPr>
                <w:rFonts w:ascii="Tahoma" w:hAnsi="Tahoma" w:cs="Tahoma"/>
                <w:color w:val="000000"/>
                <w:sz w:val="13"/>
              </w:rPr>
              <w:t>08/09</w:t>
            </w:r>
          </w:p>
        </w:tc>
        <w:tc>
          <w:tcPr>
            <w:tcW w:w="377" w:type="dxa"/>
            <w:tcBorders>
              <w:bottom w:val="single" w:sz="4" w:space="0" w:color="auto"/>
              <w:right w:val="single" w:sz="18" w:space="0" w:color="auto"/>
            </w:tcBorders>
            <w:shd w:val="clear" w:color="auto" w:fill="FABF8F"/>
            <w:vAlign w:val="center"/>
          </w:tcPr>
          <w:p w:rsidR="00CE1716" w:rsidRPr="000A1C8E" w:rsidRDefault="00CE1716" w:rsidP="00E13599">
            <w:pPr>
              <w:pStyle w:val="TableText"/>
              <w:keepNext/>
              <w:widowControl w:val="0"/>
              <w:rPr>
                <w:rFonts w:ascii="Tahoma" w:hAnsi="Tahoma" w:cs="Tahoma"/>
                <w:color w:val="000000"/>
                <w:sz w:val="13"/>
              </w:rPr>
            </w:pPr>
            <w:r w:rsidRPr="000A1C8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369" w:type="dxa"/>
            <w:tcBorders>
              <w:left w:val="single" w:sz="18" w:space="0" w:color="auto"/>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FABF8F"/>
            <w:vAlign w:val="center"/>
          </w:tcPr>
          <w:p w:rsidR="00CE1716" w:rsidRPr="000A1C8E" w:rsidRDefault="00CE1716" w:rsidP="00E13599">
            <w:pPr>
              <w:pStyle w:val="TableText"/>
              <w:keepNext/>
              <w:widowControl w:val="0"/>
              <w:rPr>
                <w:rFonts w:ascii="Tahoma" w:hAnsi="Tahoma" w:cs="Tahoma"/>
                <w:sz w:val="13"/>
              </w:rPr>
            </w:pPr>
          </w:p>
        </w:tc>
        <w:tc>
          <w:tcPr>
            <w:tcW w:w="693" w:type="dxa"/>
            <w:tcBorders>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CE1716" w:rsidRPr="000A1C8E" w:rsidRDefault="00CE1716" w:rsidP="00E13599">
            <w:pPr>
              <w:pStyle w:val="TableText"/>
              <w:keepNext/>
              <w:widowControl w:val="0"/>
              <w:rPr>
                <w:rFonts w:ascii="Tahoma" w:hAnsi="Tahoma" w:cs="Tahoma"/>
                <w:color w:val="000000"/>
                <w:sz w:val="13"/>
              </w:rPr>
            </w:pPr>
          </w:p>
        </w:tc>
      </w:tr>
      <w:tr w:rsidR="00A5643F" w:rsidRPr="000A1C8E" w:rsidTr="00C16156">
        <w:trPr>
          <w:gridBefore w:val="1"/>
          <w:wBefore w:w="20" w:type="dxa"/>
          <w:trHeight w:val="145"/>
          <w:jc w:val="center"/>
        </w:trPr>
        <w:tc>
          <w:tcPr>
            <w:tcW w:w="2714" w:type="dxa"/>
            <w:tcBorders>
              <w:bottom w:val="single" w:sz="4" w:space="0" w:color="auto"/>
            </w:tcBorders>
            <w:shd w:val="clear" w:color="auto" w:fill="auto"/>
            <w:vAlign w:val="center"/>
          </w:tcPr>
          <w:p w:rsidR="00A5643F" w:rsidRPr="000A1C8E" w:rsidRDefault="00A5643F" w:rsidP="002E5D03">
            <w:pPr>
              <w:pStyle w:val="Heading2"/>
              <w:spacing w:before="20" w:after="20"/>
              <w:ind w:left="0"/>
              <w:rPr>
                <w:rFonts w:ascii="Tahoma" w:hAnsi="Tahoma" w:cs="Tahoma"/>
                <w:b w:val="0"/>
                <w:sz w:val="14"/>
                <w:szCs w:val="14"/>
              </w:rPr>
            </w:pPr>
            <w:bookmarkStart w:id="580" w:name="_Toc361829254"/>
            <w:r w:rsidRPr="000A1C8E">
              <w:rPr>
                <w:rFonts w:ascii="Tahoma" w:hAnsi="Tahoma" w:cs="Tahoma"/>
                <w:b w:val="0"/>
                <w:sz w:val="14"/>
                <w:szCs w:val="14"/>
              </w:rPr>
              <w:t>Yammer Enterprise</w:t>
            </w:r>
            <w:bookmarkEnd w:id="580"/>
          </w:p>
        </w:tc>
        <w:tc>
          <w:tcPr>
            <w:tcW w:w="450" w:type="dxa"/>
            <w:tcBorders>
              <w:bottom w:val="single" w:sz="4" w:space="0" w:color="auto"/>
            </w:tcBorders>
            <w:shd w:val="clear" w:color="auto" w:fill="auto"/>
            <w:vAlign w:val="center"/>
          </w:tcPr>
          <w:p w:rsidR="00A5643F" w:rsidRPr="00DC1AC3" w:rsidRDefault="00A5643F" w:rsidP="00370049">
            <w:pPr>
              <w:pStyle w:val="TableText"/>
              <w:widowControl w:val="0"/>
              <w:rPr>
                <w:rFonts w:cs="Tahoma"/>
                <w:b/>
                <w:sz w:val="13"/>
                <w:szCs w:val="13"/>
              </w:rPr>
            </w:pPr>
          </w:p>
        </w:tc>
        <w:tc>
          <w:tcPr>
            <w:tcW w:w="433" w:type="dxa"/>
            <w:tcBorders>
              <w:bottom w:val="single" w:sz="4" w:space="0" w:color="auto"/>
            </w:tcBorders>
            <w:shd w:val="clear" w:color="auto" w:fill="auto"/>
            <w:vAlign w:val="center"/>
          </w:tcPr>
          <w:p w:rsidR="00A5643F" w:rsidRPr="000A1C8E" w:rsidRDefault="00A5643F" w:rsidP="00C16156">
            <w:pPr>
              <w:pStyle w:val="TableText"/>
              <w:widowControl w:val="0"/>
              <w:spacing w:before="120"/>
              <w:rPr>
                <w:rFonts w:ascii="Tahoma" w:hAnsi="Tahoma" w:cs="Tahoma"/>
                <w:sz w:val="13"/>
              </w:rPr>
            </w:pPr>
            <w:r w:rsidRPr="000A1C8E">
              <w:rPr>
                <w:rFonts w:ascii="Tahoma" w:hAnsi="Tahoma" w:cs="Tahoma"/>
                <w:sz w:val="13"/>
              </w:rPr>
              <w:t>03/13</w:t>
            </w:r>
          </w:p>
        </w:tc>
        <w:tc>
          <w:tcPr>
            <w:tcW w:w="377" w:type="dxa"/>
            <w:tcBorders>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r w:rsidRPr="000A1C8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369" w:type="dxa"/>
            <w:tcBorders>
              <w:left w:val="single" w:sz="18" w:space="0" w:color="auto"/>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396" w:type="dxa"/>
            <w:tcBorders>
              <w:left w:val="single" w:sz="18" w:space="0" w:color="auto"/>
              <w:bottom w:val="single" w:sz="4" w:space="0" w:color="auto"/>
              <w:right w:val="single" w:sz="18" w:space="0" w:color="auto"/>
            </w:tcBorders>
            <w:shd w:val="clear" w:color="auto" w:fill="auto"/>
            <w:vAlign w:val="center"/>
          </w:tcPr>
          <w:p w:rsidR="00A5643F" w:rsidRPr="000A1C8E" w:rsidRDefault="00A5643F" w:rsidP="00F97D54">
            <w:pPr>
              <w:pStyle w:val="TableText"/>
              <w:widowControl w:val="0"/>
              <w:rPr>
                <w:rFonts w:ascii="Tahoma" w:hAnsi="Tahoma" w:cs="Tahoma"/>
                <w:sz w:val="13"/>
              </w:rPr>
            </w:pPr>
          </w:p>
        </w:tc>
        <w:tc>
          <w:tcPr>
            <w:tcW w:w="693" w:type="dxa"/>
            <w:tcBorders>
              <w:bottom w:val="single" w:sz="4" w:space="0" w:color="auto"/>
            </w:tcBorders>
            <w:shd w:val="clear" w:color="auto" w:fill="auto"/>
          </w:tcPr>
          <w:p w:rsidR="00A5643F" w:rsidRPr="000A1C8E" w:rsidRDefault="00A5643F" w:rsidP="00E27A85">
            <w:pPr>
              <w:pStyle w:val="TableText"/>
              <w:widowControl w:val="0"/>
              <w:spacing w:before="60"/>
              <w:rPr>
                <w:rFonts w:ascii="Tahoma" w:hAnsi="Tahoma" w:cs="Tahoma"/>
                <w:sz w:val="13"/>
              </w:rPr>
            </w:pPr>
            <w:r w:rsidRPr="000A1C8E">
              <w:rPr>
                <w:rFonts w:ascii="Tahoma" w:hAnsi="Tahoma" w:cs="Tahoma"/>
                <w:sz w:val="13"/>
              </w:rPr>
              <w:t>A</w:t>
            </w:r>
          </w:p>
        </w:tc>
        <w:tc>
          <w:tcPr>
            <w:tcW w:w="486" w:type="dxa"/>
            <w:tcBorders>
              <w:bottom w:val="single" w:sz="4" w:space="0" w:color="auto"/>
            </w:tcBorders>
            <w:shd w:val="clear" w:color="auto" w:fill="auto"/>
            <w:vAlign w:val="center"/>
          </w:tcPr>
          <w:p w:rsidR="00A5643F" w:rsidRPr="000A1C8E" w:rsidRDefault="00A5643F" w:rsidP="00F97D54">
            <w:pPr>
              <w:pStyle w:val="TableText"/>
              <w:widowControl w:val="0"/>
              <w:rPr>
                <w:rFonts w:ascii="Tahoma" w:hAnsi="Tahoma" w:cs="Tahoma"/>
                <w:color w:val="000000"/>
                <w:sz w:val="13"/>
              </w:rPr>
            </w:pPr>
          </w:p>
        </w:tc>
      </w:tr>
    </w:tbl>
    <w:p w:rsidR="00612FCC" w:rsidRPr="000A1C8E" w:rsidRDefault="005761A6" w:rsidP="0033459E">
      <w:pPr>
        <w:pStyle w:val="Heading1"/>
        <w:rPr>
          <w:rFonts w:cs="Tahoma"/>
        </w:rPr>
      </w:pPr>
      <w:bookmarkStart w:id="581" w:name="_Toc349586123"/>
      <w:bookmarkStart w:id="582" w:name="_Toc349586654"/>
      <w:bookmarkStart w:id="583" w:name="_Toc354459730"/>
      <w:bookmarkStart w:id="584" w:name="_Toc361828733"/>
      <w:bookmarkStart w:id="585" w:name="_Toc361829255"/>
      <w:bookmarkStart w:id="586" w:name="_Toc336338167"/>
      <w:r>
        <w:rPr>
          <w:rFonts w:cs="Tahoma"/>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0565" w:rsidRDefault="00140565"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140565" w:rsidRDefault="00140565" w:rsidP="00C8780F">
                            <w:pPr>
                              <w:rPr>
                                <w:rFonts w:cs="Tahoma"/>
                                <w:i/>
                                <w:color w:val="000000"/>
                                <w:sz w:val="14"/>
                                <w:szCs w:val="14"/>
                              </w:rPr>
                            </w:pPr>
                            <w:r>
                              <w:rPr>
                                <w:rFonts w:cs="Tahoma"/>
                                <w:i/>
                                <w:color w:val="000000"/>
                                <w:sz w:val="14"/>
                                <w:szCs w:val="14"/>
                              </w:rPr>
                              <w:t>*Para Select Plus, serão usados apenas os valores de ‘L’ e três anos para ‘L&amp;SA’ / ’SA’.</w:t>
                            </w:r>
                          </w:p>
                          <w:p w:rsidR="00140565" w:rsidRDefault="00140565"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140565" w:rsidRDefault="00140565"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140565" w:rsidRDefault="00140565" w:rsidP="00C8780F">
                      <w:pPr>
                        <w:rPr>
                          <w:rFonts w:cs="Tahoma"/>
                          <w:i/>
                          <w:color w:val="000000"/>
                          <w:sz w:val="14"/>
                          <w:szCs w:val="14"/>
                        </w:rPr>
                      </w:pPr>
                      <w:r>
                        <w:rPr>
                          <w:rFonts w:cs="Tahoma"/>
                          <w:i/>
                          <w:color w:val="000000"/>
                          <w:sz w:val="14"/>
                          <w:szCs w:val="14"/>
                        </w:rPr>
                        <w:t>*Para Select Plus, serão usados apenas os valores de ‘L’ e três anos para ‘L&amp;SA’ / ’SA’.</w:t>
                      </w:r>
                    </w:p>
                    <w:p w:rsidR="00140565" w:rsidRDefault="00140565" w:rsidP="00C8780F"/>
                  </w:txbxContent>
                </v:textbox>
                <w10:wrap type="topAndBottom"/>
              </v:shape>
            </w:pict>
          </mc:Fallback>
        </mc:AlternateContent>
      </w:r>
      <w:bookmarkEnd w:id="581"/>
      <w:bookmarkEnd w:id="582"/>
      <w:bookmarkEnd w:id="583"/>
      <w:bookmarkEnd w:id="584"/>
      <w:bookmarkEnd w:id="585"/>
      <w:r w:rsidR="003D47E7" w:rsidRPr="000A1C8E">
        <w:rPr>
          <w:rFonts w:cs="Tahoma"/>
        </w:rPr>
        <w:br w:type="page"/>
      </w:r>
    </w:p>
    <w:p w:rsidR="00023FE7" w:rsidRPr="000A1C8E" w:rsidRDefault="00A33112" w:rsidP="0033459E">
      <w:pPr>
        <w:pStyle w:val="Heading1"/>
        <w:rPr>
          <w:rFonts w:cs="Tahoma"/>
        </w:rPr>
      </w:pPr>
      <w:bookmarkStart w:id="587" w:name="_Toc349586124"/>
      <w:bookmarkStart w:id="588" w:name="_Toc361829256"/>
      <w:r w:rsidRPr="000A1C8E">
        <w:rPr>
          <w:rFonts w:cs="Tahoma"/>
        </w:rPr>
        <w:lastRenderedPageBreak/>
        <w:t>SEÇÃO 1 – Alterações na LISTA DE PRODUTOS nos</w:t>
      </w:r>
      <w:bookmarkEnd w:id="587"/>
      <w:r w:rsidRPr="000A1C8E">
        <w:rPr>
          <w:rFonts w:cs="Tahoma"/>
        </w:rPr>
        <w:t xml:space="preserve"> últimos 12 meses</w:t>
      </w:r>
      <w:bookmarkEnd w:id="586"/>
      <w:bookmarkEnd w:id="588"/>
    </w:p>
    <w:p w:rsidR="00471E00" w:rsidRPr="000A1C8E" w:rsidRDefault="00471E00" w:rsidP="00471E00">
      <w:pPr>
        <w:pStyle w:val="Heading2"/>
        <w:ind w:left="0"/>
        <w:jc w:val="both"/>
        <w:rPr>
          <w:rFonts w:ascii="Tahoma" w:hAnsi="Tahoma" w:cs="Tahoma"/>
          <w:color w:val="FF6600"/>
        </w:rPr>
      </w:pPr>
      <w:bookmarkStart w:id="589" w:name="_Toc336338168"/>
    </w:p>
    <w:p w:rsidR="007C2F29" w:rsidRPr="000A1C8E" w:rsidRDefault="007C2F29" w:rsidP="00DE520D">
      <w:pPr>
        <w:pStyle w:val="Heading2"/>
        <w:ind w:left="0"/>
        <w:jc w:val="both"/>
        <w:rPr>
          <w:rFonts w:ascii="Tahoma" w:hAnsi="Tahoma" w:cs="Tahoma"/>
        </w:rPr>
      </w:pPr>
      <w:bookmarkStart w:id="590" w:name="_Toc361829257"/>
      <w:r w:rsidRPr="000A1C8E">
        <w:rPr>
          <w:rFonts w:ascii="Tahoma" w:hAnsi="Tahoma" w:cs="Tahoma"/>
          <w:color w:val="FF6600"/>
        </w:rPr>
        <w:t>ALTERAÇÕES EM AGOSTO DE 2013</w:t>
      </w:r>
      <w:bookmarkEnd w:id="590"/>
    </w:p>
    <w:p w:rsidR="007C2F29" w:rsidRPr="000A1C8E" w:rsidRDefault="007C2F29" w:rsidP="007C2F29">
      <w:pPr>
        <w:spacing w:after="60"/>
        <w:rPr>
          <w:rFonts w:cs="Tahoma"/>
        </w:rPr>
      </w:pPr>
    </w:p>
    <w:p w:rsidR="007C2F29" w:rsidRPr="000A1C8E" w:rsidRDefault="007C2F29" w:rsidP="007C2F29">
      <w:pPr>
        <w:spacing w:after="60"/>
        <w:rPr>
          <w:rFonts w:cs="Tahoma"/>
        </w:rPr>
      </w:pPr>
      <w:r w:rsidRPr="000A1C8E">
        <w:rPr>
          <w:rFonts w:cs="Tahoma"/>
          <w:b/>
        </w:rPr>
        <w:t>Adições</w:t>
      </w:r>
    </w:p>
    <w:p w:rsidR="006068C9" w:rsidRPr="000A1C8E" w:rsidRDefault="006068C9" w:rsidP="003F1A34">
      <w:pPr>
        <w:rPr>
          <w:rFonts w:cs="Tahoma"/>
        </w:rPr>
      </w:pPr>
      <w:r w:rsidRPr="000A1C8E">
        <w:rPr>
          <w:rFonts w:cs="Tahoma"/>
          <w:szCs w:val="18"/>
        </w:rPr>
        <w:t>Complemento do Exchange Online Plano 1 (SL de Usuário)</w:t>
      </w:r>
    </w:p>
    <w:p w:rsidR="006068C9" w:rsidRPr="000A1C8E" w:rsidRDefault="006068C9" w:rsidP="003F1A34">
      <w:pPr>
        <w:rPr>
          <w:rFonts w:cs="Tahoma"/>
        </w:rPr>
      </w:pPr>
      <w:r w:rsidRPr="000A1C8E">
        <w:rPr>
          <w:rFonts w:cs="Tahoma"/>
          <w:szCs w:val="18"/>
        </w:rPr>
        <w:t>Complemento do Lync Online Plano 1 (SL de Usuário)</w:t>
      </w:r>
    </w:p>
    <w:p w:rsidR="006068C9" w:rsidRPr="000A1C8E" w:rsidRDefault="006068C9" w:rsidP="003F1A34">
      <w:pPr>
        <w:rPr>
          <w:rFonts w:cs="Tahoma"/>
        </w:rPr>
      </w:pPr>
      <w:r w:rsidRPr="000A1C8E">
        <w:rPr>
          <w:rFonts w:cs="Tahoma"/>
          <w:szCs w:val="18"/>
        </w:rPr>
        <w:t>Complemento do SharePoint Online Plano 1 (SL de Usuário)</w:t>
      </w:r>
    </w:p>
    <w:p w:rsidR="006068C9" w:rsidRPr="000A1C8E" w:rsidRDefault="006068C9" w:rsidP="003F1A34">
      <w:pPr>
        <w:rPr>
          <w:rFonts w:cs="Tahoma"/>
        </w:rPr>
      </w:pPr>
      <w:r w:rsidRPr="000A1C8E">
        <w:rPr>
          <w:rFonts w:cs="Tahoma"/>
          <w:szCs w:val="18"/>
        </w:rPr>
        <w:t>SharePoint Online Plano 1 com Complemento Yammer (SL de Usuário)</w:t>
      </w:r>
    </w:p>
    <w:p w:rsidR="006068C9" w:rsidRPr="000A1C8E" w:rsidRDefault="006068C9" w:rsidP="003F1A34">
      <w:pPr>
        <w:rPr>
          <w:rFonts w:cs="Tahoma"/>
        </w:rPr>
      </w:pPr>
      <w:r w:rsidRPr="000A1C8E">
        <w:rPr>
          <w:rFonts w:cs="Tahoma"/>
          <w:szCs w:val="18"/>
        </w:rPr>
        <w:t>Complemento do Office 365 Enterprise E1, E3, E4 (SL de Usuário)</w:t>
      </w:r>
    </w:p>
    <w:p w:rsidR="006068C9" w:rsidRPr="000A1C8E" w:rsidRDefault="006068C9" w:rsidP="003F1A34">
      <w:pPr>
        <w:rPr>
          <w:rFonts w:cs="Tahoma"/>
        </w:rPr>
      </w:pPr>
      <w:r w:rsidRPr="000A1C8E">
        <w:rPr>
          <w:rFonts w:cs="Tahoma"/>
          <w:szCs w:val="18"/>
        </w:rPr>
        <w:t>Complemento do Office 365 Government G1, G3, G4 (SL de Usuário)</w:t>
      </w:r>
    </w:p>
    <w:p w:rsidR="006068C9" w:rsidRPr="000A1C8E" w:rsidRDefault="006068C9" w:rsidP="003F1A34">
      <w:pPr>
        <w:rPr>
          <w:rFonts w:cs="Tahoma"/>
        </w:rPr>
      </w:pPr>
      <w:r w:rsidRPr="000A1C8E">
        <w:rPr>
          <w:rFonts w:cs="Tahoma"/>
          <w:szCs w:val="18"/>
        </w:rPr>
        <w:t>Office 365 Enterprise E3, E4 sem Complemento do Office Pro Plus (SL de Usuário)</w:t>
      </w:r>
    </w:p>
    <w:p w:rsidR="007C2F29" w:rsidRPr="000A1C8E" w:rsidRDefault="006068C9" w:rsidP="003F1A34">
      <w:pPr>
        <w:rPr>
          <w:rFonts w:cs="Tahoma"/>
        </w:rPr>
      </w:pPr>
      <w:r w:rsidRPr="000A1C8E">
        <w:rPr>
          <w:rFonts w:cs="Tahoma"/>
          <w:szCs w:val="18"/>
        </w:rPr>
        <w:t>Office 365 Government G3, G4 sem Complemento do Office Pro Plus (SL de Usuário)</w:t>
      </w:r>
    </w:p>
    <w:p w:rsidR="006068C9" w:rsidRPr="000A1C8E" w:rsidRDefault="006068C9" w:rsidP="007C2F29">
      <w:pPr>
        <w:spacing w:after="60"/>
        <w:rPr>
          <w:rFonts w:cs="Tahoma"/>
        </w:rPr>
      </w:pPr>
    </w:p>
    <w:p w:rsidR="007C2F29" w:rsidRPr="000A1C8E" w:rsidRDefault="007C2F29" w:rsidP="007C2F29">
      <w:pPr>
        <w:spacing w:after="60"/>
        <w:rPr>
          <w:rFonts w:cs="Tahoma"/>
        </w:rPr>
      </w:pPr>
      <w:r w:rsidRPr="000A1C8E">
        <w:rPr>
          <w:rFonts w:cs="Tahoma"/>
          <w:b/>
        </w:rPr>
        <w:t>Promoções</w:t>
      </w:r>
    </w:p>
    <w:p w:rsidR="00DB6980" w:rsidRPr="000A1C8E" w:rsidRDefault="00DB6980" w:rsidP="003F1A34">
      <w:pPr>
        <w:rPr>
          <w:rFonts w:cs="Tahoma"/>
        </w:rPr>
      </w:pPr>
      <w:r w:rsidRPr="000A1C8E">
        <w:rPr>
          <w:rFonts w:cs="Tahoma"/>
          <w:szCs w:val="18"/>
        </w:rPr>
        <w:t>As seguintes promoções foram excluídas:</w:t>
      </w:r>
    </w:p>
    <w:p w:rsidR="006068C9" w:rsidRPr="000A1C8E" w:rsidRDefault="003F5594" w:rsidP="003F1A34">
      <w:pPr>
        <w:rPr>
          <w:rFonts w:cs="Tahoma"/>
        </w:rPr>
      </w:pPr>
      <w:r w:rsidRPr="000A1C8E">
        <w:rPr>
          <w:rFonts w:cs="Tahoma"/>
          <w:szCs w:val="18"/>
        </w:rPr>
        <w:t xml:space="preserve">Microsoft Dynamics AX 2012 R2 - Promoção </w:t>
      </w:r>
      <w:r w:rsidR="007F411C" w:rsidRPr="000A1C8E">
        <w:rPr>
          <w:rFonts w:cs="Tahoma"/>
          <w:szCs w:val="18"/>
        </w:rPr>
        <w:t>“</w:t>
      </w:r>
      <w:r w:rsidRPr="000A1C8E">
        <w:rPr>
          <w:rFonts w:cs="Tahoma"/>
          <w:szCs w:val="18"/>
        </w:rPr>
        <w:t>Compre Uma CAL Empresarial Ganhe outra CAL Funcional</w:t>
      </w:r>
      <w:r w:rsidR="007F411C" w:rsidRPr="000A1C8E">
        <w:rPr>
          <w:rFonts w:cs="Tahoma"/>
          <w:szCs w:val="18"/>
        </w:rPr>
        <w:t>”</w:t>
      </w:r>
    </w:p>
    <w:p w:rsidR="003F5594" w:rsidRPr="000A1C8E" w:rsidRDefault="003F5594" w:rsidP="003F1A34">
      <w:pPr>
        <w:rPr>
          <w:rFonts w:cs="Tahoma"/>
        </w:rPr>
      </w:pPr>
      <w:r w:rsidRPr="000A1C8E">
        <w:rPr>
          <w:rFonts w:cs="Tahoma"/>
          <w:szCs w:val="18"/>
        </w:rPr>
        <w:t>15% de desconto em Step-ups do Project/Visio</w:t>
      </w:r>
    </w:p>
    <w:p w:rsidR="003F5594" w:rsidRPr="000A1C8E" w:rsidRDefault="003F5594" w:rsidP="003F1A34">
      <w:pPr>
        <w:rPr>
          <w:rFonts w:cs="Tahoma"/>
        </w:rPr>
      </w:pPr>
      <w:r w:rsidRPr="000A1C8E">
        <w:rPr>
          <w:rFonts w:cs="Tahoma"/>
          <w:szCs w:val="18"/>
        </w:rPr>
        <w:t>55% de desconto na CAL do Project Server para Compras para Toda a Empresa</w:t>
      </w:r>
    </w:p>
    <w:p w:rsidR="003F5594" w:rsidRPr="000A1C8E" w:rsidRDefault="003F5594" w:rsidP="003F1A34">
      <w:pPr>
        <w:rPr>
          <w:rFonts w:cs="Tahoma"/>
        </w:rPr>
      </w:pPr>
    </w:p>
    <w:p w:rsidR="007C2F29" w:rsidRPr="000A1C8E" w:rsidRDefault="007C2F29" w:rsidP="007C2F29">
      <w:pPr>
        <w:spacing w:after="60"/>
        <w:rPr>
          <w:rFonts w:cs="Tahoma"/>
        </w:rPr>
      </w:pPr>
      <w:r w:rsidRPr="000A1C8E">
        <w:rPr>
          <w:rFonts w:cs="Tahoma"/>
          <w:b/>
        </w:rPr>
        <w:t>Exclusões</w:t>
      </w:r>
    </w:p>
    <w:p w:rsidR="007C2F29" w:rsidRPr="000A1C8E" w:rsidRDefault="007C2F29" w:rsidP="007C2F29">
      <w:pPr>
        <w:spacing w:after="60"/>
        <w:rPr>
          <w:rFonts w:cs="Tahoma"/>
        </w:rPr>
      </w:pPr>
    </w:p>
    <w:p w:rsidR="007C2F29" w:rsidRPr="000A1C8E" w:rsidRDefault="007C2F29" w:rsidP="007C2F29">
      <w:pPr>
        <w:spacing w:after="60"/>
        <w:rPr>
          <w:rFonts w:cs="Tahoma"/>
        </w:rPr>
      </w:pPr>
      <w:r w:rsidRPr="000A1C8E">
        <w:rPr>
          <w:rFonts w:cs="Tahoma"/>
          <w:b/>
        </w:rPr>
        <w:t>Alterações</w:t>
      </w:r>
    </w:p>
    <w:p w:rsidR="006068C9" w:rsidRPr="000A1C8E" w:rsidRDefault="006068C9" w:rsidP="006068C9">
      <w:pPr>
        <w:rPr>
          <w:rFonts w:cs="Tahoma"/>
        </w:rPr>
      </w:pPr>
      <w:r w:rsidRPr="000A1C8E">
        <w:rPr>
          <w:rFonts w:cs="Tahoma"/>
          <w:szCs w:val="18"/>
        </w:rPr>
        <w:t>Office 365 A3, A4 (SL de Usuário)</w:t>
      </w:r>
    </w:p>
    <w:p w:rsidR="006068C9" w:rsidRPr="000A1C8E" w:rsidRDefault="000F1BE7" w:rsidP="006068C9">
      <w:pPr>
        <w:rPr>
          <w:rFonts w:cs="Tahoma"/>
        </w:rPr>
      </w:pPr>
      <w:r w:rsidRPr="000A1C8E">
        <w:rPr>
          <w:rFonts w:cs="Tahoma"/>
          <w:szCs w:val="18"/>
        </w:rPr>
        <w:t>Office 365 Enterprise E2-E4 (SL de Usuário)</w:t>
      </w:r>
    </w:p>
    <w:p w:rsidR="007C2F29" w:rsidRPr="000A1C8E" w:rsidRDefault="007C2F29" w:rsidP="007C2F29">
      <w:pPr>
        <w:rPr>
          <w:rFonts w:cs="Tahoma"/>
        </w:rPr>
      </w:pPr>
    </w:p>
    <w:p w:rsidR="007C2F29" w:rsidRPr="000A1C8E" w:rsidRDefault="007C2F29" w:rsidP="007C2F29">
      <w:pPr>
        <w:rPr>
          <w:rFonts w:cs="Tahoma"/>
        </w:rPr>
      </w:pPr>
    </w:p>
    <w:p w:rsidR="00DE520D" w:rsidRPr="000A1C8E" w:rsidRDefault="00DE520D" w:rsidP="00DE520D">
      <w:pPr>
        <w:pStyle w:val="Heading2"/>
        <w:ind w:left="0"/>
        <w:jc w:val="both"/>
        <w:rPr>
          <w:rFonts w:ascii="Tahoma" w:hAnsi="Tahoma" w:cs="Tahoma"/>
        </w:rPr>
      </w:pPr>
      <w:bookmarkStart w:id="591" w:name="_Toc361829258"/>
      <w:r w:rsidRPr="000A1C8E">
        <w:rPr>
          <w:rFonts w:ascii="Tahoma" w:hAnsi="Tahoma" w:cs="Tahoma"/>
          <w:color w:val="FF6600"/>
        </w:rPr>
        <w:t>ALTERAÇÕES EM JULHO DE 2013</w:t>
      </w:r>
      <w:bookmarkEnd w:id="591"/>
    </w:p>
    <w:p w:rsidR="00DE520D" w:rsidRPr="000A1C8E" w:rsidRDefault="00DE520D" w:rsidP="00DE520D">
      <w:pPr>
        <w:rPr>
          <w:rFonts w:cs="Tahoma"/>
        </w:rPr>
      </w:pPr>
    </w:p>
    <w:p w:rsidR="00DE520D" w:rsidRPr="000A1C8E" w:rsidRDefault="00DE520D" w:rsidP="00DE520D">
      <w:pPr>
        <w:spacing w:after="60"/>
        <w:rPr>
          <w:rFonts w:cs="Tahoma"/>
        </w:rPr>
      </w:pPr>
      <w:r w:rsidRPr="000A1C8E">
        <w:rPr>
          <w:rFonts w:cs="Tahoma"/>
          <w:b/>
        </w:rPr>
        <w:t>Adições</w:t>
      </w:r>
    </w:p>
    <w:p w:rsidR="00DE520D" w:rsidRPr="000A1C8E" w:rsidRDefault="00230E06" w:rsidP="00DE520D">
      <w:pPr>
        <w:rPr>
          <w:rFonts w:cs="Tahoma"/>
        </w:rPr>
      </w:pPr>
      <w:r w:rsidRPr="000A1C8E">
        <w:rPr>
          <w:rFonts w:cs="Tahoma"/>
          <w:szCs w:val="18"/>
        </w:rPr>
        <w:t>Windows</w:t>
      </w:r>
      <w:r w:rsidR="00C83286" w:rsidRPr="000A1C8E">
        <w:rPr>
          <w:rFonts w:cs="Tahoma"/>
          <w:szCs w:val="18"/>
          <w:vertAlign w:val="superscript"/>
        </w:rPr>
        <w:t>®</w:t>
      </w:r>
      <w:r w:rsidRPr="000A1C8E">
        <w:rPr>
          <w:rFonts w:cs="Tahoma"/>
          <w:szCs w:val="18"/>
        </w:rPr>
        <w:t xml:space="preserve"> Embedded 8 Industry Pro</w:t>
      </w:r>
    </w:p>
    <w:p w:rsidR="00230E06" w:rsidRPr="000A1C8E" w:rsidRDefault="00230E06" w:rsidP="00DE520D">
      <w:pPr>
        <w:rPr>
          <w:rFonts w:cs="Tahoma"/>
        </w:rPr>
      </w:pPr>
      <w:r w:rsidRPr="000A1C8E">
        <w:rPr>
          <w:rFonts w:cs="Tahoma"/>
          <w:szCs w:val="18"/>
        </w:rPr>
        <w:t>Windows</w:t>
      </w:r>
      <w:r w:rsidR="00C83286" w:rsidRPr="000A1C8E">
        <w:rPr>
          <w:rFonts w:cs="Tahoma"/>
          <w:szCs w:val="18"/>
          <w:vertAlign w:val="superscript"/>
        </w:rPr>
        <w:t>®</w:t>
      </w:r>
      <w:r w:rsidRPr="000A1C8E">
        <w:rPr>
          <w:rFonts w:cs="Tahoma"/>
          <w:szCs w:val="18"/>
        </w:rPr>
        <w:t xml:space="preserve"> Embedded 8 Standard Enterprise Kit</w:t>
      </w:r>
    </w:p>
    <w:p w:rsidR="00230E06" w:rsidRPr="000A1C8E" w:rsidRDefault="00230E06" w:rsidP="00DE520D">
      <w:pPr>
        <w:rPr>
          <w:rFonts w:cs="Tahoma"/>
        </w:rPr>
      </w:pPr>
      <w:r w:rsidRPr="000A1C8E">
        <w:rPr>
          <w:rFonts w:cs="Tahoma"/>
          <w:szCs w:val="18"/>
        </w:rPr>
        <w:t>Windows</w:t>
      </w:r>
      <w:r w:rsidR="00C83286" w:rsidRPr="000A1C8E">
        <w:rPr>
          <w:rFonts w:cs="Tahoma"/>
          <w:szCs w:val="18"/>
          <w:vertAlign w:val="superscript"/>
        </w:rPr>
        <w:t>®</w:t>
      </w:r>
      <w:r w:rsidRPr="000A1C8E">
        <w:rPr>
          <w:rFonts w:cs="Tahoma"/>
          <w:szCs w:val="18"/>
        </w:rPr>
        <w:t xml:space="preserve"> Embedded 8 Industry Pro Sideloading</w:t>
      </w:r>
    </w:p>
    <w:p w:rsidR="00F23DD6" w:rsidRPr="000A1C8E" w:rsidRDefault="00F23DD6" w:rsidP="00DE520D">
      <w:pPr>
        <w:rPr>
          <w:rFonts w:cs="Tahoma"/>
        </w:rPr>
      </w:pPr>
      <w:r w:rsidRPr="000A1C8E">
        <w:rPr>
          <w:rFonts w:cs="Tahoma"/>
          <w:szCs w:val="18"/>
        </w:rPr>
        <w:t>Windows</w:t>
      </w:r>
      <w:r w:rsidR="00C83286" w:rsidRPr="000A1C8E">
        <w:rPr>
          <w:rFonts w:cs="Tahoma"/>
          <w:szCs w:val="18"/>
          <w:vertAlign w:val="superscript"/>
        </w:rPr>
        <w:t>®</w:t>
      </w:r>
      <w:r w:rsidRPr="000A1C8E">
        <w:rPr>
          <w:rFonts w:cs="Tahoma"/>
          <w:szCs w:val="18"/>
        </w:rPr>
        <w:t xml:space="preserve"> 8 Pro Sideloading</w:t>
      </w:r>
    </w:p>
    <w:p w:rsidR="00DE520D" w:rsidRPr="000A1C8E" w:rsidRDefault="00DE520D" w:rsidP="00DE520D">
      <w:pPr>
        <w:rPr>
          <w:rFonts w:cs="Tahoma"/>
        </w:rPr>
      </w:pPr>
    </w:p>
    <w:p w:rsidR="00DE520D" w:rsidRPr="000A1C8E" w:rsidRDefault="00DE520D" w:rsidP="00DE520D">
      <w:pPr>
        <w:spacing w:after="60"/>
        <w:rPr>
          <w:rFonts w:cs="Tahoma"/>
        </w:rPr>
      </w:pPr>
      <w:r w:rsidRPr="000A1C8E">
        <w:rPr>
          <w:rFonts w:cs="Tahoma"/>
          <w:b/>
        </w:rPr>
        <w:t>Promoções</w:t>
      </w:r>
    </w:p>
    <w:p w:rsidR="00DE520D" w:rsidRPr="000A1C8E" w:rsidRDefault="00230E06" w:rsidP="00DE520D">
      <w:pPr>
        <w:rPr>
          <w:rFonts w:cs="Tahoma"/>
        </w:rPr>
      </w:pPr>
      <w:r w:rsidRPr="000A1C8E">
        <w:rPr>
          <w:rFonts w:cs="Tahoma"/>
          <w:color w:val="000000"/>
          <w:szCs w:val="18"/>
        </w:rPr>
        <w:t>Sem alterações nas Promoções</w:t>
      </w:r>
    </w:p>
    <w:p w:rsidR="00DE520D" w:rsidRPr="000A1C8E" w:rsidRDefault="00DE520D" w:rsidP="00DE520D">
      <w:pPr>
        <w:rPr>
          <w:rFonts w:cs="Tahoma"/>
        </w:rPr>
      </w:pPr>
    </w:p>
    <w:p w:rsidR="00DE520D" w:rsidRPr="000A1C8E" w:rsidRDefault="00DE520D" w:rsidP="00DE520D">
      <w:pPr>
        <w:spacing w:after="60"/>
        <w:rPr>
          <w:rFonts w:cs="Tahoma"/>
        </w:rPr>
      </w:pPr>
      <w:r w:rsidRPr="000A1C8E">
        <w:rPr>
          <w:rFonts w:cs="Tahoma"/>
          <w:b/>
        </w:rPr>
        <w:t>Exclusões</w:t>
      </w:r>
    </w:p>
    <w:p w:rsidR="00DE520D" w:rsidRPr="000A1C8E" w:rsidRDefault="00230E06" w:rsidP="00DE520D">
      <w:pPr>
        <w:rPr>
          <w:rFonts w:cs="Tahoma"/>
        </w:rPr>
      </w:pPr>
      <w:r w:rsidRPr="000A1C8E">
        <w:rPr>
          <w:rFonts w:cs="Tahoma"/>
          <w:color w:val="000000"/>
          <w:szCs w:val="20"/>
        </w:rPr>
        <w:t>Vexcel Server</w:t>
      </w:r>
    </w:p>
    <w:p w:rsidR="00230E06" w:rsidRPr="000A1C8E" w:rsidRDefault="00230E06" w:rsidP="00DE520D">
      <w:pPr>
        <w:rPr>
          <w:rFonts w:cs="Tahoma"/>
        </w:rPr>
      </w:pPr>
      <w:r w:rsidRPr="000A1C8E">
        <w:rPr>
          <w:rFonts w:cs="Tahoma"/>
          <w:color w:val="000000"/>
          <w:szCs w:val="20"/>
        </w:rPr>
        <w:t>Vexcel Server com Pacote de Conteúdo Aprimorado</w:t>
      </w:r>
    </w:p>
    <w:p w:rsidR="00230E06" w:rsidRPr="000A1C8E" w:rsidRDefault="00230E06" w:rsidP="00DE520D">
      <w:pPr>
        <w:rPr>
          <w:rFonts w:cs="Tahoma"/>
        </w:rPr>
      </w:pPr>
      <w:r w:rsidRPr="000A1C8E">
        <w:rPr>
          <w:rFonts w:cs="Tahoma"/>
          <w:color w:val="000000"/>
          <w:szCs w:val="20"/>
        </w:rPr>
        <w:t>Vexcel Desktop com Pacote de Conteúdo Aprimorado</w:t>
      </w:r>
    </w:p>
    <w:p w:rsidR="00230E06" w:rsidRPr="000A1C8E" w:rsidRDefault="00230E06" w:rsidP="00DE520D">
      <w:pPr>
        <w:rPr>
          <w:rFonts w:cs="Tahoma"/>
        </w:rPr>
      </w:pPr>
      <w:r w:rsidRPr="000A1C8E">
        <w:rPr>
          <w:rFonts w:cs="Tahoma"/>
          <w:color w:val="000000"/>
          <w:szCs w:val="20"/>
        </w:rPr>
        <w:t>GeoSynther 3.0</w:t>
      </w:r>
    </w:p>
    <w:p w:rsidR="00230E06" w:rsidRPr="000A1C8E" w:rsidRDefault="00230E06" w:rsidP="00DE520D">
      <w:pPr>
        <w:rPr>
          <w:rFonts w:cs="Tahoma"/>
        </w:rPr>
      </w:pPr>
      <w:r w:rsidRPr="000A1C8E">
        <w:rPr>
          <w:rFonts w:cs="Tahoma"/>
          <w:color w:val="000000"/>
          <w:szCs w:val="20"/>
        </w:rPr>
        <w:t>GeoSynth Viewer 3.0</w:t>
      </w:r>
    </w:p>
    <w:p w:rsidR="00230E06" w:rsidRPr="000A1C8E" w:rsidRDefault="00230E06" w:rsidP="00DE520D">
      <w:pPr>
        <w:rPr>
          <w:rFonts w:cs="Tahoma"/>
        </w:rPr>
      </w:pPr>
      <w:r w:rsidRPr="000A1C8E">
        <w:rPr>
          <w:rFonts w:cs="Tahoma"/>
          <w:color w:val="000000"/>
          <w:szCs w:val="20"/>
        </w:rPr>
        <w:t>GeoSynth Server</w:t>
      </w:r>
    </w:p>
    <w:p w:rsidR="00230E06" w:rsidRPr="0001153D" w:rsidRDefault="00230E06" w:rsidP="00230E06">
      <w:pPr>
        <w:rPr>
          <w:rFonts w:ascii="Arial" w:hAnsi="Arial" w:cs="Arial"/>
        </w:rPr>
      </w:pPr>
      <w:r w:rsidRPr="0001153D">
        <w:rPr>
          <w:rFonts w:ascii="Arial" w:eastAsia="Times New Roman" w:hAnsi="Arial" w:cs="Arial"/>
          <w:sz w:val="20"/>
          <w:szCs w:val="20"/>
        </w:rPr>
        <w:t>Complemento do Windows Small Business Server 2011 Premium (5 clientes)</w:t>
      </w:r>
    </w:p>
    <w:p w:rsidR="00230E06" w:rsidRPr="0001153D" w:rsidRDefault="00230E06" w:rsidP="00230E06">
      <w:pPr>
        <w:rPr>
          <w:rFonts w:ascii="Arial" w:hAnsi="Arial" w:cs="Arial"/>
        </w:rPr>
      </w:pPr>
      <w:r w:rsidRPr="0001153D">
        <w:rPr>
          <w:rFonts w:ascii="Arial" w:eastAsia="Times New Roman" w:hAnsi="Arial" w:cs="Arial"/>
          <w:sz w:val="20"/>
          <w:szCs w:val="20"/>
        </w:rPr>
        <w:t>Windows Small Business Server 2011 Standard (5 clientes)</w:t>
      </w:r>
    </w:p>
    <w:p w:rsidR="00230E06" w:rsidRPr="0001153D" w:rsidRDefault="00230E06" w:rsidP="00230E06">
      <w:pPr>
        <w:rPr>
          <w:rFonts w:ascii="Arial" w:hAnsi="Arial" w:cs="Arial"/>
        </w:rPr>
      </w:pPr>
      <w:r w:rsidRPr="0001153D">
        <w:rPr>
          <w:rFonts w:ascii="Arial" w:eastAsia="Times New Roman" w:hAnsi="Arial" w:cs="Arial"/>
          <w:sz w:val="20"/>
          <w:szCs w:val="20"/>
        </w:rPr>
        <w:t>Windows Small Business Server 2008 CAL Suite para Usuários ou Dispositivos Premium</w:t>
      </w:r>
    </w:p>
    <w:p w:rsidR="00230E06" w:rsidRPr="0001153D" w:rsidRDefault="00230E06" w:rsidP="00230E06">
      <w:pPr>
        <w:rPr>
          <w:rFonts w:ascii="Arial" w:hAnsi="Arial" w:cs="Arial"/>
        </w:rPr>
      </w:pPr>
      <w:r w:rsidRPr="0001153D">
        <w:rPr>
          <w:rFonts w:ascii="Arial" w:eastAsia="Times New Roman" w:hAnsi="Arial" w:cs="Arial"/>
          <w:sz w:val="20"/>
          <w:szCs w:val="20"/>
        </w:rPr>
        <w:t>Windows Small Business Server 2008 CAL Suite para Usuários ou Dispositivos Premium (5 clientes)</w:t>
      </w:r>
    </w:p>
    <w:p w:rsidR="00230E06" w:rsidRPr="0001153D" w:rsidRDefault="00230E06" w:rsidP="00DE520D">
      <w:pPr>
        <w:rPr>
          <w:rFonts w:ascii="Arial" w:hAnsi="Arial" w:cs="Arial"/>
        </w:rPr>
      </w:pPr>
      <w:r w:rsidRPr="0001153D">
        <w:rPr>
          <w:rFonts w:ascii="Arial" w:eastAsia="Times New Roman" w:hAnsi="Arial" w:cs="Arial"/>
          <w:sz w:val="20"/>
          <w:szCs w:val="20"/>
        </w:rPr>
        <w:t>Windows Small Business Server 2008 CAL Suite para Usuários ou Dispositivos Premium (20 clientes)</w:t>
      </w:r>
    </w:p>
    <w:p w:rsidR="00DE520D" w:rsidRPr="000A1C8E" w:rsidRDefault="00DE520D" w:rsidP="00DE520D">
      <w:pPr>
        <w:rPr>
          <w:rFonts w:cs="Tahoma"/>
        </w:rPr>
      </w:pPr>
    </w:p>
    <w:p w:rsidR="00DE520D" w:rsidRPr="000A1C8E" w:rsidRDefault="00DE520D" w:rsidP="00DE520D">
      <w:pPr>
        <w:spacing w:after="60"/>
        <w:rPr>
          <w:rFonts w:cs="Tahoma"/>
        </w:rPr>
      </w:pPr>
      <w:r w:rsidRPr="000A1C8E">
        <w:rPr>
          <w:rFonts w:cs="Tahoma"/>
          <w:b/>
        </w:rPr>
        <w:lastRenderedPageBreak/>
        <w:t>Alterações</w:t>
      </w:r>
    </w:p>
    <w:p w:rsidR="00230E06" w:rsidRPr="0001153D" w:rsidRDefault="00230E06" w:rsidP="00230E06">
      <w:pPr>
        <w:rPr>
          <w:rFonts w:ascii="Arial" w:hAnsi="Arial" w:cs="Arial"/>
        </w:rPr>
      </w:pPr>
      <w:r w:rsidRPr="0001153D">
        <w:rPr>
          <w:rFonts w:ascii="Arial" w:eastAsia="Times New Roman" w:hAnsi="Arial" w:cs="Arial"/>
          <w:sz w:val="20"/>
          <w:szCs w:val="20"/>
        </w:rPr>
        <w:t>Visual Studio</w:t>
      </w:r>
      <w:r w:rsidR="00C83286" w:rsidRPr="0001153D">
        <w:rPr>
          <w:rFonts w:ascii="Arial" w:eastAsia="Times New Roman" w:hAnsi="Arial" w:cs="Arial"/>
          <w:sz w:val="20"/>
          <w:szCs w:val="20"/>
          <w:vertAlign w:val="superscript"/>
        </w:rPr>
        <w:t>®</w:t>
      </w:r>
      <w:r w:rsidRPr="0001153D">
        <w:rPr>
          <w:rFonts w:ascii="Arial" w:eastAsia="Times New Roman" w:hAnsi="Arial" w:cs="Arial"/>
          <w:sz w:val="20"/>
          <w:szCs w:val="20"/>
        </w:rPr>
        <w:t xml:space="preserve"> Premium 2012 com MSDN</w:t>
      </w:r>
    </w:p>
    <w:p w:rsidR="00230E06" w:rsidRPr="0001153D" w:rsidRDefault="00230E06" w:rsidP="00230E06">
      <w:pPr>
        <w:rPr>
          <w:rFonts w:ascii="Arial" w:hAnsi="Arial" w:cs="Arial"/>
        </w:rPr>
      </w:pPr>
      <w:r w:rsidRPr="0001153D">
        <w:rPr>
          <w:rFonts w:ascii="Arial" w:eastAsia="Times New Roman" w:hAnsi="Arial" w:cs="Arial"/>
          <w:sz w:val="20"/>
          <w:szCs w:val="20"/>
        </w:rPr>
        <w:t>Visual Studio</w:t>
      </w:r>
      <w:r w:rsidR="00C83286" w:rsidRPr="0001153D">
        <w:rPr>
          <w:rFonts w:ascii="Arial" w:eastAsia="Times New Roman" w:hAnsi="Arial" w:cs="Arial"/>
          <w:sz w:val="20"/>
          <w:szCs w:val="20"/>
          <w:vertAlign w:val="superscript"/>
        </w:rPr>
        <w:t>®</w:t>
      </w:r>
      <w:r w:rsidRPr="0001153D">
        <w:rPr>
          <w:rFonts w:ascii="Arial" w:eastAsia="Times New Roman" w:hAnsi="Arial" w:cs="Arial"/>
          <w:sz w:val="20"/>
          <w:szCs w:val="20"/>
        </w:rPr>
        <w:t xml:space="preserve"> Ultimate 2012 com MSDN</w:t>
      </w:r>
    </w:p>
    <w:p w:rsidR="00230E06" w:rsidRPr="0001153D" w:rsidRDefault="00230E06" w:rsidP="00230E06">
      <w:pPr>
        <w:rPr>
          <w:rFonts w:ascii="Arial" w:hAnsi="Arial" w:cs="Arial"/>
        </w:rPr>
      </w:pPr>
      <w:r w:rsidRPr="0001153D">
        <w:rPr>
          <w:rFonts w:ascii="Arial" w:eastAsia="Times New Roman" w:hAnsi="Arial" w:cs="Arial"/>
          <w:sz w:val="20"/>
          <w:szCs w:val="20"/>
        </w:rPr>
        <w:t>DVD Playback Pack Windows Vista</w:t>
      </w:r>
    </w:p>
    <w:p w:rsidR="00DE520D" w:rsidRPr="0001153D" w:rsidRDefault="00230E06" w:rsidP="00862623">
      <w:pPr>
        <w:rPr>
          <w:rFonts w:ascii="Arial" w:hAnsi="Arial" w:cs="Arial"/>
        </w:rPr>
      </w:pPr>
      <w:r w:rsidRPr="0001153D">
        <w:rPr>
          <w:rFonts w:ascii="Arial" w:eastAsia="Times New Roman" w:hAnsi="Arial" w:cs="Arial"/>
          <w:sz w:val="20"/>
          <w:szCs w:val="20"/>
        </w:rPr>
        <w:t>Windows 8 Enterprise Sideloading (Pacote com 100)</w:t>
      </w:r>
    </w:p>
    <w:p w:rsidR="00862623" w:rsidRPr="000A1C8E" w:rsidRDefault="00862623" w:rsidP="00862623">
      <w:pPr>
        <w:rPr>
          <w:rFonts w:eastAsia="Times New Roman" w:cs="Tahoma"/>
          <w:sz w:val="20"/>
          <w:szCs w:val="20"/>
        </w:rPr>
      </w:pPr>
    </w:p>
    <w:p w:rsidR="00862623" w:rsidRPr="000A1C8E" w:rsidRDefault="00862623" w:rsidP="00862623">
      <w:pPr>
        <w:rPr>
          <w:rFonts w:eastAsia="Times New Roman" w:cs="Tahoma"/>
          <w:sz w:val="20"/>
          <w:szCs w:val="20"/>
        </w:rPr>
      </w:pPr>
    </w:p>
    <w:p w:rsidR="00471E00" w:rsidRPr="000A1C8E" w:rsidRDefault="00471E00" w:rsidP="00471E00">
      <w:pPr>
        <w:pStyle w:val="Heading2"/>
        <w:ind w:left="0"/>
        <w:jc w:val="both"/>
        <w:rPr>
          <w:rFonts w:ascii="Tahoma" w:hAnsi="Tahoma" w:cs="Tahoma"/>
        </w:rPr>
      </w:pPr>
      <w:bookmarkStart w:id="592" w:name="_Toc361829259"/>
      <w:r w:rsidRPr="000A1C8E">
        <w:rPr>
          <w:rFonts w:ascii="Tahoma" w:hAnsi="Tahoma" w:cs="Tahoma"/>
          <w:color w:val="FF6600"/>
        </w:rPr>
        <w:t>ALTERAÇÕES EM JUNHO DE 2013</w:t>
      </w:r>
      <w:bookmarkEnd w:id="592"/>
    </w:p>
    <w:p w:rsidR="00471E00" w:rsidRPr="000A1C8E" w:rsidRDefault="00471E00" w:rsidP="00471E00">
      <w:pPr>
        <w:rPr>
          <w:rFonts w:cs="Tahoma"/>
        </w:rPr>
      </w:pPr>
    </w:p>
    <w:p w:rsidR="00471E00" w:rsidRPr="000A1C8E" w:rsidRDefault="00471E00" w:rsidP="00471E00">
      <w:pPr>
        <w:spacing w:after="60"/>
        <w:rPr>
          <w:rFonts w:cs="Tahoma"/>
        </w:rPr>
      </w:pPr>
      <w:r w:rsidRPr="000A1C8E">
        <w:rPr>
          <w:rFonts w:cs="Tahoma"/>
          <w:b/>
        </w:rPr>
        <w:t>Adições</w:t>
      </w:r>
    </w:p>
    <w:p w:rsidR="00471E00" w:rsidRPr="000A1C8E" w:rsidRDefault="00471E00" w:rsidP="00471E00">
      <w:pPr>
        <w:rPr>
          <w:rFonts w:cs="Tahoma"/>
        </w:rPr>
      </w:pPr>
      <w:r w:rsidRPr="000A1C8E">
        <w:rPr>
          <w:rFonts w:cs="Tahoma"/>
          <w:szCs w:val="18"/>
        </w:rPr>
        <w:t>Microsoft Office Audit and Control Management</w:t>
      </w:r>
    </w:p>
    <w:p w:rsidR="00984919" w:rsidRPr="000A1C8E" w:rsidRDefault="00984919" w:rsidP="00471E00">
      <w:pPr>
        <w:rPr>
          <w:rFonts w:cs="Tahoma"/>
        </w:rPr>
      </w:pPr>
      <w:r w:rsidRPr="000A1C8E">
        <w:rPr>
          <w:rFonts w:cs="Tahoma"/>
          <w:szCs w:val="18"/>
        </w:rPr>
        <w:t>Plataformas MSDN</w:t>
      </w:r>
    </w:p>
    <w:p w:rsidR="00471E00" w:rsidRPr="000A1C8E" w:rsidRDefault="00471E00" w:rsidP="00471E00">
      <w:pPr>
        <w:rPr>
          <w:rFonts w:cs="Tahoma"/>
        </w:rPr>
      </w:pPr>
    </w:p>
    <w:p w:rsidR="00471E00" w:rsidRPr="000A1C8E" w:rsidRDefault="00471E00" w:rsidP="00471E00">
      <w:pPr>
        <w:spacing w:after="60"/>
        <w:rPr>
          <w:rFonts w:cs="Tahoma"/>
        </w:rPr>
      </w:pPr>
      <w:r w:rsidRPr="000A1C8E">
        <w:rPr>
          <w:rFonts w:cs="Tahoma"/>
          <w:b/>
        </w:rPr>
        <w:t>Promoções</w:t>
      </w:r>
    </w:p>
    <w:p w:rsidR="00471E00" w:rsidRPr="000A1C8E" w:rsidRDefault="00471E00" w:rsidP="00471E00">
      <w:pPr>
        <w:rPr>
          <w:rFonts w:cs="Tahoma"/>
        </w:rPr>
      </w:pPr>
      <w:r w:rsidRPr="000A1C8E">
        <w:rPr>
          <w:rFonts w:cs="Tahoma"/>
          <w:color w:val="000000"/>
          <w:szCs w:val="18"/>
        </w:rPr>
        <w:t>Sem alterações nas Promoções</w:t>
      </w:r>
    </w:p>
    <w:p w:rsidR="00471E00" w:rsidRPr="000A1C8E" w:rsidRDefault="00471E00" w:rsidP="00471E00">
      <w:pPr>
        <w:spacing w:after="60"/>
        <w:rPr>
          <w:rFonts w:cs="Tahoma"/>
        </w:rPr>
      </w:pPr>
      <w:r w:rsidRPr="000A1C8E">
        <w:rPr>
          <w:rFonts w:cs="Tahoma"/>
          <w:szCs w:val="18"/>
        </w:rPr>
        <w:br/>
      </w:r>
      <w:r w:rsidRPr="000A1C8E">
        <w:rPr>
          <w:rFonts w:cs="Tahoma"/>
          <w:b/>
        </w:rPr>
        <w:t>Exclusões</w:t>
      </w:r>
    </w:p>
    <w:p w:rsidR="0064651F" w:rsidRPr="000A1C8E" w:rsidRDefault="005D7F61" w:rsidP="00862623">
      <w:pPr>
        <w:rPr>
          <w:rFonts w:cs="Tahoma"/>
        </w:rPr>
      </w:pPr>
      <w:r w:rsidRPr="000A1C8E">
        <w:rPr>
          <w:rFonts w:cs="Tahoma"/>
          <w:color w:val="000000"/>
          <w:szCs w:val="20"/>
        </w:rPr>
        <w:t>Assinatura Antimalware da Web para Forefront TMG</w:t>
      </w:r>
    </w:p>
    <w:p w:rsidR="00862623" w:rsidRPr="000A1C8E" w:rsidRDefault="00862623" w:rsidP="00862623">
      <w:pPr>
        <w:rPr>
          <w:rFonts w:cs="Tahoma"/>
        </w:rPr>
      </w:pPr>
    </w:p>
    <w:p w:rsidR="00862623" w:rsidRPr="000A1C8E" w:rsidRDefault="00862623" w:rsidP="00862623">
      <w:pPr>
        <w:rPr>
          <w:rFonts w:cs="Tahoma"/>
        </w:rPr>
      </w:pPr>
    </w:p>
    <w:p w:rsidR="00290FC1" w:rsidRPr="000A1C8E" w:rsidRDefault="00290FC1" w:rsidP="00B65F35">
      <w:pPr>
        <w:pStyle w:val="Heading2"/>
        <w:ind w:left="0"/>
        <w:jc w:val="both"/>
        <w:rPr>
          <w:rFonts w:ascii="Tahoma" w:hAnsi="Tahoma" w:cs="Tahoma"/>
        </w:rPr>
      </w:pPr>
      <w:bookmarkStart w:id="593" w:name="_Toc361829260"/>
      <w:r w:rsidRPr="000A1C8E">
        <w:rPr>
          <w:rFonts w:ascii="Tahoma" w:hAnsi="Tahoma" w:cs="Tahoma"/>
          <w:color w:val="FF6600"/>
        </w:rPr>
        <w:t>ALTERAÇÕES EM MAIO DE 2013</w:t>
      </w:r>
      <w:bookmarkEnd w:id="593"/>
    </w:p>
    <w:p w:rsidR="00290FC1" w:rsidRPr="000A1C8E" w:rsidRDefault="00290FC1" w:rsidP="00B65F35">
      <w:pPr>
        <w:pStyle w:val="Heading2"/>
        <w:ind w:left="0"/>
        <w:jc w:val="both"/>
        <w:rPr>
          <w:rFonts w:ascii="Tahoma" w:hAnsi="Tahoma" w:cs="Tahoma"/>
          <w:color w:val="FF6600"/>
          <w:sz w:val="18"/>
        </w:rPr>
      </w:pPr>
    </w:p>
    <w:p w:rsidR="00290FC1" w:rsidRPr="000A1C8E" w:rsidRDefault="00290FC1" w:rsidP="00290FC1">
      <w:pPr>
        <w:spacing w:after="60"/>
        <w:rPr>
          <w:rFonts w:cs="Tahoma"/>
        </w:rPr>
      </w:pPr>
      <w:r w:rsidRPr="000A1C8E">
        <w:rPr>
          <w:rFonts w:cs="Tahoma"/>
          <w:b/>
        </w:rPr>
        <w:t>Adições</w:t>
      </w:r>
    </w:p>
    <w:p w:rsidR="007E2DBF" w:rsidRPr="000A1C8E" w:rsidRDefault="007E2DBF" w:rsidP="007E2DBF">
      <w:pPr>
        <w:rPr>
          <w:rFonts w:cs="Tahoma"/>
        </w:rPr>
      </w:pPr>
      <w:r w:rsidRPr="000A1C8E">
        <w:rPr>
          <w:rFonts w:cs="Tahoma"/>
        </w:rPr>
        <w:t>30 Cupons de Exame do Learning Solutions MCP (SL de Usuário)</w:t>
      </w:r>
    </w:p>
    <w:p w:rsidR="007E2DBF" w:rsidRPr="000A1C8E" w:rsidRDefault="007E2DBF" w:rsidP="007E2DBF">
      <w:pPr>
        <w:rPr>
          <w:rFonts w:cs="Tahoma"/>
        </w:rPr>
      </w:pPr>
      <w:r w:rsidRPr="000A1C8E">
        <w:rPr>
          <w:rFonts w:cs="Tahoma"/>
        </w:rPr>
        <w:t>Licença do Site de Exame do Learning Solutions MOS 500 (SL de Serviços)</w:t>
      </w:r>
    </w:p>
    <w:p w:rsidR="007E2DBF" w:rsidRPr="000A1C8E" w:rsidRDefault="007E2DBF" w:rsidP="007E2DBF">
      <w:pPr>
        <w:rPr>
          <w:rFonts w:cs="Tahoma"/>
        </w:rPr>
      </w:pPr>
      <w:r w:rsidRPr="000A1C8E">
        <w:rPr>
          <w:rFonts w:cs="Tahoma"/>
        </w:rPr>
        <w:t>Licença do Site de Exame do Learning Solutions MTA 250 (SL de Serviços)</w:t>
      </w:r>
    </w:p>
    <w:p w:rsidR="00290FC1" w:rsidRPr="000A1C8E" w:rsidRDefault="00290FC1" w:rsidP="00290FC1">
      <w:pPr>
        <w:rPr>
          <w:rFonts w:cs="Tahoma"/>
        </w:rPr>
      </w:pPr>
    </w:p>
    <w:p w:rsidR="00290FC1" w:rsidRPr="000A1C8E" w:rsidRDefault="00290FC1" w:rsidP="00290FC1">
      <w:pPr>
        <w:spacing w:after="60"/>
        <w:rPr>
          <w:rFonts w:cs="Tahoma"/>
        </w:rPr>
      </w:pPr>
      <w:r w:rsidRPr="000A1C8E">
        <w:rPr>
          <w:rFonts w:cs="Tahoma"/>
          <w:b/>
        </w:rPr>
        <w:t>Alterações</w:t>
      </w:r>
    </w:p>
    <w:p w:rsidR="00290FC1" w:rsidRPr="000A1C8E" w:rsidRDefault="007E2DBF" w:rsidP="00290FC1">
      <w:pPr>
        <w:rPr>
          <w:rFonts w:cs="Tahoma"/>
        </w:rPr>
      </w:pPr>
      <w:r w:rsidRPr="000A1C8E">
        <w:rPr>
          <w:rFonts w:cs="Tahoma"/>
        </w:rPr>
        <w:t>Cupons de Exame do Learning Solutions MCP 1 (SL de Serviços)</w:t>
      </w:r>
    </w:p>
    <w:p w:rsidR="007E2DBF" w:rsidRPr="000A1C8E" w:rsidRDefault="007E2DBF" w:rsidP="00290FC1">
      <w:pPr>
        <w:rPr>
          <w:rFonts w:cs="Tahoma"/>
        </w:rPr>
      </w:pPr>
      <w:r w:rsidRPr="000A1C8E">
        <w:rPr>
          <w:rFonts w:cs="Tahoma"/>
        </w:rPr>
        <w:t>Licença de Assinatura do Windows Companion</w:t>
      </w:r>
    </w:p>
    <w:p w:rsidR="007E2DBF" w:rsidRPr="000A1C8E" w:rsidRDefault="007E2DBF" w:rsidP="00290FC1">
      <w:pPr>
        <w:rPr>
          <w:rFonts w:cs="Tahoma"/>
        </w:rPr>
      </w:pPr>
      <w:r w:rsidRPr="000A1C8E">
        <w:rPr>
          <w:rFonts w:cs="Tahoma"/>
        </w:rPr>
        <w:t>Windows Desktop Optimization Pack para Software Assurance</w:t>
      </w:r>
    </w:p>
    <w:p w:rsidR="007E2DBF" w:rsidRPr="000A1C8E" w:rsidRDefault="007E2DBF" w:rsidP="00290FC1">
      <w:pPr>
        <w:rPr>
          <w:rFonts w:cs="Tahoma"/>
        </w:rPr>
      </w:pPr>
      <w:r w:rsidRPr="000A1C8E">
        <w:rPr>
          <w:rFonts w:cs="Tahoma"/>
        </w:rPr>
        <w:t>Windows 8 Enterprise Sideloading (pacote com 100)</w:t>
      </w:r>
    </w:p>
    <w:p w:rsidR="007E2DBF" w:rsidRPr="000A1C8E" w:rsidRDefault="007E2DBF" w:rsidP="00290FC1">
      <w:pPr>
        <w:rPr>
          <w:rFonts w:cs="Tahoma"/>
        </w:rPr>
      </w:pPr>
      <w:r w:rsidRPr="000A1C8E">
        <w:rPr>
          <w:rFonts w:cs="Tahoma"/>
        </w:rPr>
        <w:t>Windows</w:t>
      </w:r>
      <w:r w:rsidR="00C83286" w:rsidRPr="000A1C8E">
        <w:rPr>
          <w:rFonts w:cs="Tahoma"/>
          <w:vertAlign w:val="superscript"/>
        </w:rPr>
        <w:t>®</w:t>
      </w:r>
      <w:r w:rsidRPr="000A1C8E">
        <w:rPr>
          <w:rFonts w:cs="Tahoma"/>
        </w:rPr>
        <w:t xml:space="preserve"> 8 Pro com MDOP</w:t>
      </w:r>
    </w:p>
    <w:p w:rsidR="00D57D2B" w:rsidRPr="000A1C8E" w:rsidRDefault="00D57D2B" w:rsidP="00290FC1">
      <w:pPr>
        <w:rPr>
          <w:rFonts w:cs="Tahoma"/>
        </w:rPr>
      </w:pPr>
    </w:p>
    <w:p w:rsidR="00D57D2B" w:rsidRPr="000A1C8E" w:rsidRDefault="00D57D2B" w:rsidP="00290FC1">
      <w:pPr>
        <w:rPr>
          <w:rFonts w:cs="Tahoma"/>
        </w:rPr>
      </w:pPr>
    </w:p>
    <w:p w:rsidR="00B65F35" w:rsidRPr="000A1C8E" w:rsidRDefault="00B65F35" w:rsidP="00B65F35">
      <w:pPr>
        <w:pStyle w:val="Heading2"/>
        <w:ind w:left="0"/>
        <w:jc w:val="both"/>
        <w:rPr>
          <w:rFonts w:ascii="Tahoma" w:hAnsi="Tahoma" w:cs="Tahoma"/>
        </w:rPr>
      </w:pPr>
      <w:bookmarkStart w:id="594" w:name="_Toc361829261"/>
      <w:r w:rsidRPr="000A1C8E">
        <w:rPr>
          <w:rFonts w:ascii="Tahoma" w:hAnsi="Tahoma" w:cs="Tahoma"/>
          <w:color w:val="FF6600"/>
        </w:rPr>
        <w:t>ALTERAÇÕES EM ABRIL DE 2013</w:t>
      </w:r>
      <w:bookmarkEnd w:id="594"/>
    </w:p>
    <w:p w:rsidR="00B65F35" w:rsidRPr="000A1C8E" w:rsidRDefault="00B65F35" w:rsidP="004759C6">
      <w:pPr>
        <w:pStyle w:val="Heading2"/>
        <w:ind w:left="0"/>
        <w:jc w:val="both"/>
        <w:rPr>
          <w:rFonts w:ascii="Tahoma" w:hAnsi="Tahoma" w:cs="Tahoma"/>
          <w:color w:val="FF6600"/>
          <w:sz w:val="18"/>
        </w:rPr>
      </w:pPr>
    </w:p>
    <w:p w:rsidR="00B65F35" w:rsidRPr="000A1C8E" w:rsidRDefault="00B65F35" w:rsidP="00B65F35">
      <w:pPr>
        <w:spacing w:after="60"/>
        <w:rPr>
          <w:rFonts w:cs="Tahoma"/>
        </w:rPr>
      </w:pPr>
      <w:r w:rsidRPr="000A1C8E">
        <w:rPr>
          <w:rFonts w:cs="Tahoma"/>
          <w:b/>
        </w:rPr>
        <w:t>Adições</w:t>
      </w:r>
    </w:p>
    <w:p w:rsidR="00D02D7A" w:rsidRPr="000A1C8E" w:rsidRDefault="00D02D7A" w:rsidP="00D02D7A">
      <w:pPr>
        <w:rPr>
          <w:rFonts w:cs="Tahoma"/>
        </w:rPr>
      </w:pPr>
      <w:r w:rsidRPr="000A1C8E">
        <w:rPr>
          <w:rFonts w:cs="Tahoma"/>
        </w:rPr>
        <w:t>Bing Maps Consumer Controlado por Assinatura Mensal de Ativos</w:t>
      </w:r>
    </w:p>
    <w:p w:rsidR="00D02D7A" w:rsidRPr="000A1C8E" w:rsidRDefault="00D02D7A" w:rsidP="00D02D7A">
      <w:pPr>
        <w:rPr>
          <w:rFonts w:cs="Tahoma"/>
        </w:rPr>
      </w:pPr>
      <w:r w:rsidRPr="000A1C8E">
        <w:rPr>
          <w:rFonts w:cs="Tahoma"/>
        </w:rPr>
        <w:t>Bing Maps Desktop com Pacote de Conteúdo Aprimorado</w:t>
      </w:r>
    </w:p>
    <w:p w:rsidR="00D02D7A" w:rsidRPr="000A1C8E" w:rsidRDefault="00D02D7A" w:rsidP="00D02D7A">
      <w:pPr>
        <w:rPr>
          <w:rFonts w:cs="Tahoma"/>
        </w:rPr>
      </w:pPr>
      <w:r w:rsidRPr="000A1C8E">
        <w:rPr>
          <w:rFonts w:cs="Tahoma"/>
        </w:rPr>
        <w:t>Bing Maps para Assinatura Mensal de Tarifa por Plataforma Enterprise</w:t>
      </w:r>
    </w:p>
    <w:p w:rsidR="00D02D7A" w:rsidRPr="000A1C8E" w:rsidRDefault="00D02D7A" w:rsidP="00D02D7A">
      <w:pPr>
        <w:rPr>
          <w:rFonts w:cs="Tahoma"/>
        </w:rPr>
      </w:pPr>
      <w:r w:rsidRPr="000A1C8E">
        <w:rPr>
          <w:rFonts w:cs="Tahoma"/>
        </w:rPr>
        <w:t>Assinatura Mensal de 100 Mil Transações de Uso de Site Público do Bing Maps</w:t>
      </w:r>
    </w:p>
    <w:p w:rsidR="00D02D7A" w:rsidRPr="000A1C8E" w:rsidRDefault="00D02D7A" w:rsidP="00D02D7A">
      <w:pPr>
        <w:rPr>
          <w:rFonts w:cs="Tahoma"/>
        </w:rPr>
      </w:pPr>
      <w:r w:rsidRPr="000A1C8E">
        <w:rPr>
          <w:rFonts w:cs="Tahoma"/>
        </w:rPr>
        <w:t>Assinatura Mensal de 250 Mil Transações de Uso de Site Público do Bing Maps</w:t>
      </w:r>
    </w:p>
    <w:p w:rsidR="00D02D7A" w:rsidRPr="000A1C8E" w:rsidRDefault="00D02D7A" w:rsidP="00D02D7A">
      <w:pPr>
        <w:rPr>
          <w:rFonts w:cs="Tahoma"/>
        </w:rPr>
      </w:pPr>
      <w:r w:rsidRPr="000A1C8E">
        <w:rPr>
          <w:rFonts w:cs="Tahoma"/>
        </w:rPr>
        <w:t>Assinatura Mensal de 420 Mil Transações de Uso de Site Público do Bing Maps</w:t>
      </w:r>
    </w:p>
    <w:p w:rsidR="00D02D7A" w:rsidRPr="000A1C8E" w:rsidRDefault="00D02D7A" w:rsidP="00D02D7A">
      <w:pPr>
        <w:rPr>
          <w:rFonts w:cs="Tahoma"/>
        </w:rPr>
      </w:pPr>
      <w:r w:rsidRPr="000A1C8E">
        <w:rPr>
          <w:rFonts w:cs="Tahoma"/>
        </w:rPr>
        <w:t>Assinatura Mensal de 840 Mil Transações de Uso de Site Público do Bing Maps</w:t>
      </w:r>
    </w:p>
    <w:p w:rsidR="00D02D7A" w:rsidRPr="000A1C8E" w:rsidRDefault="00D02D7A" w:rsidP="00D02D7A">
      <w:pPr>
        <w:rPr>
          <w:rFonts w:cs="Tahoma"/>
        </w:rPr>
      </w:pPr>
      <w:r w:rsidRPr="000A1C8E">
        <w:rPr>
          <w:rFonts w:cs="Tahoma"/>
        </w:rPr>
        <w:t>Assinatura Mensal de 2,5 Milhões de Transações de Uso de Site Público do Bing Maps</w:t>
      </w:r>
    </w:p>
    <w:p w:rsidR="00D02D7A" w:rsidRPr="000A1C8E" w:rsidRDefault="00D02D7A" w:rsidP="00D02D7A">
      <w:pPr>
        <w:rPr>
          <w:rFonts w:cs="Tahoma"/>
        </w:rPr>
      </w:pPr>
      <w:r w:rsidRPr="000A1C8E">
        <w:rPr>
          <w:rFonts w:cs="Tahoma"/>
        </w:rPr>
        <w:t>Assinatura Mensal de 4,2 Milhões Transações de Uso de Site Público do Bing Maps</w:t>
      </w:r>
    </w:p>
    <w:p w:rsidR="00D02D7A" w:rsidRPr="000A1C8E" w:rsidRDefault="00D02D7A" w:rsidP="00D02D7A">
      <w:pPr>
        <w:rPr>
          <w:rFonts w:cs="Tahoma"/>
        </w:rPr>
      </w:pPr>
      <w:r w:rsidRPr="000A1C8E">
        <w:rPr>
          <w:rFonts w:cs="Tahoma"/>
        </w:rPr>
        <w:t>Assinatura Mensal de 8,4 Milhões de Transações de Uso de Site Público do Bing Maps</w:t>
      </w:r>
    </w:p>
    <w:p w:rsidR="00D02D7A" w:rsidRPr="000A1C8E" w:rsidRDefault="00D02D7A" w:rsidP="00D02D7A">
      <w:pPr>
        <w:rPr>
          <w:rFonts w:cs="Tahoma"/>
        </w:rPr>
      </w:pPr>
      <w:r w:rsidRPr="000A1C8E">
        <w:rPr>
          <w:rFonts w:cs="Tahoma"/>
        </w:rPr>
        <w:t>Assinatura Mensal de Transações Ilimitadas de Uso de Site Público do Bing Maps</w:t>
      </w:r>
    </w:p>
    <w:p w:rsidR="00D02D7A" w:rsidRPr="000A1C8E" w:rsidRDefault="00D02D7A" w:rsidP="00D02D7A">
      <w:pPr>
        <w:rPr>
          <w:rFonts w:cs="Tahoma"/>
        </w:rPr>
      </w:pPr>
      <w:r w:rsidRPr="000A1C8E">
        <w:rPr>
          <w:rFonts w:cs="Tahoma"/>
        </w:rPr>
        <w:t>Assinatura Mensal de 100 Mil Transações de Uso de Site Interno do Bing Maps</w:t>
      </w:r>
    </w:p>
    <w:p w:rsidR="00D02D7A" w:rsidRPr="000A1C8E" w:rsidRDefault="00D02D7A" w:rsidP="00D02D7A">
      <w:pPr>
        <w:rPr>
          <w:rFonts w:cs="Tahoma"/>
        </w:rPr>
      </w:pPr>
      <w:r w:rsidRPr="000A1C8E">
        <w:rPr>
          <w:rFonts w:cs="Tahoma"/>
        </w:rPr>
        <w:t>Assinatura Mensal de 250 Mil Transações de Uso de Site Interno do Bing Maps</w:t>
      </w:r>
    </w:p>
    <w:p w:rsidR="00D02D7A" w:rsidRPr="000A1C8E" w:rsidRDefault="00D02D7A" w:rsidP="00D02D7A">
      <w:pPr>
        <w:rPr>
          <w:rFonts w:cs="Tahoma"/>
        </w:rPr>
      </w:pPr>
      <w:r w:rsidRPr="000A1C8E">
        <w:rPr>
          <w:rFonts w:cs="Tahoma"/>
        </w:rPr>
        <w:t>Assinatura Mensal de 420 Mil Transações de Uso de Site Interno do Bing Maps</w:t>
      </w:r>
    </w:p>
    <w:p w:rsidR="00D02D7A" w:rsidRPr="000A1C8E" w:rsidRDefault="00D02D7A" w:rsidP="00D02D7A">
      <w:pPr>
        <w:rPr>
          <w:rFonts w:cs="Tahoma"/>
        </w:rPr>
      </w:pPr>
      <w:r w:rsidRPr="000A1C8E">
        <w:rPr>
          <w:rFonts w:cs="Tahoma"/>
        </w:rPr>
        <w:t>Assinatura Mensal de 1,</w:t>
      </w:r>
      <w:r w:rsidR="00506345">
        <w:rPr>
          <w:rFonts w:cs="Tahoma"/>
        </w:rPr>
        <w:t>2</w:t>
      </w:r>
      <w:r w:rsidRPr="000A1C8E">
        <w:rPr>
          <w:rFonts w:cs="Tahoma"/>
        </w:rPr>
        <w:t>5 Milhões de Transações de Uso de Site Interno do Bing Maps</w:t>
      </w:r>
    </w:p>
    <w:p w:rsidR="00D02D7A" w:rsidRPr="000A1C8E" w:rsidRDefault="00D02D7A" w:rsidP="00D02D7A">
      <w:pPr>
        <w:rPr>
          <w:rFonts w:cs="Tahoma"/>
        </w:rPr>
      </w:pPr>
      <w:r w:rsidRPr="000A1C8E">
        <w:rPr>
          <w:rFonts w:cs="Tahoma"/>
        </w:rPr>
        <w:t>Assinatura Mensal de 2,1 Milhões de Transações de Uso de Site Interno do Bing Maps</w:t>
      </w:r>
    </w:p>
    <w:p w:rsidR="00D02D7A" w:rsidRPr="000A1C8E" w:rsidRDefault="00D02D7A" w:rsidP="00D02D7A">
      <w:pPr>
        <w:rPr>
          <w:rFonts w:cs="Tahoma"/>
        </w:rPr>
      </w:pPr>
      <w:r w:rsidRPr="000A1C8E">
        <w:rPr>
          <w:rFonts w:cs="Tahoma"/>
        </w:rPr>
        <w:t>Assinatura Mensal de Transações Ilimitadas de Uso de Site Interno do Bing Maps</w:t>
      </w:r>
    </w:p>
    <w:p w:rsidR="00D02D7A" w:rsidRPr="000A1C8E" w:rsidRDefault="00D02D7A" w:rsidP="00D02D7A">
      <w:pPr>
        <w:rPr>
          <w:rFonts w:cs="Tahoma"/>
        </w:rPr>
      </w:pPr>
      <w:r w:rsidRPr="000A1C8E">
        <w:rPr>
          <w:rFonts w:cs="Tahoma"/>
        </w:rPr>
        <w:t>Bing Maps Conhecido por Assinatura Mensal de Usuários</w:t>
      </w:r>
    </w:p>
    <w:p w:rsidR="00D02D7A" w:rsidRPr="000A1C8E" w:rsidRDefault="00D02D7A" w:rsidP="00D02D7A">
      <w:pPr>
        <w:rPr>
          <w:rFonts w:cs="Tahoma"/>
        </w:rPr>
      </w:pPr>
      <w:r w:rsidRPr="000A1C8E">
        <w:rPr>
          <w:rFonts w:cs="Tahoma"/>
        </w:rPr>
        <w:lastRenderedPageBreak/>
        <w:t>Bing Maps por Assinatura Mensal de Pacote de 5 Mil Usuários Conhecidos</w:t>
      </w:r>
    </w:p>
    <w:p w:rsidR="00D02D7A" w:rsidRPr="000A1C8E" w:rsidRDefault="00D02D7A" w:rsidP="00D02D7A">
      <w:pPr>
        <w:rPr>
          <w:rFonts w:cs="Tahoma"/>
        </w:rPr>
      </w:pPr>
      <w:r w:rsidRPr="000A1C8E">
        <w:rPr>
          <w:rFonts w:cs="Tahoma"/>
        </w:rPr>
        <w:t>Bing Maps Light Conhecido por Assinatura Mensal de Usuários</w:t>
      </w:r>
    </w:p>
    <w:p w:rsidR="00D02D7A" w:rsidRPr="000A1C8E" w:rsidRDefault="00D02D7A" w:rsidP="00D02D7A">
      <w:pPr>
        <w:rPr>
          <w:rFonts w:cs="Tahoma"/>
        </w:rPr>
      </w:pPr>
      <w:r w:rsidRPr="000A1C8E">
        <w:rPr>
          <w:rFonts w:cs="Tahoma"/>
        </w:rPr>
        <w:t>Bing Maps Light Conhecido por Assinatura Mensal de Pacote de 5 Mil Usuários</w:t>
      </w:r>
    </w:p>
    <w:p w:rsidR="00D02D7A" w:rsidRPr="000A1C8E" w:rsidRDefault="00D02D7A" w:rsidP="00D02D7A">
      <w:pPr>
        <w:rPr>
          <w:rFonts w:cs="Tahoma"/>
        </w:rPr>
      </w:pPr>
      <w:r w:rsidRPr="000A1C8E">
        <w:rPr>
          <w:rFonts w:cs="Tahoma"/>
        </w:rPr>
        <w:t>Assinatura Mensal de Tarifa por Plataforma de Gerenciamento de Ativos Móveis do Bing Maps</w:t>
      </w:r>
    </w:p>
    <w:p w:rsidR="00D02D7A" w:rsidRPr="000A1C8E" w:rsidRDefault="00D02D7A" w:rsidP="00D02D7A">
      <w:pPr>
        <w:rPr>
          <w:rFonts w:cs="Tahoma"/>
        </w:rPr>
      </w:pPr>
      <w:r w:rsidRPr="000A1C8E">
        <w:rPr>
          <w:rFonts w:cs="Tahoma"/>
        </w:rPr>
        <w:t>Gerenciamento de Ativos Móveis do Bing Maps (América do Norte) com roteamento por Assinatura Mensal de Ativos</w:t>
      </w:r>
    </w:p>
    <w:p w:rsidR="00D02D7A" w:rsidRPr="000A1C8E" w:rsidRDefault="00D02D7A" w:rsidP="00D02D7A">
      <w:pPr>
        <w:rPr>
          <w:rFonts w:cs="Tahoma"/>
        </w:rPr>
      </w:pPr>
      <w:r w:rsidRPr="000A1C8E">
        <w:rPr>
          <w:rFonts w:cs="Tahoma"/>
        </w:rPr>
        <w:t>Gerenciamento de Ativos Móveis do Bing Maps (América do Norte) sem roteamento por Assinatura Mensal de Ativos</w:t>
      </w:r>
    </w:p>
    <w:p w:rsidR="00D02D7A" w:rsidRPr="000A1C8E" w:rsidRDefault="00D02D7A" w:rsidP="00D02D7A">
      <w:pPr>
        <w:rPr>
          <w:rFonts w:cs="Tahoma"/>
        </w:rPr>
      </w:pPr>
      <w:r w:rsidRPr="000A1C8E">
        <w:rPr>
          <w:rFonts w:cs="Tahoma"/>
        </w:rPr>
        <w:t>Gerenciamento de Ativos Móveis do Bing Maps (Europa) com roteamento por Assinatura Mensal de Ativos</w:t>
      </w:r>
    </w:p>
    <w:p w:rsidR="00D02D7A" w:rsidRPr="000A1C8E" w:rsidRDefault="00D02D7A" w:rsidP="00D02D7A">
      <w:pPr>
        <w:rPr>
          <w:rFonts w:cs="Tahoma"/>
        </w:rPr>
      </w:pPr>
      <w:r w:rsidRPr="000A1C8E">
        <w:rPr>
          <w:rFonts w:cs="Tahoma"/>
        </w:rPr>
        <w:t>Gerenciamento de Ativos Móveis do Bing Maps (Europa) sem roteamento por Assinatura Mensal de Ativos</w:t>
      </w:r>
    </w:p>
    <w:p w:rsidR="00D02D7A" w:rsidRPr="000A1C8E" w:rsidRDefault="00D02D7A" w:rsidP="00D02D7A">
      <w:pPr>
        <w:rPr>
          <w:rFonts w:cs="Tahoma"/>
        </w:rPr>
      </w:pPr>
      <w:r w:rsidRPr="000A1C8E">
        <w:rPr>
          <w:rFonts w:cs="Tahoma"/>
        </w:rPr>
        <w:t>Bing Maps Server</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2013 Enterprise Edition </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2013 Standard Edition </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2013 Branch</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2013 Branch IDC </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2013 Standard Edition IDC </w:t>
      </w:r>
    </w:p>
    <w:p w:rsidR="00D02D7A" w:rsidRPr="000A1C8E" w:rsidRDefault="00D02D7A" w:rsidP="00D02D7A">
      <w:pPr>
        <w:rPr>
          <w:rFonts w:cs="Tahoma"/>
        </w:rPr>
      </w:pPr>
      <w:r w:rsidRPr="000A1C8E">
        <w:rPr>
          <w:rFonts w:cs="Tahoma"/>
        </w:rPr>
        <w:t>Office 365 Enterprise E1 (SL de Usuário) (Pool de Aplicativos)</w:t>
      </w:r>
    </w:p>
    <w:p w:rsidR="00D02D7A" w:rsidRPr="000A1C8E" w:rsidRDefault="00D02D7A" w:rsidP="00D02D7A">
      <w:pPr>
        <w:rPr>
          <w:rFonts w:cs="Tahoma"/>
        </w:rPr>
      </w:pPr>
      <w:r w:rsidRPr="000A1C8E">
        <w:rPr>
          <w:rFonts w:cs="Tahoma"/>
        </w:rPr>
        <w:t>Office 365 Enterprise E2 (SL de Usuário) (Pool de Aplicativos)</w:t>
      </w:r>
    </w:p>
    <w:p w:rsidR="00D02D7A" w:rsidRPr="000A1C8E" w:rsidRDefault="00D02D7A" w:rsidP="00D02D7A">
      <w:pPr>
        <w:rPr>
          <w:rFonts w:cs="Tahoma"/>
        </w:rPr>
      </w:pPr>
      <w:r w:rsidRPr="000A1C8E">
        <w:rPr>
          <w:rFonts w:cs="Tahoma"/>
        </w:rPr>
        <w:t>Office 365 Enterprise E3 (SL de Usuário) (Pool de Aplicativos)</w:t>
      </w:r>
    </w:p>
    <w:p w:rsidR="00D02D7A" w:rsidRPr="000A1C8E" w:rsidRDefault="00D02D7A" w:rsidP="00D02D7A">
      <w:pPr>
        <w:rPr>
          <w:rFonts w:cs="Tahoma"/>
        </w:rPr>
      </w:pPr>
      <w:r w:rsidRPr="000A1C8E">
        <w:rPr>
          <w:rFonts w:cs="Tahoma"/>
        </w:rPr>
        <w:t>Office 365 Enterprise E4 (SL de Usuário) (Pool de Aplicativos)</w:t>
      </w:r>
    </w:p>
    <w:p w:rsidR="00D02D7A" w:rsidRPr="000A1C8E" w:rsidRDefault="00D02D7A" w:rsidP="00D02D7A">
      <w:pPr>
        <w:rPr>
          <w:rFonts w:cs="Tahoma"/>
        </w:rPr>
      </w:pPr>
      <w:r w:rsidRPr="000A1C8E">
        <w:rPr>
          <w:rFonts w:cs="Tahoma"/>
        </w:rPr>
        <w:t>Office 365 Education A2 (SL de Usuário) (Pool de Aplicativos)</w:t>
      </w:r>
    </w:p>
    <w:p w:rsidR="00D02D7A" w:rsidRPr="000A1C8E" w:rsidRDefault="00D02D7A" w:rsidP="00D02D7A">
      <w:pPr>
        <w:rPr>
          <w:rFonts w:cs="Tahoma"/>
        </w:rPr>
      </w:pPr>
      <w:r w:rsidRPr="000A1C8E">
        <w:rPr>
          <w:rFonts w:cs="Tahoma"/>
        </w:rPr>
        <w:t>Office 365 Education A3 (SL de Usuário) (Pool de Aplicativos)</w:t>
      </w:r>
    </w:p>
    <w:p w:rsidR="00D02D7A" w:rsidRPr="000A1C8E" w:rsidRDefault="00D02D7A" w:rsidP="00D02D7A">
      <w:pPr>
        <w:rPr>
          <w:rFonts w:cs="Tahoma"/>
        </w:rPr>
      </w:pPr>
      <w:r w:rsidRPr="000A1C8E">
        <w:rPr>
          <w:rFonts w:cs="Tahoma"/>
        </w:rPr>
        <w:t>Office 365 Education A4 (SL de Usuário) (Pool de Aplicativos)</w:t>
      </w:r>
    </w:p>
    <w:p w:rsidR="00D02D7A" w:rsidRPr="000A1C8E" w:rsidRDefault="00D02D7A" w:rsidP="00D02D7A">
      <w:pPr>
        <w:rPr>
          <w:rFonts w:cs="Tahoma"/>
        </w:rPr>
      </w:pPr>
      <w:r w:rsidRPr="000A1C8E">
        <w:rPr>
          <w:rFonts w:cs="Tahoma"/>
        </w:rPr>
        <w:t>Office 365 Enterprise E1 (SL de Usuário) (Pool de Servidores)</w:t>
      </w:r>
    </w:p>
    <w:p w:rsidR="00D02D7A" w:rsidRPr="000A1C8E" w:rsidRDefault="00D02D7A" w:rsidP="00D02D7A">
      <w:pPr>
        <w:rPr>
          <w:rFonts w:cs="Tahoma"/>
        </w:rPr>
      </w:pPr>
      <w:r w:rsidRPr="000A1C8E">
        <w:rPr>
          <w:rFonts w:cs="Tahoma"/>
        </w:rPr>
        <w:t>Office 365 Enterprise E2 (SL de Usuário) (Pool de Servidores)</w:t>
      </w:r>
    </w:p>
    <w:p w:rsidR="00D02D7A" w:rsidRPr="000A1C8E" w:rsidRDefault="00D02D7A" w:rsidP="00D02D7A">
      <w:pPr>
        <w:rPr>
          <w:rFonts w:cs="Tahoma"/>
        </w:rPr>
      </w:pPr>
      <w:r w:rsidRPr="000A1C8E">
        <w:rPr>
          <w:rFonts w:cs="Tahoma"/>
        </w:rPr>
        <w:t>Office 365 Enterprise E3 (SL de Usuário) (Pool de Servidores)</w:t>
      </w:r>
    </w:p>
    <w:p w:rsidR="00D02D7A" w:rsidRPr="000A1C8E" w:rsidRDefault="00D02D7A" w:rsidP="00D02D7A">
      <w:pPr>
        <w:rPr>
          <w:rFonts w:cs="Tahoma"/>
        </w:rPr>
      </w:pPr>
      <w:r w:rsidRPr="000A1C8E">
        <w:rPr>
          <w:rFonts w:cs="Tahoma"/>
        </w:rPr>
        <w:t>Office 365 Enterprise E4 (SL de Usuário) (Pool de Servidores)</w:t>
      </w:r>
    </w:p>
    <w:p w:rsidR="00D02D7A" w:rsidRPr="000A1C8E" w:rsidRDefault="00D02D7A" w:rsidP="00D02D7A">
      <w:pPr>
        <w:rPr>
          <w:rFonts w:cs="Tahoma"/>
        </w:rPr>
      </w:pPr>
      <w:r w:rsidRPr="000A1C8E">
        <w:rPr>
          <w:rFonts w:cs="Tahoma"/>
        </w:rPr>
        <w:t>Office 365 Government G1 (SL de Usuário) (Pool de Servidores)</w:t>
      </w:r>
    </w:p>
    <w:p w:rsidR="00D02D7A" w:rsidRPr="000A1C8E" w:rsidRDefault="00D02D7A" w:rsidP="00D02D7A">
      <w:pPr>
        <w:rPr>
          <w:rFonts w:cs="Tahoma"/>
        </w:rPr>
      </w:pPr>
      <w:r w:rsidRPr="000A1C8E">
        <w:rPr>
          <w:rFonts w:cs="Tahoma"/>
        </w:rPr>
        <w:t>Office 365 Government G2 (SL de Usuário) (Pool de Servidores)</w:t>
      </w:r>
    </w:p>
    <w:p w:rsidR="00D02D7A" w:rsidRPr="000A1C8E" w:rsidRDefault="00D02D7A" w:rsidP="00D02D7A">
      <w:pPr>
        <w:rPr>
          <w:rFonts w:cs="Tahoma"/>
        </w:rPr>
      </w:pPr>
      <w:r w:rsidRPr="000A1C8E">
        <w:rPr>
          <w:rFonts w:cs="Tahoma"/>
        </w:rPr>
        <w:t>Office 365 Government G3 (SL de Usuário) (Pool de Servidores)</w:t>
      </w:r>
    </w:p>
    <w:p w:rsidR="00D02D7A" w:rsidRPr="000A1C8E" w:rsidRDefault="00D02D7A" w:rsidP="00D02D7A">
      <w:pPr>
        <w:rPr>
          <w:rFonts w:cs="Tahoma"/>
        </w:rPr>
      </w:pPr>
      <w:r w:rsidRPr="000A1C8E">
        <w:rPr>
          <w:rFonts w:cs="Tahoma"/>
        </w:rPr>
        <w:t>Office 365 Government G4 (SL de Usuário) (Pool de Servidores)</w:t>
      </w:r>
    </w:p>
    <w:p w:rsidR="00D02D7A" w:rsidRPr="000A1C8E" w:rsidRDefault="00D02D7A" w:rsidP="00D02D7A">
      <w:pPr>
        <w:rPr>
          <w:rFonts w:cs="Tahoma"/>
        </w:rPr>
      </w:pPr>
      <w:r w:rsidRPr="000A1C8E">
        <w:rPr>
          <w:rFonts w:cs="Tahoma"/>
        </w:rPr>
        <w:t>Office 365 Enterprise K1 (SL de Usuário) (Pool de Servidores)</w:t>
      </w:r>
    </w:p>
    <w:p w:rsidR="00D02D7A" w:rsidRPr="000A1C8E" w:rsidRDefault="00D02D7A" w:rsidP="00D02D7A">
      <w:pPr>
        <w:rPr>
          <w:rFonts w:cs="Tahoma"/>
        </w:rPr>
      </w:pPr>
      <w:r w:rsidRPr="000A1C8E">
        <w:rPr>
          <w:rFonts w:cs="Tahoma"/>
        </w:rPr>
        <w:t>Office 365 Enterprise K2 (SL de Usuário) (Pool de Servidores)</w:t>
      </w:r>
    </w:p>
    <w:p w:rsidR="003418C5" w:rsidRPr="000A1C8E" w:rsidRDefault="003418C5" w:rsidP="003418C5">
      <w:pPr>
        <w:rPr>
          <w:rFonts w:cs="Tahoma"/>
        </w:rPr>
      </w:pPr>
      <w:r w:rsidRPr="000A1C8E">
        <w:rPr>
          <w:rFonts w:cs="Tahoma"/>
        </w:rPr>
        <w:t>Office 365 ProPlus SA Transition (SL de Usuário) (Pool de Aplicativos)</w:t>
      </w:r>
    </w:p>
    <w:p w:rsidR="00D02D7A" w:rsidRPr="000A1C8E" w:rsidRDefault="00D02D7A">
      <w:pPr>
        <w:rPr>
          <w:rFonts w:cs="Tahoma"/>
        </w:rPr>
      </w:pPr>
      <w:r w:rsidRPr="000A1C8E">
        <w:rPr>
          <w:rFonts w:cs="Tahoma"/>
        </w:rPr>
        <w:t>Microsoft Desktop Optimization Pack para Software Assurance 2013</w:t>
      </w:r>
    </w:p>
    <w:p w:rsidR="00D02D7A" w:rsidRPr="000A1C8E" w:rsidRDefault="00D02D7A" w:rsidP="007E466C">
      <w:pPr>
        <w:rPr>
          <w:rFonts w:cs="Tahoma"/>
        </w:rPr>
      </w:pPr>
      <w:r w:rsidRPr="000A1C8E">
        <w:rPr>
          <w:rFonts w:cs="Tahoma"/>
        </w:rPr>
        <w:t>System Center Global Service Monitor</w:t>
      </w:r>
    </w:p>
    <w:p w:rsidR="005F584F" w:rsidRPr="000A1C8E" w:rsidRDefault="005F584F" w:rsidP="005F584F">
      <w:pPr>
        <w:rPr>
          <w:rFonts w:cs="Tahoma"/>
        </w:rPr>
      </w:pPr>
      <w:r w:rsidRPr="000A1C8E">
        <w:rPr>
          <w:rFonts w:cs="Tahoma"/>
        </w:rPr>
        <w:t>Vexcel Desktop com Pacote de Conteúdo Aprimorado</w:t>
      </w:r>
    </w:p>
    <w:p w:rsidR="009C779A" w:rsidRPr="000A1C8E" w:rsidRDefault="00242B11">
      <w:pPr>
        <w:rPr>
          <w:rFonts w:cs="Tahoma"/>
        </w:rPr>
      </w:pPr>
      <w:r w:rsidRPr="000A1C8E">
        <w:rPr>
          <w:rFonts w:cs="Tahoma"/>
        </w:rPr>
        <w:t>Vexcel Server</w:t>
      </w:r>
    </w:p>
    <w:p w:rsidR="00242B11" w:rsidRPr="000A1C8E" w:rsidRDefault="00242B11">
      <w:pPr>
        <w:rPr>
          <w:rFonts w:cs="Tahoma"/>
        </w:rPr>
      </w:pPr>
      <w:r w:rsidRPr="000A1C8E">
        <w:rPr>
          <w:rFonts w:cs="Tahoma"/>
        </w:rPr>
        <w:t>Vexcel Server com Pacote de Conteúdo Aprimorado</w:t>
      </w:r>
    </w:p>
    <w:p w:rsidR="003F5594" w:rsidRPr="000A1C8E" w:rsidRDefault="003F5594" w:rsidP="00B65F35">
      <w:pPr>
        <w:spacing w:after="60"/>
        <w:rPr>
          <w:rFonts w:cs="Tahoma"/>
        </w:rPr>
      </w:pPr>
    </w:p>
    <w:p w:rsidR="00B65F35" w:rsidRPr="000A1C8E" w:rsidRDefault="00B65F35" w:rsidP="00B65F35">
      <w:pPr>
        <w:spacing w:after="60"/>
        <w:rPr>
          <w:rFonts w:cs="Tahoma"/>
        </w:rPr>
      </w:pPr>
      <w:r w:rsidRPr="000A1C8E">
        <w:rPr>
          <w:rFonts w:cs="Tahoma"/>
          <w:b/>
        </w:rPr>
        <w:t>Alterações</w:t>
      </w:r>
    </w:p>
    <w:p w:rsidR="00B65F35" w:rsidRPr="000A1C8E" w:rsidRDefault="009C779A" w:rsidP="009C779A">
      <w:pPr>
        <w:rPr>
          <w:rFonts w:cs="Tahoma"/>
        </w:rPr>
      </w:pPr>
      <w:r w:rsidRPr="000A1C8E">
        <w:rPr>
          <w:rFonts w:cs="Tahoma"/>
        </w:rPr>
        <w:t>Bing Maps Standard (SL de Usuário)</w:t>
      </w:r>
    </w:p>
    <w:p w:rsidR="009C779A" w:rsidRPr="000A1C8E" w:rsidRDefault="009C779A" w:rsidP="00D66F68">
      <w:pPr>
        <w:rPr>
          <w:rFonts w:cs="Tahoma"/>
        </w:rPr>
      </w:pPr>
      <w:r w:rsidRPr="000A1C8E">
        <w:rPr>
          <w:rFonts w:cs="Tahoma"/>
        </w:rPr>
        <w:t>Office 365 Plano E1 (SL de Usuário) (Pool de Aplicativos)</w:t>
      </w:r>
    </w:p>
    <w:p w:rsidR="009C779A" w:rsidRPr="000A1C8E" w:rsidRDefault="009C779A" w:rsidP="00D66F68">
      <w:pPr>
        <w:rPr>
          <w:rFonts w:cs="Tahoma"/>
        </w:rPr>
      </w:pPr>
      <w:r w:rsidRPr="000A1C8E">
        <w:rPr>
          <w:rFonts w:cs="Tahoma"/>
        </w:rPr>
        <w:t>Office 365 Plano E2 (SL de Usuário) (Pool de Aplicativos)</w:t>
      </w:r>
    </w:p>
    <w:p w:rsidR="009C779A" w:rsidRPr="000A1C8E" w:rsidRDefault="009C779A" w:rsidP="00D02D7A">
      <w:pPr>
        <w:rPr>
          <w:rFonts w:cs="Tahoma"/>
        </w:rPr>
      </w:pPr>
      <w:r w:rsidRPr="000A1C8E">
        <w:rPr>
          <w:rFonts w:cs="Tahoma"/>
        </w:rPr>
        <w:t>Office 365 Plano E3 (SL de Usuário) (Pool de Aplicativos)</w:t>
      </w:r>
    </w:p>
    <w:p w:rsidR="009C779A" w:rsidRPr="000A1C8E" w:rsidRDefault="009C779A" w:rsidP="00D02D7A">
      <w:pPr>
        <w:rPr>
          <w:rFonts w:cs="Tahoma"/>
        </w:rPr>
      </w:pPr>
      <w:r w:rsidRPr="000A1C8E">
        <w:rPr>
          <w:rFonts w:cs="Tahoma"/>
        </w:rPr>
        <w:t>Office 365 Plano E4 (SL de Usuário) (Pool de Aplicativos)</w:t>
      </w:r>
    </w:p>
    <w:p w:rsidR="009C779A" w:rsidRPr="000A1C8E" w:rsidRDefault="009C779A" w:rsidP="00242B11">
      <w:pPr>
        <w:rPr>
          <w:rFonts w:cs="Tahoma"/>
        </w:rPr>
      </w:pPr>
      <w:r w:rsidRPr="000A1C8E">
        <w:rPr>
          <w:rFonts w:cs="Tahoma"/>
        </w:rPr>
        <w:t>Office 365 Plano A2 (SL de Usuário) (Pool de Aplicativos)</w:t>
      </w:r>
    </w:p>
    <w:p w:rsidR="009C779A" w:rsidRPr="000A1C8E" w:rsidRDefault="009C779A" w:rsidP="00242B11">
      <w:pPr>
        <w:rPr>
          <w:rFonts w:cs="Tahoma"/>
        </w:rPr>
      </w:pPr>
      <w:r w:rsidRPr="000A1C8E">
        <w:rPr>
          <w:rFonts w:cs="Tahoma"/>
        </w:rPr>
        <w:t>Office 365 Plano A3 (SL de Usuário) (Pool de Aplicativos)</w:t>
      </w:r>
    </w:p>
    <w:p w:rsidR="009C779A" w:rsidRPr="000A1C8E" w:rsidRDefault="009C779A" w:rsidP="00EA31A6">
      <w:pPr>
        <w:rPr>
          <w:rFonts w:cs="Tahoma"/>
        </w:rPr>
      </w:pPr>
      <w:r w:rsidRPr="000A1C8E">
        <w:rPr>
          <w:rFonts w:cs="Tahoma"/>
        </w:rPr>
        <w:t>Office 365 Plano A4 (SL de Usuário) (Pool de Aplicativos)</w:t>
      </w:r>
    </w:p>
    <w:p w:rsidR="009C779A" w:rsidRPr="000A1C8E" w:rsidRDefault="009C779A" w:rsidP="00EA31A6">
      <w:pPr>
        <w:rPr>
          <w:rFonts w:cs="Tahoma"/>
        </w:rPr>
      </w:pPr>
      <w:r w:rsidRPr="000A1C8E">
        <w:rPr>
          <w:rFonts w:cs="Tahoma"/>
        </w:rPr>
        <w:t>Office 365 Plano E1 (SL de Usuário) (Pool de Servidores)</w:t>
      </w:r>
    </w:p>
    <w:p w:rsidR="009C779A" w:rsidRPr="000A1C8E" w:rsidRDefault="009C779A" w:rsidP="00EA31A6">
      <w:pPr>
        <w:rPr>
          <w:rFonts w:cs="Tahoma"/>
        </w:rPr>
      </w:pPr>
      <w:r w:rsidRPr="000A1C8E">
        <w:rPr>
          <w:rFonts w:cs="Tahoma"/>
        </w:rPr>
        <w:t>Office 365 Plano E2 - E4 (SL de Usuário) (Pool de Servidores)</w:t>
      </w:r>
    </w:p>
    <w:p w:rsidR="009C779A" w:rsidRPr="000A1C8E" w:rsidRDefault="009C779A" w:rsidP="00EA31A6">
      <w:pPr>
        <w:rPr>
          <w:rFonts w:cs="Tahoma"/>
        </w:rPr>
      </w:pPr>
      <w:r w:rsidRPr="000A1C8E">
        <w:rPr>
          <w:rFonts w:cs="Tahoma"/>
        </w:rPr>
        <w:t>Office 365 Plano G1 - G4 (SL de Usuário) (Pool de Servidores)</w:t>
      </w:r>
    </w:p>
    <w:p w:rsidR="009C779A" w:rsidRPr="000A1C8E" w:rsidRDefault="009C779A" w:rsidP="003537B9">
      <w:pPr>
        <w:rPr>
          <w:rFonts w:cs="Tahoma"/>
        </w:rPr>
      </w:pPr>
      <w:r w:rsidRPr="000A1C8E">
        <w:rPr>
          <w:rFonts w:cs="Tahoma"/>
        </w:rPr>
        <w:t>Office 365 Plano K1 (SL de Usuário) (Pool de Servidores)</w:t>
      </w:r>
    </w:p>
    <w:p w:rsidR="009C779A" w:rsidRPr="000A1C8E" w:rsidRDefault="009C779A" w:rsidP="003537B9">
      <w:pPr>
        <w:rPr>
          <w:rFonts w:cs="Tahoma"/>
        </w:rPr>
      </w:pPr>
      <w:r w:rsidRPr="000A1C8E">
        <w:rPr>
          <w:rFonts w:cs="Tahoma"/>
        </w:rPr>
        <w:t>Office 365 Plano K2 (SL de Usuário) (Pool de Servidores)</w:t>
      </w:r>
    </w:p>
    <w:p w:rsidR="003A31B1" w:rsidRPr="000A1C8E" w:rsidRDefault="003A31B1" w:rsidP="003A31B1">
      <w:pPr>
        <w:rPr>
          <w:rFonts w:cs="Tahoma"/>
        </w:rPr>
      </w:pPr>
      <w:r w:rsidRPr="000A1C8E">
        <w:rPr>
          <w:rFonts w:cs="Tahoma"/>
        </w:rPr>
        <w:t>System Center 2012 Endpoint Protection</w:t>
      </w:r>
    </w:p>
    <w:p w:rsidR="00242B11" w:rsidRPr="000A1C8E" w:rsidRDefault="00242B11" w:rsidP="00242B11">
      <w:pPr>
        <w:rPr>
          <w:rFonts w:cs="Tahoma"/>
        </w:rPr>
      </w:pPr>
      <w:r w:rsidRPr="000A1C8E">
        <w:rPr>
          <w:rFonts w:cs="Tahoma"/>
        </w:rPr>
        <w:t>O BizTalk Server mudou do modelo de licença “Proc” para “Core” na versão 2013</w:t>
      </w:r>
    </w:p>
    <w:p w:rsidR="00242B11" w:rsidRPr="000A1C8E" w:rsidRDefault="00242B11" w:rsidP="00242B11">
      <w:pPr>
        <w:rPr>
          <w:rFonts w:cs="Tahoma"/>
        </w:rPr>
      </w:pPr>
      <w:r w:rsidRPr="000A1C8E">
        <w:rPr>
          <w:rFonts w:cs="Tahoma"/>
        </w:rPr>
        <w:t>Produto Adicional ("A") Removido do Sys Ctr Endpoint Protection</w:t>
      </w:r>
    </w:p>
    <w:p w:rsidR="00242B11" w:rsidRPr="000A1C8E" w:rsidRDefault="00242B11" w:rsidP="00242B11">
      <w:pPr>
        <w:rPr>
          <w:rFonts w:cs="Tahoma"/>
        </w:rPr>
      </w:pPr>
      <w:r w:rsidRPr="000A1C8E">
        <w:rPr>
          <w:rFonts w:cs="Tahoma"/>
        </w:rPr>
        <w:t>Entrada Professional Removida do Bing Maps Standard (SL de Usuário)</w:t>
      </w:r>
    </w:p>
    <w:p w:rsidR="009C779A" w:rsidRPr="000A1C8E" w:rsidRDefault="009C779A" w:rsidP="009C779A">
      <w:pPr>
        <w:rPr>
          <w:rFonts w:cs="Tahoma"/>
        </w:rPr>
      </w:pPr>
    </w:p>
    <w:p w:rsidR="00B65F35" w:rsidRPr="000A1C8E" w:rsidRDefault="00B65F35" w:rsidP="007F411C">
      <w:pPr>
        <w:keepNext/>
        <w:keepLines/>
        <w:spacing w:after="60"/>
        <w:rPr>
          <w:rFonts w:cs="Tahoma"/>
        </w:rPr>
      </w:pPr>
      <w:r w:rsidRPr="000A1C8E">
        <w:rPr>
          <w:rFonts w:cs="Tahoma"/>
          <w:b/>
        </w:rPr>
        <w:lastRenderedPageBreak/>
        <w:t>Exclusões</w:t>
      </w:r>
    </w:p>
    <w:p w:rsidR="00D02D7A" w:rsidRPr="000A1C8E" w:rsidRDefault="00D02D7A" w:rsidP="007F411C">
      <w:pPr>
        <w:keepNext/>
        <w:keepLines/>
        <w:rPr>
          <w:rFonts w:cs="Tahoma"/>
        </w:rPr>
      </w:pPr>
      <w:r w:rsidRPr="000A1C8E">
        <w:rPr>
          <w:rFonts w:cs="Tahoma"/>
        </w:rPr>
        <w:t>Bing Maps 25KTrx (SL Complementar)</w:t>
      </w:r>
    </w:p>
    <w:p w:rsidR="00D02D7A" w:rsidRPr="000A1C8E" w:rsidRDefault="00D02D7A" w:rsidP="00D02D7A">
      <w:pPr>
        <w:rPr>
          <w:rFonts w:cs="Tahoma"/>
        </w:rPr>
      </w:pPr>
      <w:r w:rsidRPr="000A1C8E">
        <w:rPr>
          <w:rFonts w:cs="Tahoma"/>
        </w:rPr>
        <w:t>Bing Maps 250KTrx (SL Complementar)</w:t>
      </w:r>
    </w:p>
    <w:p w:rsidR="00D02D7A" w:rsidRPr="000A1C8E" w:rsidRDefault="00D02D7A" w:rsidP="00D02D7A">
      <w:pPr>
        <w:rPr>
          <w:rFonts w:cs="Tahoma"/>
        </w:rPr>
      </w:pPr>
      <w:r w:rsidRPr="000A1C8E">
        <w:rPr>
          <w:rFonts w:cs="Tahoma"/>
        </w:rPr>
        <w:t>Bing Maps Professional (SL de Serviços)</w:t>
      </w:r>
    </w:p>
    <w:p w:rsidR="005F584F" w:rsidRPr="000A1C8E" w:rsidRDefault="005F584F" w:rsidP="005F584F">
      <w:pPr>
        <w:rPr>
          <w:rFonts w:cs="Tahoma"/>
        </w:rPr>
      </w:pPr>
      <w:r w:rsidRPr="000A1C8E">
        <w:rPr>
          <w:rFonts w:cs="Tahoma"/>
        </w:rPr>
        <w:t>Bing Maps Desktop com Pacote de Conteúdo Aprimorado</w:t>
      </w:r>
    </w:p>
    <w:p w:rsidR="005F584F" w:rsidRPr="000A1C8E" w:rsidRDefault="005F584F" w:rsidP="005F584F">
      <w:pPr>
        <w:rPr>
          <w:rFonts w:cs="Tahoma"/>
        </w:rPr>
      </w:pPr>
      <w:r w:rsidRPr="000A1C8E">
        <w:rPr>
          <w:rFonts w:cs="Tahoma"/>
        </w:rPr>
        <w:t>Bing Maps Server</w:t>
      </w:r>
    </w:p>
    <w:p w:rsidR="005F584F" w:rsidRPr="000A1C8E" w:rsidRDefault="005F584F" w:rsidP="005F584F">
      <w:pPr>
        <w:rPr>
          <w:rFonts w:cs="Tahoma"/>
        </w:rPr>
      </w:pPr>
      <w:r w:rsidRPr="000A1C8E">
        <w:rPr>
          <w:rFonts w:cs="Tahoma"/>
        </w:rPr>
        <w:t>Bing Maps com Pacote de Conteúdo Aprimorado</w:t>
      </w:r>
    </w:p>
    <w:p w:rsidR="00D02D7A" w:rsidRPr="000A1C8E" w:rsidRDefault="00D02D7A" w:rsidP="00D02D7A">
      <w:pPr>
        <w:rPr>
          <w:rFonts w:cs="Tahoma"/>
        </w:rPr>
      </w:pPr>
      <w:r w:rsidRPr="000A1C8E">
        <w:rPr>
          <w:rFonts w:cs="Tahoma"/>
        </w:rPr>
        <w:t>Bing Maps Unlimited Trx (SL Complementar)</w:t>
      </w:r>
    </w:p>
    <w:p w:rsidR="00242B11" w:rsidRPr="000A1C8E" w:rsidRDefault="00242B11" w:rsidP="00D02D7A">
      <w:pPr>
        <w:rPr>
          <w:rFonts w:cs="Tahoma"/>
        </w:rPr>
      </w:pPr>
      <w:r w:rsidRPr="000A1C8E">
        <w:rPr>
          <w:rFonts w:cs="Tahoma"/>
        </w:rPr>
        <w:t>Bing Server</w:t>
      </w:r>
    </w:p>
    <w:p w:rsidR="00242B11" w:rsidRPr="000A1C8E" w:rsidRDefault="00242B11" w:rsidP="00D02D7A">
      <w:pPr>
        <w:rPr>
          <w:rFonts w:cs="Tahoma"/>
        </w:rPr>
      </w:pPr>
      <w:r w:rsidRPr="000A1C8E">
        <w:rPr>
          <w:rFonts w:cs="Tahoma"/>
        </w:rPr>
        <w:t>Bing Server com Pacote de Conteúdo Aprimorado</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2010 Branch Edition </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2010 Enterprise Edition</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2010 Enterprise RFID</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2010 Standard Edition </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2010 Developer IDC </w:t>
      </w:r>
    </w:p>
    <w:p w:rsidR="00D02D7A" w:rsidRPr="000A1C8E" w:rsidRDefault="00D02D7A" w:rsidP="00D02D7A">
      <w:pPr>
        <w:rPr>
          <w:rFonts w:cs="Tahoma"/>
        </w:rPr>
      </w:pPr>
      <w:r w:rsidRPr="000A1C8E">
        <w:rPr>
          <w:rFonts w:cs="Tahoma"/>
        </w:rPr>
        <w:t>BizTalk</w:t>
      </w:r>
      <w:r w:rsidR="00C83286" w:rsidRPr="000A1C8E">
        <w:rPr>
          <w:rFonts w:cs="Tahoma"/>
          <w:vertAlign w:val="superscript"/>
        </w:rPr>
        <w:t>®</w:t>
      </w:r>
      <w:r w:rsidRPr="000A1C8E">
        <w:rPr>
          <w:rFonts w:cs="Tahoma"/>
        </w:rPr>
        <w:t xml:space="preserve"> Server 2010 Branch IDC </w:t>
      </w:r>
    </w:p>
    <w:p w:rsidR="00D02D7A" w:rsidRPr="000A1C8E" w:rsidRDefault="00D02D7A" w:rsidP="00D02D7A">
      <w:pPr>
        <w:rPr>
          <w:rFonts w:cs="Tahoma"/>
        </w:rPr>
      </w:pPr>
      <w:r w:rsidRPr="000A1C8E">
        <w:rPr>
          <w:rFonts w:cs="Tahoma"/>
        </w:rPr>
        <w:t>Data Warehouse Appliance 2012</w:t>
      </w:r>
    </w:p>
    <w:p w:rsidR="00D02D7A" w:rsidRPr="000A1C8E" w:rsidRDefault="00D02D7A" w:rsidP="00D02D7A">
      <w:pPr>
        <w:rPr>
          <w:rFonts w:cs="Tahoma"/>
        </w:rPr>
      </w:pPr>
      <w:r w:rsidRPr="000A1C8E">
        <w:rPr>
          <w:rFonts w:cs="Tahoma"/>
        </w:rPr>
        <w:t>Office 365 Plano E1 (SL de Usuário) (Pool de Aplicativos)</w:t>
      </w:r>
    </w:p>
    <w:p w:rsidR="00D02D7A" w:rsidRPr="000A1C8E" w:rsidRDefault="00D02D7A" w:rsidP="00D02D7A">
      <w:pPr>
        <w:rPr>
          <w:rFonts w:cs="Tahoma"/>
        </w:rPr>
      </w:pPr>
      <w:r w:rsidRPr="000A1C8E">
        <w:rPr>
          <w:rFonts w:cs="Tahoma"/>
        </w:rPr>
        <w:t>Office 365 Plano E2 (SL de Usuário) (Pool de Aplicativos)</w:t>
      </w:r>
    </w:p>
    <w:p w:rsidR="00D02D7A" w:rsidRPr="000A1C8E" w:rsidRDefault="00D02D7A" w:rsidP="00D02D7A">
      <w:pPr>
        <w:rPr>
          <w:rFonts w:cs="Tahoma"/>
        </w:rPr>
      </w:pPr>
      <w:r w:rsidRPr="000A1C8E">
        <w:rPr>
          <w:rFonts w:cs="Tahoma"/>
        </w:rPr>
        <w:t>Office 365 Plano E3 (SL de Usuário) (Pool de Aplicativos)</w:t>
      </w:r>
    </w:p>
    <w:p w:rsidR="00D02D7A" w:rsidRPr="000A1C8E" w:rsidRDefault="00D02D7A" w:rsidP="00D02D7A">
      <w:pPr>
        <w:rPr>
          <w:rFonts w:cs="Tahoma"/>
        </w:rPr>
      </w:pPr>
      <w:r w:rsidRPr="000A1C8E">
        <w:rPr>
          <w:rFonts w:cs="Tahoma"/>
        </w:rPr>
        <w:t>Office 365 Plano E4 (SL de Usuário) (Pool de Aplicativos)</w:t>
      </w:r>
    </w:p>
    <w:p w:rsidR="00D02D7A" w:rsidRPr="000A1C8E" w:rsidRDefault="00D02D7A" w:rsidP="00D02D7A">
      <w:pPr>
        <w:rPr>
          <w:rFonts w:cs="Tahoma"/>
        </w:rPr>
      </w:pPr>
      <w:r w:rsidRPr="000A1C8E">
        <w:rPr>
          <w:rFonts w:cs="Tahoma"/>
        </w:rPr>
        <w:t>Office 365 Plano A2 (SL de Usuário) (Pool de Aplicativos)</w:t>
      </w:r>
    </w:p>
    <w:p w:rsidR="00D02D7A" w:rsidRPr="000A1C8E" w:rsidRDefault="00D02D7A" w:rsidP="00D02D7A">
      <w:pPr>
        <w:rPr>
          <w:rFonts w:cs="Tahoma"/>
        </w:rPr>
      </w:pPr>
      <w:r w:rsidRPr="000A1C8E">
        <w:rPr>
          <w:rFonts w:cs="Tahoma"/>
        </w:rPr>
        <w:t>Office 365 Plano A3 (SL de Usuário) (Pool de Aplicativos)</w:t>
      </w:r>
    </w:p>
    <w:p w:rsidR="00D02D7A" w:rsidRPr="000A1C8E" w:rsidRDefault="00D02D7A" w:rsidP="00D02D7A">
      <w:pPr>
        <w:rPr>
          <w:rFonts w:cs="Tahoma"/>
        </w:rPr>
      </w:pPr>
      <w:r w:rsidRPr="000A1C8E">
        <w:rPr>
          <w:rFonts w:cs="Tahoma"/>
        </w:rPr>
        <w:t>Office 365 Plano A4 (SL de Usuário) (Pool de Aplicativos)</w:t>
      </w:r>
    </w:p>
    <w:p w:rsidR="00D02D7A" w:rsidRPr="000A1C8E" w:rsidRDefault="00D02D7A" w:rsidP="00D02D7A">
      <w:pPr>
        <w:rPr>
          <w:rFonts w:cs="Tahoma"/>
        </w:rPr>
      </w:pPr>
      <w:r w:rsidRPr="000A1C8E">
        <w:rPr>
          <w:rFonts w:cs="Tahoma"/>
        </w:rPr>
        <w:t>Office 365 Plano E1 (SL de Usuário) (Pool de Servidores)</w:t>
      </w:r>
    </w:p>
    <w:p w:rsidR="00D02D7A" w:rsidRPr="000A1C8E" w:rsidRDefault="00D02D7A" w:rsidP="00D02D7A">
      <w:pPr>
        <w:rPr>
          <w:rFonts w:cs="Tahoma"/>
        </w:rPr>
      </w:pPr>
      <w:r w:rsidRPr="000A1C8E">
        <w:rPr>
          <w:rFonts w:cs="Tahoma"/>
        </w:rPr>
        <w:t>Office 365 Plano E2 (SL de Usuário) (Pool de Servidores)</w:t>
      </w:r>
    </w:p>
    <w:p w:rsidR="00D02D7A" w:rsidRPr="000A1C8E" w:rsidRDefault="00D02D7A" w:rsidP="00D02D7A">
      <w:pPr>
        <w:rPr>
          <w:rFonts w:cs="Tahoma"/>
        </w:rPr>
      </w:pPr>
      <w:r w:rsidRPr="000A1C8E">
        <w:rPr>
          <w:rFonts w:cs="Tahoma"/>
        </w:rPr>
        <w:t>Office 365 Plano E3 (SL de Usuário) (Pool de Servidores)</w:t>
      </w:r>
    </w:p>
    <w:p w:rsidR="00D02D7A" w:rsidRPr="000A1C8E" w:rsidRDefault="00D02D7A" w:rsidP="00D02D7A">
      <w:pPr>
        <w:rPr>
          <w:rFonts w:cs="Tahoma"/>
        </w:rPr>
      </w:pPr>
      <w:r w:rsidRPr="000A1C8E">
        <w:rPr>
          <w:rFonts w:cs="Tahoma"/>
        </w:rPr>
        <w:t>Office 365 Plano E4 (SL de Usuário) (Pool de Servidores)</w:t>
      </w:r>
    </w:p>
    <w:p w:rsidR="00D02D7A" w:rsidRPr="000A1C8E" w:rsidRDefault="00D02D7A" w:rsidP="00D02D7A">
      <w:pPr>
        <w:rPr>
          <w:rFonts w:cs="Tahoma"/>
        </w:rPr>
      </w:pPr>
      <w:r w:rsidRPr="000A1C8E">
        <w:rPr>
          <w:rFonts w:cs="Tahoma"/>
        </w:rPr>
        <w:t>Office 365 Plano G1 (SL de Usuário) (Pool de Servidores)</w:t>
      </w:r>
    </w:p>
    <w:p w:rsidR="00D02D7A" w:rsidRPr="000A1C8E" w:rsidRDefault="00D02D7A" w:rsidP="00D02D7A">
      <w:pPr>
        <w:rPr>
          <w:rFonts w:cs="Tahoma"/>
        </w:rPr>
      </w:pPr>
      <w:r w:rsidRPr="000A1C8E">
        <w:rPr>
          <w:rFonts w:cs="Tahoma"/>
        </w:rPr>
        <w:t>Office 365 Plano G2 (SL de Usuário) (Pool de Servidores)</w:t>
      </w:r>
    </w:p>
    <w:p w:rsidR="00D02D7A" w:rsidRPr="000A1C8E" w:rsidRDefault="00D02D7A" w:rsidP="00D02D7A">
      <w:pPr>
        <w:rPr>
          <w:rFonts w:cs="Tahoma"/>
        </w:rPr>
      </w:pPr>
      <w:r w:rsidRPr="000A1C8E">
        <w:rPr>
          <w:rFonts w:cs="Tahoma"/>
        </w:rPr>
        <w:t>Office 365 Plano G3 (SL de Usuário) (Pool de Servidores)</w:t>
      </w:r>
    </w:p>
    <w:p w:rsidR="00D02D7A" w:rsidRPr="000A1C8E" w:rsidRDefault="00D02D7A" w:rsidP="00D02D7A">
      <w:pPr>
        <w:rPr>
          <w:rFonts w:cs="Tahoma"/>
        </w:rPr>
      </w:pPr>
      <w:r w:rsidRPr="000A1C8E">
        <w:rPr>
          <w:rFonts w:cs="Tahoma"/>
        </w:rPr>
        <w:t>Office 365 Plano G4 (SL de Usuário) (Pool de Servidores)</w:t>
      </w:r>
    </w:p>
    <w:p w:rsidR="00D02D7A" w:rsidRPr="000A1C8E" w:rsidRDefault="00D02D7A" w:rsidP="00D02D7A">
      <w:pPr>
        <w:rPr>
          <w:rFonts w:cs="Tahoma"/>
        </w:rPr>
      </w:pPr>
      <w:r w:rsidRPr="000A1C8E">
        <w:rPr>
          <w:rFonts w:cs="Tahoma"/>
        </w:rPr>
        <w:t>Office 365 Plano K1 (SL de Usuário) (Pool de Servidores)</w:t>
      </w:r>
    </w:p>
    <w:p w:rsidR="00D02D7A" w:rsidRPr="000A1C8E" w:rsidRDefault="00D02D7A" w:rsidP="00D02D7A">
      <w:pPr>
        <w:rPr>
          <w:rFonts w:cs="Tahoma"/>
        </w:rPr>
      </w:pPr>
      <w:r w:rsidRPr="000A1C8E">
        <w:rPr>
          <w:rFonts w:cs="Tahoma"/>
        </w:rPr>
        <w:t>Office 365 Plano K2 (SL de Usuário) (Pool de Servidores)</w:t>
      </w:r>
    </w:p>
    <w:p w:rsidR="00D02D7A" w:rsidRPr="000A1C8E" w:rsidRDefault="00D02D7A" w:rsidP="00D02D7A">
      <w:pPr>
        <w:rPr>
          <w:rFonts w:cs="Tahoma"/>
        </w:rPr>
      </w:pPr>
      <w:r w:rsidRPr="000A1C8E">
        <w:rPr>
          <w:rFonts w:cs="Tahoma"/>
        </w:rPr>
        <w:t>System Center 2012 Endpoint Protection</w:t>
      </w:r>
    </w:p>
    <w:p w:rsidR="00D02D7A" w:rsidRPr="000A1C8E" w:rsidRDefault="00D02D7A" w:rsidP="00D02D7A">
      <w:pPr>
        <w:rPr>
          <w:rFonts w:cs="Tahoma"/>
        </w:rPr>
      </w:pPr>
      <w:r w:rsidRPr="000A1C8E">
        <w:rPr>
          <w:rFonts w:cs="Tahoma"/>
        </w:rPr>
        <w:t>Forefront Online Protection for Exchange (SL de Dispositivo e Usuário)</w:t>
      </w:r>
    </w:p>
    <w:p w:rsidR="00D02D7A" w:rsidRPr="000A1C8E" w:rsidRDefault="00D02D7A" w:rsidP="00D02D7A">
      <w:pPr>
        <w:rPr>
          <w:rFonts w:cs="Tahoma"/>
        </w:rPr>
      </w:pPr>
      <w:r w:rsidRPr="000A1C8E">
        <w:rPr>
          <w:rFonts w:cs="Tahoma"/>
        </w:rPr>
        <w:t>Microsoft Desktop Optimization Pack para Software Assurance 2012</w:t>
      </w:r>
    </w:p>
    <w:p w:rsidR="00B65F35" w:rsidRPr="000A1C8E" w:rsidRDefault="00B65F35" w:rsidP="007E466C">
      <w:pPr>
        <w:rPr>
          <w:rFonts w:cs="Tahoma"/>
        </w:rPr>
      </w:pPr>
    </w:p>
    <w:p w:rsidR="00D57D2B" w:rsidRPr="000A1C8E" w:rsidRDefault="00D57D2B" w:rsidP="007E466C">
      <w:pPr>
        <w:rPr>
          <w:rFonts w:cs="Tahoma"/>
        </w:rPr>
      </w:pPr>
    </w:p>
    <w:p w:rsidR="004759C6" w:rsidRPr="000A1C8E" w:rsidRDefault="004759C6" w:rsidP="004759C6">
      <w:pPr>
        <w:pStyle w:val="Heading2"/>
        <w:ind w:left="0"/>
        <w:jc w:val="both"/>
        <w:rPr>
          <w:rFonts w:ascii="Tahoma" w:hAnsi="Tahoma" w:cs="Tahoma"/>
        </w:rPr>
      </w:pPr>
      <w:bookmarkStart w:id="595" w:name="_Toc361829262"/>
      <w:r w:rsidRPr="000A1C8E">
        <w:rPr>
          <w:rFonts w:ascii="Tahoma" w:hAnsi="Tahoma" w:cs="Tahoma"/>
          <w:color w:val="FF6600"/>
        </w:rPr>
        <w:t>ALTERAÇÕES EM MARÇO DE 2013</w:t>
      </w:r>
      <w:bookmarkEnd w:id="595"/>
    </w:p>
    <w:p w:rsidR="004759C6" w:rsidRPr="000A1C8E" w:rsidRDefault="004759C6" w:rsidP="004759C6">
      <w:pPr>
        <w:pStyle w:val="Heading2"/>
        <w:ind w:left="0"/>
        <w:jc w:val="both"/>
        <w:rPr>
          <w:rFonts w:ascii="Tahoma" w:hAnsi="Tahoma" w:cs="Tahoma"/>
          <w:color w:val="FF6600"/>
          <w:sz w:val="18"/>
        </w:rPr>
      </w:pPr>
    </w:p>
    <w:p w:rsidR="0064651F" w:rsidRPr="000A1C8E" w:rsidRDefault="004759C6" w:rsidP="0064651F">
      <w:pPr>
        <w:spacing w:after="60"/>
        <w:rPr>
          <w:rFonts w:cs="Tahoma"/>
        </w:rPr>
      </w:pPr>
      <w:r w:rsidRPr="000A1C8E">
        <w:rPr>
          <w:rFonts w:cs="Tahoma"/>
          <w:b/>
        </w:rPr>
        <w:t>Adições</w:t>
      </w:r>
    </w:p>
    <w:p w:rsidR="006D5B20" w:rsidRPr="000A1C8E" w:rsidRDefault="006D5B20" w:rsidP="006D5B20">
      <w:pPr>
        <w:rPr>
          <w:rFonts w:cs="Tahoma"/>
        </w:rPr>
      </w:pPr>
      <w:r w:rsidRPr="000A1C8E">
        <w:rPr>
          <w:rFonts w:cs="Tahoma"/>
          <w:color w:val="000000"/>
          <w:szCs w:val="18"/>
        </w:rPr>
        <w:t>Arquivamento do Exchange Online para Exchange Online</w:t>
      </w:r>
    </w:p>
    <w:p w:rsidR="006D5B20" w:rsidRPr="000A1C8E" w:rsidRDefault="006D5B20" w:rsidP="006D5B20">
      <w:pPr>
        <w:rPr>
          <w:rFonts w:cs="Tahoma"/>
        </w:rPr>
      </w:pPr>
      <w:r w:rsidRPr="000A1C8E">
        <w:rPr>
          <w:rFonts w:cs="Tahoma"/>
          <w:color w:val="000000"/>
          <w:szCs w:val="18"/>
        </w:rPr>
        <w:t xml:space="preserve">Arquivamento do Exchange Online para Exchange Online A </w:t>
      </w:r>
    </w:p>
    <w:p w:rsidR="006D5B20" w:rsidRPr="000A1C8E" w:rsidRDefault="006D5B20" w:rsidP="006D5B20">
      <w:pPr>
        <w:rPr>
          <w:rFonts w:cs="Tahoma"/>
        </w:rPr>
      </w:pPr>
      <w:r w:rsidRPr="000A1C8E">
        <w:rPr>
          <w:rFonts w:cs="Tahoma"/>
          <w:color w:val="000000"/>
          <w:szCs w:val="18"/>
        </w:rPr>
        <w:t>Exchange Online Protection (SL de Usuário)</w:t>
      </w:r>
    </w:p>
    <w:p w:rsidR="00140B67" w:rsidRPr="000A1C8E" w:rsidRDefault="00140B67" w:rsidP="006D6A83">
      <w:pPr>
        <w:rPr>
          <w:rFonts w:cs="Tahoma"/>
        </w:rPr>
      </w:pPr>
      <w:r w:rsidRPr="000A1C8E">
        <w:rPr>
          <w:rFonts w:cs="Tahoma"/>
          <w:color w:val="000000"/>
          <w:szCs w:val="18"/>
        </w:rPr>
        <w:t>Office 365 Midsize Business (SL de Usuário)</w:t>
      </w:r>
    </w:p>
    <w:p w:rsidR="00170CFB" w:rsidRPr="000A1C8E" w:rsidRDefault="006D5B20" w:rsidP="006D6A83">
      <w:pPr>
        <w:rPr>
          <w:rFonts w:cs="Tahoma"/>
        </w:rPr>
      </w:pPr>
      <w:r w:rsidRPr="000A1C8E">
        <w:rPr>
          <w:rFonts w:cs="Tahoma"/>
          <w:color w:val="000000"/>
          <w:szCs w:val="18"/>
        </w:rPr>
        <w:t>Office 365 Plano E1 (SL de Usuário) SQL Server</w:t>
      </w:r>
      <w:r w:rsidR="00C83286" w:rsidRPr="000A1C8E">
        <w:rPr>
          <w:rFonts w:cs="Tahoma"/>
          <w:color w:val="000000"/>
          <w:szCs w:val="18"/>
          <w:vertAlign w:val="superscript"/>
        </w:rPr>
        <w:t>®</w:t>
      </w:r>
      <w:r w:rsidRPr="000A1C8E">
        <w:rPr>
          <w:rFonts w:cs="Tahoma"/>
          <w:color w:val="000000"/>
          <w:szCs w:val="18"/>
        </w:rPr>
        <w:t xml:space="preserve"> 2012 Parallel Data Warehouse</w:t>
      </w:r>
    </w:p>
    <w:p w:rsidR="006D5B20" w:rsidRPr="000A1C8E" w:rsidRDefault="006D5B20" w:rsidP="006D5B20">
      <w:pPr>
        <w:rPr>
          <w:rFonts w:cs="Tahoma"/>
        </w:rPr>
      </w:pPr>
      <w:r w:rsidRPr="000A1C8E">
        <w:rPr>
          <w:rFonts w:cs="Tahoma"/>
          <w:color w:val="000000"/>
          <w:szCs w:val="18"/>
        </w:rPr>
        <w:t xml:space="preserve">Project Online </w:t>
      </w:r>
    </w:p>
    <w:p w:rsidR="006D5B20" w:rsidRPr="000A1C8E" w:rsidRDefault="006D5B20" w:rsidP="006D5B20">
      <w:pPr>
        <w:rPr>
          <w:rFonts w:cs="Tahoma"/>
        </w:rPr>
      </w:pPr>
      <w:r w:rsidRPr="000A1C8E">
        <w:rPr>
          <w:rFonts w:cs="Tahoma"/>
          <w:color w:val="000000"/>
          <w:szCs w:val="18"/>
        </w:rPr>
        <w:t>Project Online A</w:t>
      </w:r>
      <w:r w:rsidR="00DC6D8B" w:rsidRPr="000A1C8E">
        <w:rPr>
          <w:rFonts w:cs="Tahoma"/>
          <w:color w:val="000000"/>
          <w:szCs w:val="18"/>
        </w:rPr>
        <w:t xml:space="preserve"> </w:t>
      </w:r>
    </w:p>
    <w:p w:rsidR="006D5B20" w:rsidRPr="000A1C8E" w:rsidRDefault="006D5B20" w:rsidP="006D5B20">
      <w:pPr>
        <w:rPr>
          <w:rFonts w:cs="Tahoma"/>
        </w:rPr>
      </w:pPr>
      <w:r w:rsidRPr="000A1C8E">
        <w:rPr>
          <w:rFonts w:cs="Tahoma"/>
          <w:color w:val="000000"/>
          <w:szCs w:val="18"/>
        </w:rPr>
        <w:t xml:space="preserve">Project Pro para Office 365 </w:t>
      </w:r>
    </w:p>
    <w:p w:rsidR="006D5B20" w:rsidRPr="000A1C8E" w:rsidRDefault="006D5B20" w:rsidP="006D5B20">
      <w:pPr>
        <w:rPr>
          <w:rFonts w:cs="Tahoma"/>
        </w:rPr>
      </w:pPr>
      <w:r w:rsidRPr="000A1C8E">
        <w:rPr>
          <w:rFonts w:cs="Tahoma"/>
          <w:color w:val="000000"/>
          <w:szCs w:val="18"/>
        </w:rPr>
        <w:t>Project Pro para Office 365 A</w:t>
      </w:r>
      <w:r w:rsidR="00DC6D8B" w:rsidRPr="000A1C8E">
        <w:rPr>
          <w:rFonts w:cs="Tahoma"/>
          <w:color w:val="000000"/>
          <w:szCs w:val="18"/>
        </w:rPr>
        <w:t xml:space="preserve"> </w:t>
      </w:r>
    </w:p>
    <w:p w:rsidR="00170CFB" w:rsidRPr="000A1C8E" w:rsidRDefault="00170CFB" w:rsidP="006D6A83">
      <w:pPr>
        <w:rPr>
          <w:rFonts w:cs="Tahoma"/>
        </w:rPr>
      </w:pPr>
      <w:r w:rsidRPr="000A1C8E">
        <w:rPr>
          <w:rFonts w:cs="Tahoma"/>
          <w:color w:val="000000"/>
          <w:szCs w:val="18"/>
        </w:rPr>
        <w:t>SQL Server</w:t>
      </w:r>
      <w:r w:rsidR="00C83286" w:rsidRPr="000A1C8E">
        <w:rPr>
          <w:rFonts w:cs="Tahoma"/>
          <w:color w:val="000000"/>
          <w:szCs w:val="18"/>
          <w:vertAlign w:val="superscript"/>
        </w:rPr>
        <w:t>®</w:t>
      </w:r>
      <w:r w:rsidRPr="000A1C8E">
        <w:rPr>
          <w:rFonts w:cs="Tahoma"/>
          <w:color w:val="000000"/>
          <w:szCs w:val="18"/>
        </w:rPr>
        <w:t xml:space="preserve"> 2012 Parallel Data Warehouse Developer</w:t>
      </w:r>
    </w:p>
    <w:p w:rsidR="00170CFB" w:rsidRPr="000A1C8E" w:rsidRDefault="00170CFB" w:rsidP="006D6A83">
      <w:pPr>
        <w:rPr>
          <w:rFonts w:cs="Tahoma"/>
        </w:rPr>
      </w:pPr>
      <w:r w:rsidRPr="000A1C8E">
        <w:rPr>
          <w:rFonts w:cs="Tahoma"/>
          <w:color w:val="000000"/>
          <w:szCs w:val="18"/>
        </w:rPr>
        <w:t>Visio Pro para Office 365 A</w:t>
      </w:r>
      <w:r w:rsidR="00DC6D8B" w:rsidRPr="000A1C8E">
        <w:rPr>
          <w:rFonts w:cs="Tahoma"/>
          <w:color w:val="000000"/>
          <w:szCs w:val="18"/>
        </w:rPr>
        <w:t xml:space="preserve"> </w:t>
      </w:r>
    </w:p>
    <w:p w:rsidR="00170CFB" w:rsidRPr="000A1C8E" w:rsidRDefault="00170CFB" w:rsidP="006D6A83">
      <w:pPr>
        <w:rPr>
          <w:rFonts w:cs="Tahoma"/>
        </w:rPr>
      </w:pPr>
      <w:r w:rsidRPr="000A1C8E">
        <w:rPr>
          <w:rFonts w:cs="Tahoma"/>
          <w:color w:val="000000"/>
          <w:szCs w:val="18"/>
        </w:rPr>
        <w:t xml:space="preserve">Visio Pro para Office 365 </w:t>
      </w:r>
    </w:p>
    <w:p w:rsidR="00170CFB" w:rsidRPr="000A1C8E" w:rsidRDefault="00170CFB" w:rsidP="006D6A83">
      <w:pPr>
        <w:rPr>
          <w:rFonts w:cs="Tahoma"/>
        </w:rPr>
      </w:pPr>
      <w:r w:rsidRPr="000A1C8E">
        <w:rPr>
          <w:rFonts w:cs="Tahoma"/>
          <w:color w:val="000000"/>
          <w:szCs w:val="18"/>
        </w:rPr>
        <w:t xml:space="preserve">Yammer Enterprise </w:t>
      </w:r>
    </w:p>
    <w:p w:rsidR="004759C6" w:rsidRPr="000A1C8E" w:rsidRDefault="004759C6" w:rsidP="007F411C">
      <w:pPr>
        <w:tabs>
          <w:tab w:val="num" w:pos="720"/>
        </w:tabs>
        <w:outlineLvl w:val="3"/>
        <w:rPr>
          <w:rFonts w:cs="Tahoma"/>
        </w:rPr>
      </w:pPr>
    </w:p>
    <w:p w:rsidR="004759C6" w:rsidRPr="000A1C8E" w:rsidRDefault="004759C6" w:rsidP="007F411C">
      <w:pPr>
        <w:keepNext/>
        <w:keepLines/>
        <w:spacing w:after="60"/>
        <w:rPr>
          <w:rFonts w:cs="Tahoma"/>
        </w:rPr>
      </w:pPr>
      <w:r w:rsidRPr="000A1C8E">
        <w:rPr>
          <w:rFonts w:cs="Tahoma"/>
          <w:b/>
        </w:rPr>
        <w:lastRenderedPageBreak/>
        <w:t>Alterações</w:t>
      </w:r>
    </w:p>
    <w:p w:rsidR="00497ADA" w:rsidRPr="000A1C8E" w:rsidRDefault="001B413E" w:rsidP="007F411C">
      <w:pPr>
        <w:keepNext/>
        <w:keepLines/>
        <w:rPr>
          <w:rFonts w:cs="Tahoma"/>
        </w:rPr>
      </w:pPr>
      <w:r w:rsidRPr="000A1C8E">
        <w:rPr>
          <w:rFonts w:cs="Tahoma"/>
          <w:color w:val="000000"/>
          <w:szCs w:val="18"/>
        </w:rPr>
        <w:t>Microsoft Dynamics CRM Online</w:t>
      </w:r>
    </w:p>
    <w:p w:rsidR="006D5B20" w:rsidRPr="000A1C8E" w:rsidRDefault="006D5B20" w:rsidP="007F411C">
      <w:pPr>
        <w:keepNext/>
        <w:keepLines/>
        <w:rPr>
          <w:rFonts w:cs="Tahoma"/>
        </w:rPr>
      </w:pPr>
      <w:r w:rsidRPr="000A1C8E">
        <w:rPr>
          <w:rFonts w:cs="Tahoma"/>
          <w:color w:val="000000"/>
          <w:szCs w:val="18"/>
        </w:rPr>
        <w:t>Arquivamento do Exchange Online para Exchange Server</w:t>
      </w:r>
    </w:p>
    <w:p w:rsidR="006D5B20" w:rsidRPr="000A1C8E" w:rsidRDefault="006D5B20" w:rsidP="006D5B20">
      <w:pPr>
        <w:rPr>
          <w:rFonts w:cs="Tahoma"/>
        </w:rPr>
      </w:pPr>
      <w:r w:rsidRPr="000A1C8E">
        <w:rPr>
          <w:rFonts w:cs="Tahoma"/>
          <w:color w:val="000000"/>
          <w:szCs w:val="18"/>
        </w:rPr>
        <w:t>Exchange Online Plano 1 (SL de Usuário)</w:t>
      </w:r>
    </w:p>
    <w:p w:rsidR="006D5B20" w:rsidRPr="000A1C8E" w:rsidRDefault="006D5B20" w:rsidP="006D5B20">
      <w:pPr>
        <w:rPr>
          <w:rFonts w:cs="Tahoma"/>
        </w:rPr>
      </w:pPr>
      <w:r w:rsidRPr="000A1C8E">
        <w:rPr>
          <w:rFonts w:cs="Tahoma"/>
          <w:color w:val="000000"/>
          <w:szCs w:val="18"/>
        </w:rPr>
        <w:t>Exchange Online Plano 2 (SL de Usuário)</w:t>
      </w:r>
    </w:p>
    <w:p w:rsidR="006D5B20" w:rsidRPr="000A1C8E" w:rsidRDefault="006D5B20" w:rsidP="006D5B20">
      <w:pPr>
        <w:rPr>
          <w:rFonts w:cs="Tahoma"/>
        </w:rPr>
      </w:pPr>
      <w:r w:rsidRPr="000A1C8E">
        <w:rPr>
          <w:rFonts w:cs="Tahoma"/>
          <w:color w:val="000000"/>
          <w:szCs w:val="18"/>
        </w:rPr>
        <w:t>Exchange Online Plano 1A para Alunos (SL do Usuário)</w:t>
      </w:r>
    </w:p>
    <w:p w:rsidR="006D5B20" w:rsidRPr="000A1C8E" w:rsidRDefault="006D5B20" w:rsidP="006D5B20">
      <w:pPr>
        <w:rPr>
          <w:rFonts w:cs="Tahoma"/>
        </w:rPr>
      </w:pPr>
      <w:r w:rsidRPr="000A1C8E">
        <w:rPr>
          <w:rFonts w:cs="Tahoma"/>
          <w:color w:val="000000"/>
          <w:szCs w:val="18"/>
        </w:rPr>
        <w:t>Exchange Online Plano 2A (SL de Usuário)</w:t>
      </w:r>
    </w:p>
    <w:p w:rsidR="006D5B20" w:rsidRPr="000A1C8E" w:rsidRDefault="006D5B20" w:rsidP="006D5B20">
      <w:pPr>
        <w:rPr>
          <w:rFonts w:cs="Tahoma"/>
        </w:rPr>
      </w:pPr>
      <w:r w:rsidRPr="000A1C8E">
        <w:rPr>
          <w:rFonts w:cs="Tahoma"/>
          <w:color w:val="000000"/>
          <w:szCs w:val="18"/>
        </w:rPr>
        <w:t>Lync Online Plano 3A (SL de Usuário)</w:t>
      </w:r>
    </w:p>
    <w:p w:rsidR="00497ADA" w:rsidRPr="000A1C8E" w:rsidRDefault="00497ADA" w:rsidP="006D5B20">
      <w:pPr>
        <w:rPr>
          <w:rFonts w:cs="Tahoma"/>
        </w:rPr>
      </w:pPr>
      <w:r w:rsidRPr="000A1C8E">
        <w:rPr>
          <w:rFonts w:cs="Tahoma"/>
          <w:color w:val="000000"/>
          <w:szCs w:val="18"/>
        </w:rPr>
        <w:t>Microsoft Dynamics CRM 2011 Server</w:t>
      </w:r>
    </w:p>
    <w:p w:rsidR="006D5B20" w:rsidRPr="000A1C8E" w:rsidRDefault="006D5B20" w:rsidP="006D5B20">
      <w:pPr>
        <w:rPr>
          <w:rFonts w:cs="Tahoma"/>
        </w:rPr>
      </w:pPr>
      <w:r w:rsidRPr="000A1C8E">
        <w:rPr>
          <w:rFonts w:cs="Tahoma"/>
          <w:color w:val="000000"/>
          <w:szCs w:val="18"/>
        </w:rPr>
        <w:t>Ofertas de Suporte do Microsoft Windows Azure</w:t>
      </w:r>
    </w:p>
    <w:p w:rsidR="006D5B20" w:rsidRPr="000A1C8E" w:rsidRDefault="006D5B20" w:rsidP="006D5B20">
      <w:pPr>
        <w:rPr>
          <w:rFonts w:cs="Tahoma"/>
        </w:rPr>
      </w:pPr>
      <w:r w:rsidRPr="000A1C8E">
        <w:rPr>
          <w:rFonts w:cs="Tahoma"/>
          <w:color w:val="000000"/>
          <w:szCs w:val="18"/>
        </w:rPr>
        <w:t>Office 365 A2 (SL de Usuário)</w:t>
      </w:r>
    </w:p>
    <w:p w:rsidR="006D5B20" w:rsidRPr="000A1C8E" w:rsidRDefault="006D5B20" w:rsidP="006D5B20">
      <w:pPr>
        <w:rPr>
          <w:rFonts w:cs="Tahoma"/>
        </w:rPr>
      </w:pPr>
      <w:r w:rsidRPr="000A1C8E">
        <w:rPr>
          <w:rFonts w:cs="Tahoma"/>
          <w:color w:val="000000"/>
          <w:szCs w:val="18"/>
        </w:rPr>
        <w:t>Office 365 A3 (SL de Usuário)</w:t>
      </w:r>
    </w:p>
    <w:p w:rsidR="006D5B20" w:rsidRPr="000A1C8E" w:rsidRDefault="006D5B20" w:rsidP="006D5B20">
      <w:pPr>
        <w:rPr>
          <w:rFonts w:cs="Tahoma"/>
        </w:rPr>
      </w:pPr>
      <w:r w:rsidRPr="000A1C8E">
        <w:rPr>
          <w:rFonts w:cs="Tahoma"/>
          <w:color w:val="000000"/>
          <w:szCs w:val="18"/>
        </w:rPr>
        <w:t>Office 365 A4 (SL de Usuário)</w:t>
      </w:r>
    </w:p>
    <w:p w:rsidR="006D5B20" w:rsidRPr="000A1C8E" w:rsidRDefault="006D5B20" w:rsidP="006D5B20">
      <w:pPr>
        <w:rPr>
          <w:rFonts w:cs="Tahoma"/>
        </w:rPr>
      </w:pPr>
      <w:r w:rsidRPr="000A1C8E">
        <w:rPr>
          <w:rFonts w:cs="Tahoma"/>
          <w:color w:val="000000"/>
          <w:szCs w:val="18"/>
        </w:rPr>
        <w:t>Assinatura A do Office Professional Plus (SL de Usuário)</w:t>
      </w:r>
    </w:p>
    <w:p w:rsidR="006D5B20" w:rsidRPr="000A1C8E" w:rsidRDefault="006D5B20" w:rsidP="006D5B20">
      <w:pPr>
        <w:rPr>
          <w:rFonts w:cs="Tahoma"/>
        </w:rPr>
      </w:pPr>
      <w:r w:rsidRPr="000A1C8E">
        <w:rPr>
          <w:rFonts w:cs="Tahoma"/>
          <w:color w:val="000000"/>
          <w:szCs w:val="18"/>
        </w:rPr>
        <w:t>Aplicativos da Web do Office com SharePoint Plano 2A (SL do Usuário)</w:t>
      </w:r>
    </w:p>
    <w:p w:rsidR="006D5B20" w:rsidRPr="000A1C8E" w:rsidRDefault="006D5B20" w:rsidP="006D6A83">
      <w:pPr>
        <w:rPr>
          <w:rFonts w:cs="Tahoma"/>
        </w:rPr>
      </w:pPr>
      <w:r w:rsidRPr="000A1C8E">
        <w:rPr>
          <w:rFonts w:cs="Tahoma"/>
          <w:color w:val="000000"/>
          <w:szCs w:val="18"/>
        </w:rPr>
        <w:t>Armazenamento Extra do SharePoint™ Online de A 1 GB (SL Complementar)</w:t>
      </w:r>
    </w:p>
    <w:p w:rsidR="00170CFB" w:rsidRPr="000A1C8E" w:rsidRDefault="00170CFB" w:rsidP="006D6A83">
      <w:pPr>
        <w:rPr>
          <w:rFonts w:cs="Tahoma"/>
        </w:rPr>
      </w:pPr>
      <w:r w:rsidRPr="000A1C8E">
        <w:rPr>
          <w:rFonts w:cs="Tahoma"/>
          <w:color w:val="000000"/>
          <w:szCs w:val="18"/>
        </w:rPr>
        <w:t>Licença de Gerenciamento de Servidor Enterprise do System Center Configuration Manager 2007 R3</w:t>
      </w:r>
    </w:p>
    <w:p w:rsidR="00170CFB" w:rsidRPr="000A1C8E" w:rsidRDefault="00170CFB" w:rsidP="006D6A83">
      <w:pPr>
        <w:rPr>
          <w:rFonts w:cs="Tahoma"/>
        </w:rPr>
      </w:pPr>
      <w:r w:rsidRPr="000A1C8E">
        <w:rPr>
          <w:rFonts w:cs="Tahoma"/>
          <w:color w:val="000000"/>
          <w:szCs w:val="18"/>
        </w:rPr>
        <w:t>Licença de Gerenciamento de Servidor Standard (ML de Servidor Standard) do System Center Configuration Manager 2007 R3)</w:t>
      </w:r>
    </w:p>
    <w:p w:rsidR="00170CFB" w:rsidRPr="000A1C8E" w:rsidRDefault="00170CFB" w:rsidP="006D6A83">
      <w:pPr>
        <w:rPr>
          <w:rFonts w:cs="Tahoma"/>
        </w:rPr>
      </w:pPr>
      <w:r w:rsidRPr="000A1C8E">
        <w:rPr>
          <w:rFonts w:cs="Tahoma"/>
          <w:color w:val="000000"/>
          <w:szCs w:val="18"/>
        </w:rPr>
        <w:t>Licença de Gerenciamento de Servidor Enterprise do System Center Data Protection Manager 2010</w:t>
      </w:r>
    </w:p>
    <w:p w:rsidR="00170CFB" w:rsidRPr="000A1C8E" w:rsidRDefault="00170CFB" w:rsidP="006D6A83">
      <w:pPr>
        <w:rPr>
          <w:rFonts w:cs="Tahoma"/>
        </w:rPr>
      </w:pPr>
      <w:r w:rsidRPr="000A1C8E">
        <w:rPr>
          <w:rFonts w:cs="Tahoma"/>
          <w:color w:val="000000"/>
          <w:szCs w:val="18"/>
        </w:rPr>
        <w:t>Licença de Gerenciamento de Servidor Standard do System Center Data Protection Manager 2010</w:t>
      </w:r>
    </w:p>
    <w:p w:rsidR="00170CFB" w:rsidRPr="000A1C8E" w:rsidRDefault="00170CFB" w:rsidP="006D6A83">
      <w:pPr>
        <w:rPr>
          <w:rFonts w:cs="Tahoma"/>
        </w:rPr>
      </w:pPr>
      <w:r w:rsidRPr="000A1C8E">
        <w:rPr>
          <w:rFonts w:cs="Tahoma"/>
          <w:color w:val="000000"/>
          <w:szCs w:val="18"/>
        </w:rPr>
        <w:t>Licença de Gerenciamento de Cliente do System Center Operations Manager 2007 R2 por Usuário</w:t>
      </w:r>
    </w:p>
    <w:p w:rsidR="00170CFB" w:rsidRPr="000A1C8E" w:rsidRDefault="00170CFB" w:rsidP="006D6A83">
      <w:pPr>
        <w:rPr>
          <w:rFonts w:cs="Tahoma"/>
        </w:rPr>
      </w:pPr>
      <w:r w:rsidRPr="000A1C8E">
        <w:rPr>
          <w:rFonts w:cs="Tahoma"/>
          <w:color w:val="000000"/>
          <w:szCs w:val="18"/>
        </w:rPr>
        <w:t>Licença de Gerenciamento de Cliente do System Center Operations Manager 2007 R2 por OSE</w:t>
      </w:r>
    </w:p>
    <w:p w:rsidR="00170CFB" w:rsidRPr="000A1C8E" w:rsidRDefault="00170CFB" w:rsidP="006D6A83">
      <w:pPr>
        <w:rPr>
          <w:rFonts w:cs="Tahoma"/>
        </w:rPr>
      </w:pPr>
      <w:r w:rsidRPr="000A1C8E">
        <w:rPr>
          <w:rFonts w:cs="Tahoma"/>
          <w:color w:val="000000"/>
          <w:szCs w:val="18"/>
        </w:rPr>
        <w:t>Licença de Gerenciamento de Servidor Enterprise do System Center Operations Manager 2007 R2</w:t>
      </w:r>
    </w:p>
    <w:p w:rsidR="00170CFB" w:rsidRPr="000A1C8E" w:rsidRDefault="00170CFB" w:rsidP="006D6A83">
      <w:pPr>
        <w:rPr>
          <w:rFonts w:cs="Tahoma"/>
        </w:rPr>
      </w:pPr>
      <w:r w:rsidRPr="000A1C8E">
        <w:rPr>
          <w:rFonts w:cs="Tahoma"/>
          <w:color w:val="000000"/>
          <w:szCs w:val="18"/>
        </w:rPr>
        <w:t>Licença de Gerenciamento de Servidor Standard do System Center Operations Manager 2007 R2</w:t>
      </w:r>
    </w:p>
    <w:p w:rsidR="00170CFB" w:rsidRPr="000A1C8E" w:rsidRDefault="00170CFB" w:rsidP="006D6A83">
      <w:pPr>
        <w:rPr>
          <w:rFonts w:cs="Tahoma"/>
        </w:rPr>
      </w:pPr>
      <w:r w:rsidRPr="000A1C8E">
        <w:rPr>
          <w:rFonts w:cs="Tahoma"/>
          <w:color w:val="000000"/>
          <w:szCs w:val="18"/>
        </w:rPr>
        <w:t>Licença de Gerenciamento de Cliente (ML de Cliente) do System Center Service Manager 2010 por Usuário</w:t>
      </w:r>
    </w:p>
    <w:p w:rsidR="00170CFB" w:rsidRPr="000A1C8E" w:rsidRDefault="00170CFB" w:rsidP="006D6A83">
      <w:pPr>
        <w:rPr>
          <w:rFonts w:cs="Tahoma"/>
        </w:rPr>
      </w:pPr>
      <w:r w:rsidRPr="000A1C8E">
        <w:rPr>
          <w:rFonts w:cs="Tahoma"/>
          <w:color w:val="000000"/>
          <w:szCs w:val="18"/>
        </w:rPr>
        <w:t>Licença de Gerenciamento de Cliente (ML de Cliente) do System Center Service Manager 2010 por OSE</w:t>
      </w:r>
    </w:p>
    <w:p w:rsidR="00170CFB" w:rsidRPr="000A1C8E" w:rsidRDefault="00170CFB" w:rsidP="006D6A83">
      <w:pPr>
        <w:rPr>
          <w:rFonts w:cs="Tahoma"/>
        </w:rPr>
      </w:pPr>
      <w:r w:rsidRPr="000A1C8E">
        <w:rPr>
          <w:rFonts w:cs="Tahoma"/>
          <w:color w:val="000000"/>
          <w:szCs w:val="18"/>
        </w:rPr>
        <w:t>Licença de Gerenciamento de Servidor (ML de Servidor) do System Center Service Manager 2010 por OSE</w:t>
      </w:r>
    </w:p>
    <w:p w:rsidR="00170CFB" w:rsidRPr="000A1C8E" w:rsidRDefault="00170CFB" w:rsidP="006D6A83">
      <w:pPr>
        <w:rPr>
          <w:rFonts w:cs="Tahoma"/>
        </w:rPr>
      </w:pPr>
      <w:r w:rsidRPr="000A1C8E">
        <w:rPr>
          <w:rFonts w:cs="Tahoma"/>
          <w:color w:val="000000"/>
          <w:szCs w:val="18"/>
        </w:rPr>
        <w:t>Licença de Gerenciamento de Cliente do System Center Virtual Machine Manager 2008 R2 por Usuário</w:t>
      </w:r>
    </w:p>
    <w:p w:rsidR="00170CFB" w:rsidRPr="000A1C8E" w:rsidRDefault="00170CFB" w:rsidP="006D6A83">
      <w:pPr>
        <w:rPr>
          <w:rFonts w:cs="Tahoma"/>
        </w:rPr>
      </w:pPr>
      <w:r w:rsidRPr="000A1C8E">
        <w:rPr>
          <w:rFonts w:cs="Tahoma"/>
          <w:color w:val="000000"/>
          <w:szCs w:val="18"/>
        </w:rPr>
        <w:t>Licença de Gerenciamento de Cliente do System Center Virtual Machine Manager 2008 R2 por OSE</w:t>
      </w:r>
    </w:p>
    <w:p w:rsidR="00170CFB" w:rsidRPr="000A1C8E" w:rsidRDefault="00170CFB" w:rsidP="006D6A83">
      <w:pPr>
        <w:rPr>
          <w:rFonts w:cs="Tahoma"/>
        </w:rPr>
      </w:pPr>
      <w:r w:rsidRPr="000A1C8E">
        <w:rPr>
          <w:rFonts w:cs="Tahoma"/>
          <w:color w:val="000000"/>
          <w:szCs w:val="18"/>
        </w:rPr>
        <w:t>Licença de Gerenciamento de Servidor Enterprise do System Center Virtual Machine Manager 2008 R2</w:t>
      </w:r>
    </w:p>
    <w:p w:rsidR="0064651F" w:rsidRPr="000A1C8E" w:rsidRDefault="00497ADA">
      <w:pPr>
        <w:rPr>
          <w:rFonts w:cs="Tahoma"/>
        </w:rPr>
      </w:pPr>
      <w:r w:rsidRPr="000A1C8E">
        <w:rPr>
          <w:rFonts w:cs="Tahoma"/>
          <w:color w:val="000000"/>
          <w:szCs w:val="18"/>
        </w:rPr>
        <w:t>SL de Usuário do Windows Intune</w:t>
      </w:r>
    </w:p>
    <w:p w:rsidR="0064651F" w:rsidRPr="000A1C8E" w:rsidRDefault="0064651F">
      <w:pPr>
        <w:rPr>
          <w:rFonts w:cs="Tahoma"/>
        </w:rPr>
      </w:pPr>
    </w:p>
    <w:p w:rsidR="004759C6" w:rsidRPr="000A1C8E" w:rsidRDefault="004759C6" w:rsidP="0064651F">
      <w:pPr>
        <w:keepNext/>
        <w:tabs>
          <w:tab w:val="num" w:pos="720"/>
        </w:tabs>
        <w:spacing w:after="60"/>
        <w:outlineLvl w:val="3"/>
        <w:rPr>
          <w:rFonts w:cs="Tahoma"/>
        </w:rPr>
      </w:pPr>
      <w:r w:rsidRPr="000A1C8E">
        <w:rPr>
          <w:rFonts w:cs="Tahoma"/>
          <w:b/>
        </w:rPr>
        <w:t>Exclusões</w:t>
      </w:r>
    </w:p>
    <w:p w:rsidR="006D5B20" w:rsidRPr="000A1C8E" w:rsidRDefault="006D5B20" w:rsidP="006D5B20">
      <w:pPr>
        <w:rPr>
          <w:rFonts w:cs="Tahoma"/>
        </w:rPr>
      </w:pPr>
      <w:r w:rsidRPr="000A1C8E">
        <w:rPr>
          <w:rFonts w:cs="Tahoma"/>
          <w:color w:val="000000"/>
          <w:szCs w:val="18"/>
        </w:rPr>
        <w:t>Expression Studio Professional 4</w:t>
      </w:r>
    </w:p>
    <w:p w:rsidR="006D5B20" w:rsidRPr="000A1C8E" w:rsidRDefault="006D5B20" w:rsidP="006D5B20">
      <w:pPr>
        <w:rPr>
          <w:rFonts w:cs="Tahoma"/>
        </w:rPr>
      </w:pPr>
      <w:r w:rsidRPr="000A1C8E">
        <w:rPr>
          <w:rFonts w:cs="Tahoma"/>
          <w:color w:val="000000"/>
          <w:szCs w:val="18"/>
        </w:rPr>
        <w:t>Expression Studio Ultimate 4</w:t>
      </w:r>
    </w:p>
    <w:p w:rsidR="006D5B20" w:rsidRPr="000A1C8E" w:rsidRDefault="006D5B20" w:rsidP="006D5B20">
      <w:pPr>
        <w:rPr>
          <w:rFonts w:cs="Tahoma"/>
        </w:rPr>
      </w:pPr>
      <w:r w:rsidRPr="000A1C8E">
        <w:rPr>
          <w:rFonts w:cs="Tahoma"/>
          <w:color w:val="000000"/>
          <w:szCs w:val="18"/>
        </w:rPr>
        <w:t>Aplicativos da Web do Office A (SL do Usuário)</w:t>
      </w:r>
    </w:p>
    <w:p w:rsidR="006D5B20" w:rsidRPr="000A1C8E" w:rsidRDefault="006D5B20" w:rsidP="006D5B20">
      <w:pPr>
        <w:rPr>
          <w:rFonts w:cs="Tahoma"/>
        </w:rPr>
      </w:pPr>
      <w:r w:rsidRPr="000A1C8E">
        <w:rPr>
          <w:rFonts w:cs="Tahoma"/>
          <w:color w:val="000000"/>
          <w:szCs w:val="18"/>
        </w:rPr>
        <w:t>SQL Server</w:t>
      </w:r>
      <w:r w:rsidR="00C83286" w:rsidRPr="000A1C8E">
        <w:rPr>
          <w:rFonts w:cs="Tahoma"/>
          <w:color w:val="000000"/>
          <w:szCs w:val="18"/>
          <w:vertAlign w:val="superscript"/>
        </w:rPr>
        <w:t>®</w:t>
      </w:r>
      <w:r w:rsidRPr="000A1C8E">
        <w:rPr>
          <w:rFonts w:cs="Tahoma"/>
          <w:color w:val="000000"/>
          <w:szCs w:val="18"/>
        </w:rPr>
        <w:t xml:space="preserve"> 2008 R2 Parallel Data Warehouse</w:t>
      </w:r>
    </w:p>
    <w:p w:rsidR="006D5B20" w:rsidRPr="000A1C8E" w:rsidRDefault="006D5B20" w:rsidP="006D5B20">
      <w:pPr>
        <w:rPr>
          <w:rFonts w:cs="Tahoma"/>
        </w:rPr>
      </w:pPr>
      <w:r w:rsidRPr="000A1C8E">
        <w:rPr>
          <w:rFonts w:cs="Tahoma"/>
          <w:color w:val="000000"/>
          <w:szCs w:val="18"/>
        </w:rPr>
        <w:t>SQL Server</w:t>
      </w:r>
      <w:r w:rsidR="00C83286" w:rsidRPr="000A1C8E">
        <w:rPr>
          <w:rFonts w:cs="Tahoma"/>
          <w:color w:val="000000"/>
          <w:szCs w:val="18"/>
          <w:vertAlign w:val="superscript"/>
        </w:rPr>
        <w:t>®</w:t>
      </w:r>
      <w:r w:rsidRPr="000A1C8E">
        <w:rPr>
          <w:rFonts w:cs="Tahoma"/>
          <w:color w:val="000000"/>
          <w:szCs w:val="18"/>
        </w:rPr>
        <w:t xml:space="preserve"> 2008 R2 Parallel Data Warehouse Developer</w:t>
      </w:r>
    </w:p>
    <w:p w:rsidR="00170CFB" w:rsidRPr="000A1C8E" w:rsidRDefault="00170CFB" w:rsidP="006D6A83">
      <w:pPr>
        <w:rPr>
          <w:rFonts w:cs="Tahoma"/>
        </w:rPr>
      </w:pPr>
      <w:r w:rsidRPr="000A1C8E">
        <w:rPr>
          <w:rFonts w:cs="Tahoma"/>
          <w:color w:val="000000"/>
          <w:szCs w:val="18"/>
        </w:rPr>
        <w:t>System Center Configuration Manager 2007 R3</w:t>
      </w:r>
    </w:p>
    <w:p w:rsidR="00170CFB" w:rsidRPr="000A1C8E" w:rsidRDefault="00170CFB" w:rsidP="006D6A83">
      <w:pPr>
        <w:rPr>
          <w:rFonts w:cs="Tahoma"/>
        </w:rPr>
      </w:pPr>
      <w:r w:rsidRPr="000A1C8E">
        <w:rPr>
          <w:rFonts w:cs="Tahoma"/>
          <w:color w:val="000000"/>
          <w:szCs w:val="18"/>
        </w:rPr>
        <w:t>System Center Configuration Manager 2007 R3 com Tecnologia SQL Server 2008</w:t>
      </w:r>
    </w:p>
    <w:p w:rsidR="00170CFB" w:rsidRPr="000A1C8E" w:rsidRDefault="00170CFB" w:rsidP="006D6A83">
      <w:pPr>
        <w:rPr>
          <w:rFonts w:cs="Tahoma"/>
        </w:rPr>
      </w:pPr>
      <w:r w:rsidRPr="000A1C8E">
        <w:rPr>
          <w:rFonts w:cs="Tahoma"/>
          <w:color w:val="000000"/>
          <w:szCs w:val="18"/>
        </w:rPr>
        <w:t>Licença de Gerenciamento de Cliente do System Center Data Protection Manager 2010 por Usuário</w:t>
      </w:r>
    </w:p>
    <w:p w:rsidR="00170CFB" w:rsidRPr="000A1C8E" w:rsidRDefault="00170CFB" w:rsidP="006D6A83">
      <w:pPr>
        <w:rPr>
          <w:rFonts w:cs="Tahoma"/>
        </w:rPr>
      </w:pPr>
      <w:r w:rsidRPr="000A1C8E">
        <w:rPr>
          <w:rFonts w:cs="Tahoma"/>
          <w:color w:val="000000"/>
          <w:szCs w:val="18"/>
        </w:rPr>
        <w:t>Licença de Gerenciamento de Cliente do System Center Data Protection Manager 2010 por OSE</w:t>
      </w:r>
    </w:p>
    <w:p w:rsidR="00170CFB" w:rsidRPr="000A1C8E" w:rsidRDefault="00170CFB" w:rsidP="006D6A83">
      <w:pPr>
        <w:rPr>
          <w:rFonts w:cs="Tahoma"/>
        </w:rPr>
      </w:pPr>
      <w:r w:rsidRPr="000A1C8E">
        <w:rPr>
          <w:rFonts w:cs="Tahoma"/>
          <w:color w:val="000000"/>
          <w:szCs w:val="18"/>
        </w:rPr>
        <w:t>System Center Operations Manager 2007 R2</w:t>
      </w:r>
    </w:p>
    <w:p w:rsidR="00170CFB" w:rsidRPr="000A1C8E" w:rsidRDefault="00170CFB" w:rsidP="006D6A83">
      <w:pPr>
        <w:rPr>
          <w:rFonts w:cs="Tahoma"/>
        </w:rPr>
      </w:pPr>
      <w:r w:rsidRPr="000A1C8E">
        <w:rPr>
          <w:rFonts w:cs="Tahoma"/>
          <w:color w:val="000000"/>
          <w:szCs w:val="18"/>
        </w:rPr>
        <w:t>System Center Operations Manager 2007 R2 com Tecnologia SQL Server 2008</w:t>
      </w:r>
    </w:p>
    <w:p w:rsidR="00170CFB" w:rsidRPr="000A1C8E" w:rsidRDefault="00170CFB" w:rsidP="006D6A83">
      <w:pPr>
        <w:rPr>
          <w:rFonts w:cs="Tahoma"/>
        </w:rPr>
      </w:pPr>
      <w:r w:rsidRPr="000A1C8E">
        <w:rPr>
          <w:rFonts w:cs="Tahoma"/>
          <w:color w:val="000000"/>
          <w:szCs w:val="18"/>
        </w:rPr>
        <w:t>System Center Service Manager 2010</w:t>
      </w:r>
    </w:p>
    <w:p w:rsidR="00170CFB" w:rsidRPr="000A1C8E" w:rsidRDefault="00170CFB" w:rsidP="006D6A83">
      <w:pPr>
        <w:rPr>
          <w:rFonts w:cs="Tahoma"/>
        </w:rPr>
      </w:pPr>
      <w:r w:rsidRPr="000A1C8E">
        <w:rPr>
          <w:rFonts w:cs="Tahoma"/>
          <w:color w:val="000000"/>
          <w:szCs w:val="18"/>
        </w:rPr>
        <w:t>System Center Service Manager 2010 com Tecnologia SQL Server 2008</w:t>
      </w:r>
    </w:p>
    <w:p w:rsidR="00170CFB" w:rsidRPr="000A1C8E" w:rsidRDefault="00170CFB" w:rsidP="006D6A83">
      <w:pPr>
        <w:rPr>
          <w:rFonts w:cs="Tahoma"/>
        </w:rPr>
      </w:pPr>
      <w:r w:rsidRPr="000A1C8E">
        <w:rPr>
          <w:rFonts w:cs="Tahoma"/>
          <w:color w:val="000000"/>
          <w:szCs w:val="18"/>
        </w:rPr>
        <w:t>System Center Essentials 2010</w:t>
      </w:r>
    </w:p>
    <w:p w:rsidR="00170CFB" w:rsidRPr="000A1C8E" w:rsidRDefault="00170CFB" w:rsidP="006D6A83">
      <w:pPr>
        <w:rPr>
          <w:rFonts w:cs="Tahoma"/>
        </w:rPr>
      </w:pPr>
      <w:r w:rsidRPr="000A1C8E">
        <w:rPr>
          <w:rFonts w:cs="Tahoma"/>
          <w:color w:val="000000"/>
          <w:szCs w:val="18"/>
        </w:rPr>
        <w:t>ML de Cliente do System Center Essentials 2010</w:t>
      </w:r>
    </w:p>
    <w:p w:rsidR="00170CFB" w:rsidRPr="000A1C8E" w:rsidRDefault="00170CFB" w:rsidP="006D6A83">
      <w:pPr>
        <w:rPr>
          <w:rFonts w:cs="Tahoma"/>
        </w:rPr>
      </w:pPr>
      <w:r w:rsidRPr="000A1C8E">
        <w:rPr>
          <w:rFonts w:cs="Tahoma"/>
          <w:color w:val="000000"/>
          <w:szCs w:val="18"/>
        </w:rPr>
        <w:t>ML de Servidor do System Center Essentials 2010</w:t>
      </w:r>
    </w:p>
    <w:p w:rsidR="00170CFB" w:rsidRPr="000A1C8E" w:rsidRDefault="00170CFB" w:rsidP="006D6A83">
      <w:pPr>
        <w:rPr>
          <w:rFonts w:cs="Tahoma"/>
        </w:rPr>
      </w:pPr>
      <w:r w:rsidRPr="000A1C8E">
        <w:rPr>
          <w:rFonts w:cs="Tahoma"/>
          <w:color w:val="000000"/>
          <w:szCs w:val="18"/>
        </w:rPr>
        <w:t xml:space="preserve">System Center Essentials 2010 com Tecnologia SQL Server 2008 </w:t>
      </w:r>
    </w:p>
    <w:p w:rsidR="00170CFB" w:rsidRPr="000A1C8E" w:rsidRDefault="00170CFB" w:rsidP="006D6A83">
      <w:pPr>
        <w:rPr>
          <w:rFonts w:cs="Tahoma"/>
        </w:rPr>
      </w:pPr>
      <w:r w:rsidRPr="000A1C8E">
        <w:rPr>
          <w:rFonts w:cs="Tahoma"/>
          <w:color w:val="000000"/>
          <w:szCs w:val="18"/>
        </w:rPr>
        <w:t>Management License Suite do System Center Essentials Plus 2010 Client</w:t>
      </w:r>
    </w:p>
    <w:p w:rsidR="00170CFB" w:rsidRPr="000A1C8E" w:rsidRDefault="00170CFB" w:rsidP="006D6A83">
      <w:pPr>
        <w:rPr>
          <w:rFonts w:cs="Tahoma"/>
        </w:rPr>
      </w:pPr>
      <w:r w:rsidRPr="000A1C8E">
        <w:rPr>
          <w:rFonts w:cs="Tahoma"/>
          <w:color w:val="000000"/>
          <w:szCs w:val="18"/>
        </w:rPr>
        <w:t>Management License Suite do System Center Essentials Plus 2010 Server</w:t>
      </w:r>
    </w:p>
    <w:p w:rsidR="00170CFB" w:rsidRPr="000A1C8E" w:rsidRDefault="00170CFB" w:rsidP="006D6A83">
      <w:pPr>
        <w:rPr>
          <w:rFonts w:cs="Tahoma"/>
        </w:rPr>
      </w:pPr>
      <w:r w:rsidRPr="000A1C8E">
        <w:rPr>
          <w:rFonts w:cs="Tahoma"/>
          <w:color w:val="000000"/>
          <w:szCs w:val="18"/>
        </w:rPr>
        <w:t>System Center Virtual Machine Manager 2008 R2 Workgroup Edition</w:t>
      </w:r>
    </w:p>
    <w:p w:rsidR="00170CFB" w:rsidRPr="000A1C8E" w:rsidRDefault="00170CFB" w:rsidP="006D6A83">
      <w:pPr>
        <w:rPr>
          <w:rFonts w:cs="Tahoma"/>
        </w:rPr>
      </w:pPr>
      <w:r w:rsidRPr="000A1C8E">
        <w:rPr>
          <w:rFonts w:cs="Tahoma"/>
          <w:color w:val="000000"/>
          <w:szCs w:val="18"/>
        </w:rPr>
        <w:t>External Connector do Visual Studio</w:t>
      </w:r>
      <w:r w:rsidR="00C83286" w:rsidRPr="000A1C8E">
        <w:rPr>
          <w:rFonts w:cs="Tahoma"/>
          <w:color w:val="000000"/>
          <w:szCs w:val="18"/>
          <w:vertAlign w:val="superscript"/>
        </w:rPr>
        <w:t>®</w:t>
      </w:r>
      <w:r w:rsidRPr="000A1C8E">
        <w:rPr>
          <w:rFonts w:cs="Tahoma"/>
          <w:color w:val="000000"/>
          <w:szCs w:val="18"/>
        </w:rPr>
        <w:t xml:space="preserve"> Team Foundation Server 2012</w:t>
      </w:r>
    </w:p>
    <w:p w:rsidR="004759C6" w:rsidRPr="000A1C8E" w:rsidRDefault="004759C6" w:rsidP="007E466C">
      <w:pPr>
        <w:rPr>
          <w:rFonts w:cs="Tahoma"/>
        </w:rPr>
      </w:pPr>
    </w:p>
    <w:p w:rsidR="0064651F" w:rsidRPr="000A1C8E" w:rsidRDefault="0064651F" w:rsidP="0064651F">
      <w:pPr>
        <w:rPr>
          <w:rFonts w:cs="Tahoma"/>
        </w:rPr>
      </w:pPr>
    </w:p>
    <w:p w:rsidR="00243B33" w:rsidRPr="000A1C8E" w:rsidRDefault="000225E7" w:rsidP="007F411C">
      <w:pPr>
        <w:pStyle w:val="Heading2"/>
        <w:keepNext/>
        <w:keepLines/>
        <w:ind w:left="0"/>
        <w:jc w:val="both"/>
        <w:rPr>
          <w:rFonts w:ascii="Tahoma" w:hAnsi="Tahoma" w:cs="Tahoma"/>
        </w:rPr>
      </w:pPr>
      <w:bookmarkStart w:id="596" w:name="_Toc361829263"/>
      <w:r w:rsidRPr="000A1C8E">
        <w:rPr>
          <w:rFonts w:ascii="Tahoma" w:hAnsi="Tahoma" w:cs="Tahoma"/>
          <w:color w:val="FF6600"/>
        </w:rPr>
        <w:lastRenderedPageBreak/>
        <w:t>ALTERAÇÕES EM FEVEREIRO DE 2013</w:t>
      </w:r>
      <w:bookmarkEnd w:id="596"/>
    </w:p>
    <w:p w:rsidR="00243B33" w:rsidRPr="000A1C8E" w:rsidRDefault="00243B33" w:rsidP="007F411C">
      <w:pPr>
        <w:pStyle w:val="Heading2"/>
        <w:ind w:left="0"/>
        <w:jc w:val="both"/>
        <w:rPr>
          <w:rFonts w:ascii="Tahoma" w:hAnsi="Tahoma" w:cs="Tahoma"/>
          <w:color w:val="FF6600"/>
          <w:sz w:val="18"/>
        </w:rPr>
      </w:pPr>
    </w:p>
    <w:p w:rsidR="00662A44" w:rsidRPr="000A1C8E" w:rsidRDefault="00662A44" w:rsidP="007F411C">
      <w:pPr>
        <w:keepNext/>
        <w:keepLines/>
        <w:spacing w:after="60"/>
        <w:rPr>
          <w:rFonts w:cs="Tahoma"/>
        </w:rPr>
      </w:pPr>
      <w:r w:rsidRPr="000A1C8E">
        <w:rPr>
          <w:rFonts w:cs="Tahoma"/>
          <w:b/>
        </w:rPr>
        <w:t>Adições</w:t>
      </w:r>
    </w:p>
    <w:p w:rsidR="00662A44" w:rsidRPr="000A1C8E" w:rsidRDefault="00662A44" w:rsidP="007F411C">
      <w:pPr>
        <w:keepNext/>
        <w:keepLines/>
        <w:rPr>
          <w:rFonts w:cs="Tahoma"/>
        </w:rPr>
      </w:pPr>
      <w:r w:rsidRPr="000A1C8E">
        <w:rPr>
          <w:rFonts w:cs="Tahoma"/>
          <w:color w:val="000000"/>
          <w:szCs w:val="18"/>
        </w:rPr>
        <w:t xml:space="preserve">CAL Empresarial Aditiva do Microsoft </w:t>
      </w:r>
      <w:r w:rsidRPr="000A1C8E">
        <w:rPr>
          <w:rFonts w:cs="Tahoma"/>
          <w:color w:val="000000"/>
          <w:szCs w:val="20"/>
        </w:rPr>
        <w:t>Dynamics AX 2012 R2 (Usuário e Dispositivo)</w:t>
      </w:r>
    </w:p>
    <w:p w:rsidR="00662A44" w:rsidRPr="000A1C8E" w:rsidRDefault="00662A44" w:rsidP="00662A44">
      <w:pPr>
        <w:rPr>
          <w:rFonts w:cs="Tahoma"/>
        </w:rPr>
      </w:pPr>
      <w:r w:rsidRPr="000A1C8E">
        <w:rPr>
          <w:rFonts w:cs="Tahoma"/>
          <w:color w:val="000000"/>
          <w:szCs w:val="18"/>
        </w:rPr>
        <w:t xml:space="preserve">CAL Empresarial do Microsoft </w:t>
      </w:r>
      <w:r w:rsidRPr="000A1C8E">
        <w:rPr>
          <w:rFonts w:cs="Tahoma"/>
          <w:color w:val="000000"/>
          <w:szCs w:val="20"/>
        </w:rPr>
        <w:t>Dynamics AX 2012 R2 (Usuário e Dispositivo)</w:t>
      </w:r>
    </w:p>
    <w:p w:rsidR="00662A44" w:rsidRPr="000A1C8E" w:rsidRDefault="00662A44" w:rsidP="00662A44">
      <w:pPr>
        <w:rPr>
          <w:rFonts w:cs="Tahoma"/>
        </w:rPr>
      </w:pPr>
      <w:r w:rsidRPr="000A1C8E">
        <w:rPr>
          <w:rFonts w:cs="Tahoma"/>
          <w:color w:val="000000"/>
          <w:szCs w:val="18"/>
        </w:rPr>
        <w:t xml:space="preserve">CAL Aditiva Funcional do Microsoft </w:t>
      </w:r>
      <w:r w:rsidRPr="000A1C8E">
        <w:rPr>
          <w:rFonts w:cs="Tahoma"/>
          <w:color w:val="000000"/>
          <w:szCs w:val="20"/>
        </w:rPr>
        <w:t>Dynamics AX 2012 R2 (Usuário e Dispositivo)</w:t>
      </w:r>
    </w:p>
    <w:p w:rsidR="00662A44" w:rsidRPr="000A1C8E" w:rsidRDefault="00662A44" w:rsidP="00662A44">
      <w:pPr>
        <w:rPr>
          <w:rFonts w:cs="Tahoma"/>
        </w:rPr>
      </w:pPr>
      <w:r w:rsidRPr="000A1C8E">
        <w:rPr>
          <w:rFonts w:cs="Tahoma"/>
          <w:color w:val="000000"/>
          <w:szCs w:val="18"/>
        </w:rPr>
        <w:t xml:space="preserve">CAL Funcional do Microsoft </w:t>
      </w:r>
      <w:r w:rsidRPr="000A1C8E">
        <w:rPr>
          <w:rFonts w:cs="Tahoma"/>
          <w:color w:val="000000"/>
          <w:szCs w:val="20"/>
        </w:rPr>
        <w:t>Dynamics AX 2012 R2 (Usuário e Dispositivo)</w:t>
      </w:r>
    </w:p>
    <w:p w:rsidR="00662A44" w:rsidRPr="000A1C8E" w:rsidRDefault="00662A44" w:rsidP="00662A44">
      <w:pPr>
        <w:rPr>
          <w:rFonts w:cs="Tahoma"/>
        </w:rPr>
      </w:pPr>
      <w:r w:rsidRPr="000A1C8E">
        <w:rPr>
          <w:rFonts w:cs="Tahoma"/>
          <w:color w:val="000000"/>
          <w:szCs w:val="18"/>
        </w:rPr>
        <w:t xml:space="preserve">CAL de Autoatendimento do Microsoft </w:t>
      </w:r>
      <w:r w:rsidRPr="000A1C8E">
        <w:rPr>
          <w:rFonts w:cs="Tahoma"/>
          <w:color w:val="000000"/>
          <w:szCs w:val="20"/>
        </w:rPr>
        <w:t>Dynamics AX 2012 R2 (Usuário e Dispositivo)</w:t>
      </w:r>
    </w:p>
    <w:p w:rsidR="00662A44" w:rsidRPr="000A1C8E" w:rsidRDefault="00662A44" w:rsidP="00662A44">
      <w:pPr>
        <w:rPr>
          <w:rFonts w:cs="Tahoma"/>
        </w:rPr>
      </w:pPr>
      <w:r w:rsidRPr="000A1C8E">
        <w:rPr>
          <w:rFonts w:cs="Tahoma"/>
          <w:color w:val="000000"/>
          <w:szCs w:val="18"/>
        </w:rPr>
        <w:t xml:space="preserve">Microsoft </w:t>
      </w:r>
      <w:r w:rsidRPr="000A1C8E">
        <w:rPr>
          <w:rFonts w:cs="Tahoma"/>
          <w:color w:val="000000"/>
          <w:szCs w:val="20"/>
        </w:rPr>
        <w:t>Dynamics AX 2012 R2 Server</w:t>
      </w:r>
    </w:p>
    <w:p w:rsidR="00662A44" w:rsidRPr="000A1C8E" w:rsidRDefault="00662A44" w:rsidP="00662A44">
      <w:pPr>
        <w:rPr>
          <w:rFonts w:cs="Tahoma"/>
        </w:rPr>
      </w:pPr>
      <w:r w:rsidRPr="000A1C8E">
        <w:rPr>
          <w:rFonts w:cs="Tahoma"/>
          <w:color w:val="000000"/>
          <w:szCs w:val="18"/>
        </w:rPr>
        <w:t xml:space="preserve">CAL Aditiva de Tarefa do Microsoft </w:t>
      </w:r>
      <w:r w:rsidRPr="000A1C8E">
        <w:rPr>
          <w:rFonts w:cs="Tahoma"/>
          <w:color w:val="000000"/>
          <w:szCs w:val="20"/>
        </w:rPr>
        <w:t>Dynamics AX 2012 R2 (Usuário e Dispositivo)</w:t>
      </w:r>
    </w:p>
    <w:p w:rsidR="00662A44" w:rsidRPr="000A1C8E" w:rsidRDefault="00662A44" w:rsidP="00662A44">
      <w:pPr>
        <w:keepNext/>
        <w:tabs>
          <w:tab w:val="num" w:pos="720"/>
        </w:tabs>
        <w:outlineLvl w:val="3"/>
        <w:rPr>
          <w:rFonts w:cs="Tahoma"/>
        </w:rPr>
      </w:pPr>
      <w:r w:rsidRPr="000A1C8E">
        <w:rPr>
          <w:rFonts w:cs="Tahoma"/>
          <w:color w:val="000000"/>
          <w:szCs w:val="18"/>
        </w:rPr>
        <w:t xml:space="preserve">CAL de Tarefa do Microsoft </w:t>
      </w:r>
      <w:r w:rsidRPr="000A1C8E">
        <w:rPr>
          <w:rFonts w:cs="Tahoma"/>
          <w:color w:val="000000"/>
          <w:szCs w:val="20"/>
        </w:rPr>
        <w:t>Dynamics AX 2012 R2 (Usuário e Dispositivo)</w:t>
      </w:r>
    </w:p>
    <w:p w:rsidR="00662A44" w:rsidRPr="000A1C8E" w:rsidRDefault="00662A44" w:rsidP="00662A44">
      <w:pPr>
        <w:keepNext/>
        <w:tabs>
          <w:tab w:val="num" w:pos="720"/>
        </w:tabs>
        <w:outlineLvl w:val="3"/>
        <w:rPr>
          <w:rFonts w:cs="Tahoma"/>
        </w:rPr>
      </w:pPr>
    </w:p>
    <w:p w:rsidR="00662A44" w:rsidRPr="000A1C8E" w:rsidRDefault="00662A44" w:rsidP="00662A44">
      <w:pPr>
        <w:spacing w:after="60"/>
        <w:rPr>
          <w:rFonts w:cs="Tahoma"/>
        </w:rPr>
      </w:pPr>
      <w:r w:rsidRPr="000A1C8E">
        <w:rPr>
          <w:rFonts w:cs="Tahoma"/>
          <w:b/>
        </w:rPr>
        <w:t>Alterações</w:t>
      </w:r>
    </w:p>
    <w:p w:rsidR="00662A44" w:rsidRPr="000A1C8E" w:rsidRDefault="00662A44" w:rsidP="00662A44">
      <w:pPr>
        <w:keepNext/>
        <w:tabs>
          <w:tab w:val="num" w:pos="720"/>
        </w:tabs>
        <w:outlineLvl w:val="3"/>
        <w:rPr>
          <w:rFonts w:cs="Tahoma"/>
        </w:rPr>
      </w:pPr>
      <w:r w:rsidRPr="000A1C8E">
        <w:rPr>
          <w:rFonts w:cs="Tahoma"/>
          <w:color w:val="000000"/>
          <w:szCs w:val="20"/>
        </w:rPr>
        <w:t>Visio 2013 Professional</w:t>
      </w:r>
    </w:p>
    <w:p w:rsidR="00662A44" w:rsidRPr="000A1C8E" w:rsidRDefault="00662A44" w:rsidP="00662A44">
      <w:pPr>
        <w:keepNext/>
        <w:tabs>
          <w:tab w:val="num" w:pos="720"/>
        </w:tabs>
        <w:outlineLvl w:val="3"/>
        <w:rPr>
          <w:rFonts w:cs="Tahoma"/>
        </w:rPr>
      </w:pPr>
    </w:p>
    <w:p w:rsidR="00662A44" w:rsidRPr="000A1C8E" w:rsidRDefault="00662A44" w:rsidP="0064651F">
      <w:pPr>
        <w:keepNext/>
        <w:tabs>
          <w:tab w:val="num" w:pos="720"/>
        </w:tabs>
        <w:spacing w:after="60"/>
        <w:outlineLvl w:val="3"/>
        <w:rPr>
          <w:rFonts w:cs="Tahoma"/>
        </w:rPr>
      </w:pPr>
      <w:r w:rsidRPr="000A1C8E">
        <w:rPr>
          <w:rFonts w:cs="Tahoma"/>
          <w:b/>
        </w:rPr>
        <w:t>Exclusões</w:t>
      </w:r>
    </w:p>
    <w:p w:rsidR="00662A44" w:rsidRPr="000A1C8E" w:rsidRDefault="00662A44" w:rsidP="00662A44">
      <w:pPr>
        <w:rPr>
          <w:rFonts w:cs="Tahoma"/>
        </w:rPr>
      </w:pPr>
      <w:r w:rsidRPr="000A1C8E">
        <w:rPr>
          <w:rFonts w:cs="Tahoma"/>
          <w:color w:val="000000"/>
          <w:szCs w:val="18"/>
        </w:rPr>
        <w:t xml:space="preserve">CAL Aditiva Empresarial do Microsoft </w:t>
      </w:r>
      <w:r w:rsidRPr="000A1C8E">
        <w:rPr>
          <w:rFonts w:cs="Tahoma"/>
          <w:color w:val="000000"/>
          <w:szCs w:val="20"/>
        </w:rPr>
        <w:t>Dynamics AX 2012 (Usuário e Dispositivo)</w:t>
      </w:r>
    </w:p>
    <w:p w:rsidR="00662A44" w:rsidRPr="000A1C8E" w:rsidRDefault="00662A44" w:rsidP="00662A44">
      <w:pPr>
        <w:rPr>
          <w:rFonts w:cs="Tahoma"/>
        </w:rPr>
      </w:pPr>
      <w:r w:rsidRPr="000A1C8E">
        <w:rPr>
          <w:rFonts w:cs="Tahoma"/>
          <w:color w:val="000000"/>
          <w:szCs w:val="18"/>
        </w:rPr>
        <w:t xml:space="preserve">CAL Empresarial do Microsoft </w:t>
      </w:r>
      <w:r w:rsidRPr="000A1C8E">
        <w:rPr>
          <w:rFonts w:cs="Tahoma"/>
          <w:color w:val="000000"/>
          <w:szCs w:val="20"/>
        </w:rPr>
        <w:t>Dynamics AX 2012 (Usuário e Dispositivo)</w:t>
      </w:r>
    </w:p>
    <w:p w:rsidR="00662A44" w:rsidRPr="000A1C8E" w:rsidRDefault="00662A44" w:rsidP="00662A44">
      <w:pPr>
        <w:rPr>
          <w:rFonts w:cs="Tahoma"/>
        </w:rPr>
      </w:pPr>
      <w:r w:rsidRPr="000A1C8E">
        <w:rPr>
          <w:rFonts w:cs="Tahoma"/>
          <w:color w:val="000000"/>
          <w:szCs w:val="18"/>
        </w:rPr>
        <w:t xml:space="preserve">CAL Aditiva Funcional do Microsoft </w:t>
      </w:r>
      <w:r w:rsidRPr="000A1C8E">
        <w:rPr>
          <w:rFonts w:cs="Tahoma"/>
          <w:color w:val="000000"/>
          <w:szCs w:val="20"/>
        </w:rPr>
        <w:t>Dynamics AX 2012 (Usuário e Dispositivo)</w:t>
      </w:r>
    </w:p>
    <w:p w:rsidR="00662A44" w:rsidRPr="000A1C8E" w:rsidRDefault="00662A44" w:rsidP="00662A44">
      <w:pPr>
        <w:rPr>
          <w:rFonts w:cs="Tahoma"/>
        </w:rPr>
      </w:pPr>
      <w:r w:rsidRPr="000A1C8E">
        <w:rPr>
          <w:rFonts w:cs="Tahoma"/>
          <w:color w:val="000000"/>
          <w:szCs w:val="18"/>
        </w:rPr>
        <w:t xml:space="preserve">CAL Funcional do Microsoft </w:t>
      </w:r>
      <w:r w:rsidRPr="000A1C8E">
        <w:rPr>
          <w:rFonts w:cs="Tahoma"/>
          <w:color w:val="000000"/>
          <w:szCs w:val="20"/>
        </w:rPr>
        <w:t>Dynamics AX 2012 (Usuário e Dispositivo)</w:t>
      </w:r>
    </w:p>
    <w:p w:rsidR="00662A44" w:rsidRPr="000A1C8E" w:rsidRDefault="00662A44" w:rsidP="00662A44">
      <w:pPr>
        <w:rPr>
          <w:rFonts w:cs="Tahoma"/>
        </w:rPr>
      </w:pPr>
      <w:r w:rsidRPr="000A1C8E">
        <w:rPr>
          <w:rFonts w:cs="Tahoma"/>
          <w:color w:val="000000"/>
          <w:szCs w:val="18"/>
        </w:rPr>
        <w:t xml:space="preserve">CAL de Autoatendimento do Microsoft </w:t>
      </w:r>
      <w:r w:rsidRPr="000A1C8E">
        <w:rPr>
          <w:rFonts w:cs="Tahoma"/>
          <w:color w:val="000000"/>
          <w:szCs w:val="20"/>
        </w:rPr>
        <w:t>Dynamics AX 2012 (Usuário e Dispositivo)</w:t>
      </w:r>
    </w:p>
    <w:p w:rsidR="00662A44" w:rsidRPr="000A1C8E" w:rsidRDefault="00662A44" w:rsidP="00662A44">
      <w:pPr>
        <w:rPr>
          <w:rFonts w:cs="Tahoma"/>
        </w:rPr>
      </w:pPr>
      <w:r w:rsidRPr="000A1C8E">
        <w:rPr>
          <w:rFonts w:cs="Tahoma"/>
          <w:color w:val="000000"/>
          <w:szCs w:val="18"/>
        </w:rPr>
        <w:t xml:space="preserve">Microsoft </w:t>
      </w:r>
      <w:r w:rsidRPr="000A1C8E">
        <w:rPr>
          <w:rFonts w:cs="Tahoma"/>
          <w:color w:val="000000"/>
          <w:szCs w:val="20"/>
        </w:rPr>
        <w:t>Dynamics AX 2012 Server</w:t>
      </w:r>
    </w:p>
    <w:p w:rsidR="00662A44" w:rsidRPr="000A1C8E" w:rsidRDefault="00662A44" w:rsidP="00662A44">
      <w:pPr>
        <w:rPr>
          <w:rFonts w:cs="Tahoma"/>
        </w:rPr>
      </w:pPr>
      <w:r w:rsidRPr="000A1C8E">
        <w:rPr>
          <w:rFonts w:cs="Tahoma"/>
          <w:color w:val="000000"/>
          <w:szCs w:val="18"/>
        </w:rPr>
        <w:t xml:space="preserve">CAL Aditiva de Tarefa do Microsoft </w:t>
      </w:r>
      <w:r w:rsidRPr="000A1C8E">
        <w:rPr>
          <w:rFonts w:cs="Tahoma"/>
          <w:color w:val="000000"/>
          <w:szCs w:val="20"/>
        </w:rPr>
        <w:t>Dynamics AX 2012 (Usuário e Dispositivo)</w:t>
      </w:r>
    </w:p>
    <w:p w:rsidR="00662A44" w:rsidRPr="000A1C8E" w:rsidRDefault="00662A44" w:rsidP="00662A44">
      <w:pPr>
        <w:rPr>
          <w:rFonts w:cs="Tahoma"/>
        </w:rPr>
      </w:pPr>
      <w:r w:rsidRPr="000A1C8E">
        <w:rPr>
          <w:rFonts w:cs="Tahoma"/>
          <w:color w:val="000000"/>
          <w:szCs w:val="18"/>
        </w:rPr>
        <w:t xml:space="preserve">CAL de Tarefa do Microsoft </w:t>
      </w:r>
      <w:r w:rsidRPr="000A1C8E">
        <w:rPr>
          <w:rFonts w:cs="Tahoma"/>
          <w:color w:val="000000"/>
          <w:szCs w:val="20"/>
        </w:rPr>
        <w:t>Dynamics AX 2012 (Usuário e Dispositivo)</w:t>
      </w:r>
    </w:p>
    <w:p w:rsidR="00243B33" w:rsidRPr="000A1C8E" w:rsidRDefault="00243B33" w:rsidP="00B50A5B">
      <w:pPr>
        <w:rPr>
          <w:rFonts w:cs="Tahoma"/>
        </w:rPr>
      </w:pPr>
    </w:p>
    <w:p w:rsidR="001C1727" w:rsidRPr="000A1C8E" w:rsidRDefault="001C1727" w:rsidP="00292088">
      <w:pPr>
        <w:rPr>
          <w:rFonts w:cs="Tahoma"/>
        </w:rPr>
      </w:pPr>
    </w:p>
    <w:p w:rsidR="00E06050" w:rsidRPr="000A1C8E" w:rsidRDefault="00E06050" w:rsidP="00E06050">
      <w:pPr>
        <w:pStyle w:val="Heading2"/>
        <w:ind w:left="0"/>
        <w:jc w:val="both"/>
        <w:rPr>
          <w:rFonts w:ascii="Tahoma" w:hAnsi="Tahoma" w:cs="Tahoma"/>
        </w:rPr>
      </w:pPr>
      <w:bookmarkStart w:id="597" w:name="_Toc361829264"/>
      <w:r w:rsidRPr="000A1C8E">
        <w:rPr>
          <w:rFonts w:ascii="Tahoma" w:hAnsi="Tahoma" w:cs="Tahoma"/>
          <w:color w:val="FF6600"/>
        </w:rPr>
        <w:t>ALTERAÇÕES EM JANEIRO DE 2013</w:t>
      </w:r>
      <w:bookmarkEnd w:id="597"/>
    </w:p>
    <w:p w:rsidR="00E06050" w:rsidRPr="000A1C8E" w:rsidRDefault="00E06050" w:rsidP="00E06050">
      <w:pPr>
        <w:rPr>
          <w:rFonts w:cs="Tahoma"/>
        </w:rPr>
      </w:pPr>
    </w:p>
    <w:p w:rsidR="00E06050" w:rsidRPr="000A1C8E" w:rsidRDefault="00E06050" w:rsidP="003E606C">
      <w:pPr>
        <w:spacing w:after="60"/>
        <w:rPr>
          <w:rFonts w:cs="Tahoma"/>
        </w:rPr>
      </w:pPr>
      <w:r w:rsidRPr="000A1C8E">
        <w:rPr>
          <w:rFonts w:cs="Tahoma"/>
          <w:b/>
        </w:rPr>
        <w:t>Adições</w:t>
      </w:r>
    </w:p>
    <w:p w:rsidR="00CC66A0" w:rsidRPr="000A1C8E" w:rsidRDefault="00CC66A0" w:rsidP="00737831">
      <w:pPr>
        <w:keepNext/>
        <w:tabs>
          <w:tab w:val="num" w:pos="720"/>
        </w:tabs>
        <w:outlineLvl w:val="3"/>
        <w:rPr>
          <w:rFonts w:cs="Tahoma"/>
        </w:rPr>
      </w:pPr>
      <w:r w:rsidRPr="000A1C8E">
        <w:rPr>
          <w:rFonts w:cs="Tahoma"/>
          <w:color w:val="000000"/>
          <w:szCs w:val="20"/>
        </w:rPr>
        <w:t>Windows MultiPoint Server 2012 Premium com Windows MultiPoint Server 2012 (CAL) (5 Clientes)</w:t>
      </w:r>
    </w:p>
    <w:p w:rsidR="00E06050" w:rsidRPr="000A1C8E" w:rsidRDefault="00CC66A0" w:rsidP="00862623">
      <w:pPr>
        <w:keepNext/>
        <w:tabs>
          <w:tab w:val="num" w:pos="720"/>
        </w:tabs>
        <w:outlineLvl w:val="3"/>
        <w:rPr>
          <w:rFonts w:cs="Tahoma"/>
        </w:rPr>
      </w:pPr>
      <w:r w:rsidRPr="000A1C8E">
        <w:rPr>
          <w:rFonts w:cs="Tahoma"/>
          <w:color w:val="000000"/>
          <w:szCs w:val="20"/>
        </w:rPr>
        <w:t>Windows MultiPoint Server 2012 Premium com Windows MultiPoint Server 2012 (CAL) (5 Clientes) com Windows</w:t>
      </w:r>
    </w:p>
    <w:p w:rsidR="00140B67" w:rsidRPr="000A1C8E" w:rsidRDefault="00140B67" w:rsidP="003E606C">
      <w:pPr>
        <w:spacing w:after="60"/>
        <w:rPr>
          <w:rFonts w:cs="Tahoma"/>
        </w:rPr>
      </w:pPr>
    </w:p>
    <w:p w:rsidR="001D63C2" w:rsidRPr="000A1C8E" w:rsidRDefault="001D63C2" w:rsidP="003E606C">
      <w:pPr>
        <w:spacing w:after="60"/>
        <w:rPr>
          <w:rFonts w:cs="Tahoma"/>
        </w:rPr>
      </w:pPr>
      <w:r w:rsidRPr="000A1C8E">
        <w:rPr>
          <w:rFonts w:cs="Tahoma"/>
          <w:b/>
        </w:rPr>
        <w:t>Alterações</w:t>
      </w:r>
    </w:p>
    <w:p w:rsidR="001D63C2" w:rsidRPr="000A1C8E" w:rsidRDefault="001D63C2" w:rsidP="00E06050">
      <w:pPr>
        <w:rPr>
          <w:rFonts w:cs="Tahoma"/>
        </w:rPr>
      </w:pPr>
      <w:r w:rsidRPr="000A1C8E">
        <w:rPr>
          <w:rFonts w:cs="Tahoma"/>
          <w:color w:val="000000"/>
        </w:rPr>
        <w:t>Windows Small Business Server 2008 CAL Suite para Usuários ou Dispositivos Premium</w:t>
      </w:r>
    </w:p>
    <w:p w:rsidR="001D63C2" w:rsidRPr="000A1C8E" w:rsidRDefault="001D63C2" w:rsidP="00E06050">
      <w:pPr>
        <w:rPr>
          <w:rFonts w:cs="Tahoma"/>
        </w:rPr>
      </w:pPr>
      <w:r w:rsidRPr="000A1C8E">
        <w:rPr>
          <w:rFonts w:cs="Tahoma"/>
          <w:color w:val="000000"/>
        </w:rPr>
        <w:t>Windows Small Business Server 2008 CAL Suite para Usuários ou Dispositivos Premium (5 Clientes)</w:t>
      </w:r>
    </w:p>
    <w:p w:rsidR="001D63C2" w:rsidRPr="000A1C8E" w:rsidRDefault="001D63C2" w:rsidP="00E06050">
      <w:pPr>
        <w:rPr>
          <w:rFonts w:cs="Tahoma"/>
        </w:rPr>
      </w:pPr>
      <w:r w:rsidRPr="000A1C8E">
        <w:rPr>
          <w:rFonts w:cs="Tahoma"/>
          <w:color w:val="000000"/>
        </w:rPr>
        <w:t>Windows Small Business Server 2008 CAL Suite para Usuários ou Dispositivos Premium (20 Clientes)</w:t>
      </w:r>
    </w:p>
    <w:p w:rsidR="001D63C2" w:rsidRPr="000A1C8E" w:rsidRDefault="001D63C2" w:rsidP="00E06050">
      <w:pPr>
        <w:rPr>
          <w:rFonts w:cs="Tahoma"/>
        </w:rPr>
      </w:pPr>
      <w:r w:rsidRPr="000A1C8E">
        <w:rPr>
          <w:rFonts w:cs="Tahoma"/>
          <w:color w:val="000000"/>
        </w:rPr>
        <w:t>Windows Small Business Server 2011 CAL Suite (1 Cliente)</w:t>
      </w:r>
    </w:p>
    <w:p w:rsidR="001D63C2" w:rsidRPr="000A1C8E" w:rsidRDefault="001D63C2" w:rsidP="001D63C2">
      <w:pPr>
        <w:rPr>
          <w:rFonts w:cs="Tahoma"/>
        </w:rPr>
      </w:pPr>
      <w:r w:rsidRPr="000A1C8E">
        <w:rPr>
          <w:rFonts w:cs="Tahoma"/>
          <w:color w:val="000000"/>
        </w:rPr>
        <w:t>Windows Small Business Server 2011 CAL Suite (5 Clientes)</w:t>
      </w:r>
    </w:p>
    <w:p w:rsidR="001D63C2" w:rsidRPr="000A1C8E" w:rsidRDefault="001D63C2" w:rsidP="00E06050">
      <w:pPr>
        <w:rPr>
          <w:rFonts w:cs="Tahoma"/>
        </w:rPr>
      </w:pPr>
      <w:r w:rsidRPr="000A1C8E">
        <w:rPr>
          <w:rFonts w:cs="Tahoma"/>
          <w:color w:val="000000"/>
        </w:rPr>
        <w:t>Windows Small Business Server 2011 CAL Suite (20 Clientes)</w:t>
      </w:r>
    </w:p>
    <w:p w:rsidR="001D63C2" w:rsidRPr="000A1C8E" w:rsidRDefault="001D63C2" w:rsidP="001D63C2">
      <w:pPr>
        <w:rPr>
          <w:rFonts w:cs="Tahoma"/>
        </w:rPr>
      </w:pPr>
      <w:r w:rsidRPr="000A1C8E">
        <w:rPr>
          <w:rFonts w:cs="Tahoma"/>
          <w:color w:val="000000"/>
        </w:rPr>
        <w:t>Windows Small Business Server 2011 Standard (5 Clientes)</w:t>
      </w:r>
    </w:p>
    <w:p w:rsidR="001D63C2" w:rsidRPr="000A1C8E" w:rsidRDefault="001D63C2" w:rsidP="00E06050">
      <w:pPr>
        <w:rPr>
          <w:rFonts w:cs="Tahoma"/>
        </w:rPr>
      </w:pPr>
      <w:r w:rsidRPr="000A1C8E">
        <w:rPr>
          <w:rFonts w:cs="Tahoma"/>
          <w:color w:val="000000"/>
        </w:rPr>
        <w:t>Complemento do Windows Small Business Server 2011 Premium (5 Clientes)</w:t>
      </w:r>
    </w:p>
    <w:p w:rsidR="001D63C2" w:rsidRPr="000A1C8E" w:rsidRDefault="001D63C2" w:rsidP="00E06050">
      <w:pPr>
        <w:rPr>
          <w:rFonts w:cs="Tahoma"/>
        </w:rPr>
      </w:pPr>
    </w:p>
    <w:p w:rsidR="00E06050" w:rsidRPr="000A1C8E" w:rsidRDefault="00E06050" w:rsidP="003E606C">
      <w:pPr>
        <w:spacing w:after="60"/>
        <w:rPr>
          <w:rFonts w:cs="Tahoma"/>
        </w:rPr>
      </w:pPr>
      <w:r w:rsidRPr="000A1C8E">
        <w:rPr>
          <w:rFonts w:cs="Tahoma"/>
          <w:b/>
        </w:rPr>
        <w:t>Exclusões</w:t>
      </w:r>
    </w:p>
    <w:p w:rsidR="00E06050" w:rsidRPr="000A1C8E" w:rsidRDefault="00E06050" w:rsidP="00E06050">
      <w:pPr>
        <w:rPr>
          <w:rFonts w:cs="Tahoma"/>
        </w:rPr>
      </w:pPr>
      <w:r w:rsidRPr="000A1C8E">
        <w:rPr>
          <w:rFonts w:cs="Tahoma"/>
          <w:color w:val="000000"/>
        </w:rPr>
        <w:t>Licença de Gerenciamento de Cliente do Windows Embedded Device Manager 2011 por OSE</w:t>
      </w:r>
    </w:p>
    <w:p w:rsidR="00E06050" w:rsidRPr="000A1C8E" w:rsidRDefault="00E06050" w:rsidP="00E06050">
      <w:pPr>
        <w:rPr>
          <w:rFonts w:cs="Tahoma"/>
        </w:rPr>
      </w:pPr>
      <w:r w:rsidRPr="000A1C8E">
        <w:rPr>
          <w:rFonts w:cs="Tahoma"/>
          <w:color w:val="000000"/>
        </w:rPr>
        <w:t>Licença de Gerenciamento de Cliente do Windows Embedded Device Manager 2011 por Usuário</w:t>
      </w:r>
    </w:p>
    <w:p w:rsidR="00844BAF" w:rsidRPr="000A1C8E" w:rsidRDefault="00844BAF" w:rsidP="00E06050">
      <w:pPr>
        <w:rPr>
          <w:rFonts w:cs="Tahoma"/>
        </w:rPr>
      </w:pPr>
      <w:r w:rsidRPr="000A1C8E">
        <w:rPr>
          <w:rFonts w:cs="Tahoma"/>
          <w:color w:val="000000"/>
          <w:szCs w:val="20"/>
        </w:rPr>
        <w:t>CAL do Dispositivo do Windows Server 2008 para Windows Essential Server Solutions (5 Clientes)</w:t>
      </w:r>
    </w:p>
    <w:p w:rsidR="00844BAF" w:rsidRPr="000A1C8E" w:rsidRDefault="00844BAF" w:rsidP="00E06050">
      <w:pPr>
        <w:rPr>
          <w:rFonts w:cs="Tahoma"/>
        </w:rPr>
      </w:pPr>
      <w:r w:rsidRPr="000A1C8E">
        <w:rPr>
          <w:rFonts w:cs="Tahoma"/>
          <w:color w:val="000000"/>
          <w:szCs w:val="20"/>
        </w:rPr>
        <w:t>CAL do Usuário do Windows Server 2008 para Windows Essential Server Solutions (5 Clientes)</w:t>
      </w:r>
    </w:p>
    <w:p w:rsidR="00844BAF" w:rsidRPr="000A1C8E" w:rsidRDefault="00844BAF" w:rsidP="00844BAF">
      <w:pPr>
        <w:keepNext/>
        <w:tabs>
          <w:tab w:val="num" w:pos="720"/>
        </w:tabs>
        <w:outlineLvl w:val="3"/>
        <w:rPr>
          <w:rFonts w:cs="Tahoma"/>
        </w:rPr>
      </w:pPr>
      <w:r w:rsidRPr="000A1C8E">
        <w:rPr>
          <w:rFonts w:cs="Tahoma"/>
          <w:color w:val="000000"/>
          <w:szCs w:val="20"/>
        </w:rPr>
        <w:t>Windows MultiPoint Server 2011 Premium com Windows MultiPoint Server 2011 (CAL) (5 Clientes)</w:t>
      </w:r>
    </w:p>
    <w:p w:rsidR="00E06050" w:rsidRPr="000A1C8E" w:rsidRDefault="00844BAF" w:rsidP="00E06050">
      <w:pPr>
        <w:rPr>
          <w:rFonts w:cs="Tahoma"/>
        </w:rPr>
      </w:pPr>
      <w:r w:rsidRPr="000A1C8E">
        <w:rPr>
          <w:rFonts w:cs="Tahoma"/>
          <w:color w:val="000000"/>
          <w:szCs w:val="20"/>
        </w:rPr>
        <w:t>Windows MultiPoint Server 2011 Premium com Windows MultiPoint Server 2011 (CAL) (5 Clientes) com Windows</w:t>
      </w:r>
    </w:p>
    <w:p w:rsidR="00A12176" w:rsidRPr="000A1C8E" w:rsidRDefault="00A12176" w:rsidP="00BA756F">
      <w:pPr>
        <w:pStyle w:val="Heading2"/>
        <w:ind w:left="0"/>
        <w:jc w:val="both"/>
        <w:rPr>
          <w:rFonts w:ascii="Tahoma" w:hAnsi="Tahoma" w:cs="Tahoma"/>
        </w:rPr>
      </w:pPr>
    </w:p>
    <w:p w:rsidR="001C1727" w:rsidRPr="000A1C8E" w:rsidRDefault="001C1727">
      <w:pPr>
        <w:rPr>
          <w:rFonts w:cs="Tahoma"/>
        </w:rPr>
      </w:pPr>
    </w:p>
    <w:p w:rsidR="00173A20" w:rsidRPr="000A1C8E" w:rsidRDefault="00173A20" w:rsidP="007F411C">
      <w:pPr>
        <w:pStyle w:val="Heading2"/>
        <w:keepNext/>
        <w:keepLines/>
        <w:ind w:left="0"/>
        <w:jc w:val="both"/>
        <w:rPr>
          <w:rFonts w:ascii="Tahoma" w:hAnsi="Tahoma" w:cs="Tahoma"/>
        </w:rPr>
      </w:pPr>
      <w:bookmarkStart w:id="598" w:name="_Toc361829265"/>
      <w:r w:rsidRPr="000A1C8E">
        <w:rPr>
          <w:rFonts w:ascii="Tahoma" w:hAnsi="Tahoma" w:cs="Tahoma"/>
          <w:color w:val="FF6600"/>
        </w:rPr>
        <w:lastRenderedPageBreak/>
        <w:t>ALTERAÇÕES EM DEZEMBRO DE 2012</w:t>
      </w:r>
      <w:bookmarkEnd w:id="589"/>
      <w:bookmarkEnd w:id="598"/>
    </w:p>
    <w:p w:rsidR="00173A20" w:rsidRPr="000A1C8E" w:rsidRDefault="00173A20" w:rsidP="007F411C">
      <w:pPr>
        <w:keepNext/>
        <w:keepLines/>
        <w:jc w:val="both"/>
        <w:outlineLvl w:val="1"/>
        <w:rPr>
          <w:rFonts w:cs="Tahoma"/>
          <w:b/>
          <w:color w:val="FF6600"/>
          <w:szCs w:val="24"/>
        </w:rPr>
      </w:pPr>
    </w:p>
    <w:p w:rsidR="00173A20" w:rsidRPr="000A1C8E" w:rsidRDefault="00173A20" w:rsidP="007F411C">
      <w:pPr>
        <w:keepNext/>
        <w:keepLines/>
        <w:spacing w:after="60"/>
        <w:rPr>
          <w:rFonts w:cs="Tahoma"/>
        </w:rPr>
      </w:pPr>
      <w:r w:rsidRPr="000A1C8E">
        <w:rPr>
          <w:rFonts w:cs="Tahoma"/>
          <w:b/>
        </w:rPr>
        <w:t>Adições</w:t>
      </w:r>
    </w:p>
    <w:p w:rsidR="00173A20" w:rsidRPr="000A1C8E" w:rsidRDefault="00BA756F" w:rsidP="007F411C">
      <w:pPr>
        <w:keepNext/>
        <w:keepLines/>
        <w:rPr>
          <w:rFonts w:cs="Tahoma"/>
        </w:rPr>
      </w:pPr>
      <w:r w:rsidRPr="000A1C8E">
        <w:rPr>
          <w:rFonts w:cs="Tahoma"/>
          <w:color w:val="000000"/>
        </w:rPr>
        <w:t>Access 2013</w:t>
      </w:r>
    </w:p>
    <w:p w:rsidR="00BA756F" w:rsidRPr="000A1C8E" w:rsidRDefault="00BA756F" w:rsidP="007F411C">
      <w:pPr>
        <w:keepNext/>
        <w:keepLines/>
        <w:rPr>
          <w:rFonts w:cs="Tahoma"/>
        </w:rPr>
      </w:pPr>
      <w:r w:rsidRPr="000A1C8E">
        <w:rPr>
          <w:rFonts w:cs="Tahoma"/>
          <w:color w:val="000000"/>
        </w:rPr>
        <w:t>Excel 2013</w:t>
      </w:r>
    </w:p>
    <w:p w:rsidR="00BA756F" w:rsidRPr="000A1C8E" w:rsidRDefault="00BA756F" w:rsidP="007F411C">
      <w:pPr>
        <w:keepNext/>
        <w:keepLines/>
        <w:rPr>
          <w:rFonts w:cs="Tahoma"/>
        </w:rPr>
      </w:pPr>
      <w:r w:rsidRPr="000A1C8E">
        <w:rPr>
          <w:rFonts w:cs="Tahoma"/>
          <w:color w:val="000000"/>
        </w:rPr>
        <w:t>CAL Empresarial do Exchange com Serviços 2013</w:t>
      </w:r>
    </w:p>
    <w:p w:rsidR="00BA756F" w:rsidRPr="000A1C8E" w:rsidRDefault="00BA756F" w:rsidP="00173A20">
      <w:pPr>
        <w:rPr>
          <w:rFonts w:cs="Tahoma"/>
        </w:rPr>
      </w:pPr>
      <w:r w:rsidRPr="000A1C8E">
        <w:rPr>
          <w:rFonts w:cs="Tahoma"/>
          <w:color w:val="000000"/>
        </w:rPr>
        <w:t>CAL Empresarial do Exchange sem Serviços 2013</w:t>
      </w:r>
    </w:p>
    <w:p w:rsidR="00BA756F" w:rsidRPr="000A1C8E" w:rsidRDefault="00BA756F" w:rsidP="00173A20">
      <w:pPr>
        <w:rPr>
          <w:rFonts w:cs="Tahoma"/>
        </w:rPr>
      </w:pPr>
      <w:r w:rsidRPr="000A1C8E">
        <w:rPr>
          <w:rFonts w:cs="Tahoma"/>
          <w:color w:val="000000"/>
        </w:rPr>
        <w:t>Exchange Server Enterprise 2013</w:t>
      </w:r>
    </w:p>
    <w:p w:rsidR="00BA756F" w:rsidRPr="000A1C8E" w:rsidRDefault="00BA756F" w:rsidP="00173A20">
      <w:pPr>
        <w:rPr>
          <w:rFonts w:cs="Tahoma"/>
        </w:rPr>
      </w:pPr>
      <w:r w:rsidRPr="000A1C8E">
        <w:rPr>
          <w:rFonts w:cs="Tahoma"/>
          <w:color w:val="000000"/>
        </w:rPr>
        <w:t>Exchange Server Standard 2013</w:t>
      </w:r>
    </w:p>
    <w:p w:rsidR="00BA756F" w:rsidRPr="000A1C8E" w:rsidRDefault="00BA756F" w:rsidP="00173A20">
      <w:pPr>
        <w:rPr>
          <w:rFonts w:cs="Tahoma"/>
        </w:rPr>
      </w:pPr>
      <w:r w:rsidRPr="000A1C8E">
        <w:rPr>
          <w:rFonts w:cs="Tahoma"/>
          <w:color w:val="000000"/>
        </w:rPr>
        <w:t>CAL do Exchange Standard 2013</w:t>
      </w:r>
    </w:p>
    <w:p w:rsidR="00BA756F" w:rsidRPr="000A1C8E" w:rsidRDefault="00BA756F" w:rsidP="00173A20">
      <w:pPr>
        <w:rPr>
          <w:rFonts w:cs="Tahoma"/>
        </w:rPr>
      </w:pPr>
      <w:r w:rsidRPr="000A1C8E">
        <w:rPr>
          <w:rFonts w:cs="Tahoma"/>
          <w:color w:val="000000"/>
        </w:rPr>
        <w:t>InfoPath 2013</w:t>
      </w:r>
    </w:p>
    <w:p w:rsidR="00BA756F" w:rsidRPr="000A1C8E" w:rsidRDefault="00BA756F" w:rsidP="00173A20">
      <w:pPr>
        <w:rPr>
          <w:rFonts w:cs="Tahoma"/>
        </w:rPr>
      </w:pPr>
      <w:r w:rsidRPr="000A1C8E">
        <w:rPr>
          <w:rFonts w:cs="Tahoma"/>
          <w:color w:val="000000"/>
        </w:rPr>
        <w:t>Lync 2013</w:t>
      </w:r>
    </w:p>
    <w:p w:rsidR="00BA756F" w:rsidRPr="000A1C8E" w:rsidRDefault="00BA756F" w:rsidP="00173A20">
      <w:pPr>
        <w:rPr>
          <w:rFonts w:cs="Tahoma"/>
        </w:rPr>
      </w:pPr>
      <w:r w:rsidRPr="000A1C8E">
        <w:rPr>
          <w:rFonts w:cs="Tahoma"/>
          <w:color w:val="000000"/>
        </w:rPr>
        <w:t>Lync Server 2013</w:t>
      </w:r>
    </w:p>
    <w:p w:rsidR="00BA756F" w:rsidRPr="000A1C8E" w:rsidRDefault="00BA756F" w:rsidP="00173A20">
      <w:pPr>
        <w:rPr>
          <w:rFonts w:cs="Tahoma"/>
        </w:rPr>
      </w:pPr>
      <w:r w:rsidRPr="000A1C8E">
        <w:rPr>
          <w:rFonts w:cs="Tahoma"/>
          <w:color w:val="000000"/>
        </w:rPr>
        <w:t>CAL Empresarial do Lync Server 2013</w:t>
      </w:r>
    </w:p>
    <w:p w:rsidR="00BA756F" w:rsidRPr="000A1C8E" w:rsidRDefault="00BA756F" w:rsidP="00173A20">
      <w:pPr>
        <w:rPr>
          <w:rFonts w:cs="Tahoma"/>
        </w:rPr>
      </w:pPr>
      <w:r w:rsidRPr="000A1C8E">
        <w:rPr>
          <w:rFonts w:cs="Tahoma"/>
          <w:color w:val="000000"/>
        </w:rPr>
        <w:t>CAL do Lync Server Plus 2013</w:t>
      </w:r>
    </w:p>
    <w:p w:rsidR="00BA756F" w:rsidRPr="000A1C8E" w:rsidRDefault="00BA756F" w:rsidP="00173A20">
      <w:pPr>
        <w:rPr>
          <w:rFonts w:cs="Tahoma"/>
        </w:rPr>
      </w:pPr>
      <w:r w:rsidRPr="000A1C8E">
        <w:rPr>
          <w:rFonts w:cs="Tahoma"/>
          <w:color w:val="000000"/>
        </w:rPr>
        <w:t>CAL Padrão do Lync Server 2013</w:t>
      </w:r>
    </w:p>
    <w:p w:rsidR="00BA756F" w:rsidRPr="000A1C8E" w:rsidRDefault="00BA756F" w:rsidP="00173A20">
      <w:pPr>
        <w:rPr>
          <w:rFonts w:cs="Tahoma"/>
        </w:rPr>
      </w:pPr>
      <w:r w:rsidRPr="000A1C8E">
        <w:rPr>
          <w:rFonts w:cs="Tahoma"/>
          <w:color w:val="000000"/>
        </w:rPr>
        <w:t>Office Home and Student RT 2013</w:t>
      </w:r>
    </w:p>
    <w:p w:rsidR="00BA756F" w:rsidRPr="000A1C8E" w:rsidRDefault="00BA756F" w:rsidP="00173A20">
      <w:pPr>
        <w:rPr>
          <w:rFonts w:cs="Tahoma"/>
        </w:rPr>
      </w:pPr>
      <w:r w:rsidRPr="000A1C8E">
        <w:rPr>
          <w:rFonts w:cs="Tahoma"/>
          <w:color w:val="000000"/>
        </w:rPr>
        <w:t>Pacote Multilíngue do Office 2013</w:t>
      </w:r>
    </w:p>
    <w:p w:rsidR="00BA756F" w:rsidRPr="000A1C8E" w:rsidRDefault="00BA756F" w:rsidP="00173A20">
      <w:pPr>
        <w:rPr>
          <w:rFonts w:cs="Tahoma"/>
        </w:rPr>
      </w:pPr>
      <w:r w:rsidRPr="000A1C8E">
        <w:rPr>
          <w:rFonts w:cs="Tahoma"/>
          <w:color w:val="000000"/>
        </w:rPr>
        <w:t>Office Professional Plus 2013</w:t>
      </w:r>
    </w:p>
    <w:p w:rsidR="00BA756F" w:rsidRPr="000A1C8E" w:rsidRDefault="00BA756F" w:rsidP="00173A20">
      <w:pPr>
        <w:rPr>
          <w:rFonts w:cs="Tahoma"/>
        </w:rPr>
      </w:pPr>
      <w:r w:rsidRPr="000A1C8E">
        <w:rPr>
          <w:rFonts w:cs="Tahoma"/>
          <w:color w:val="000000"/>
        </w:rPr>
        <w:t>Office Standard 2013</w:t>
      </w:r>
    </w:p>
    <w:p w:rsidR="00BA756F" w:rsidRPr="000A1C8E" w:rsidRDefault="00BA756F" w:rsidP="00173A20">
      <w:pPr>
        <w:rPr>
          <w:rFonts w:cs="Tahoma"/>
        </w:rPr>
      </w:pPr>
      <w:r w:rsidRPr="000A1C8E">
        <w:rPr>
          <w:rFonts w:cs="Tahoma"/>
          <w:color w:val="000000"/>
        </w:rPr>
        <w:t>OneNote 2013</w:t>
      </w:r>
    </w:p>
    <w:p w:rsidR="00BA756F" w:rsidRPr="000A1C8E" w:rsidRDefault="00BA756F" w:rsidP="00173A20">
      <w:pPr>
        <w:rPr>
          <w:rFonts w:cs="Tahoma"/>
        </w:rPr>
      </w:pPr>
      <w:r w:rsidRPr="000A1C8E">
        <w:rPr>
          <w:rFonts w:cs="Tahoma"/>
          <w:color w:val="000000"/>
        </w:rPr>
        <w:t>Outlook 2013</w:t>
      </w:r>
    </w:p>
    <w:p w:rsidR="00BA756F" w:rsidRPr="000A1C8E" w:rsidRDefault="00BA756F" w:rsidP="00173A20">
      <w:pPr>
        <w:rPr>
          <w:rFonts w:cs="Tahoma"/>
        </w:rPr>
      </w:pPr>
      <w:r w:rsidRPr="000A1C8E">
        <w:rPr>
          <w:rFonts w:cs="Tahoma"/>
          <w:color w:val="000000"/>
        </w:rPr>
        <w:t>PowerPoint 2013</w:t>
      </w:r>
    </w:p>
    <w:p w:rsidR="00BA756F" w:rsidRPr="000A1C8E" w:rsidRDefault="00BA756F" w:rsidP="00173A20">
      <w:pPr>
        <w:rPr>
          <w:rFonts w:cs="Tahoma"/>
        </w:rPr>
      </w:pPr>
      <w:r w:rsidRPr="000A1C8E">
        <w:rPr>
          <w:rFonts w:cs="Tahoma"/>
          <w:color w:val="000000"/>
        </w:rPr>
        <w:t>Project Standard 2013</w:t>
      </w:r>
    </w:p>
    <w:p w:rsidR="00BA756F" w:rsidRPr="000A1C8E" w:rsidRDefault="00BA756F" w:rsidP="00173A20">
      <w:pPr>
        <w:rPr>
          <w:rFonts w:cs="Tahoma"/>
        </w:rPr>
      </w:pPr>
      <w:r w:rsidRPr="000A1C8E">
        <w:rPr>
          <w:rFonts w:cs="Tahoma"/>
          <w:color w:val="000000"/>
        </w:rPr>
        <w:t>Project Professional 2013</w:t>
      </w:r>
    </w:p>
    <w:p w:rsidR="00BA756F" w:rsidRPr="000A1C8E" w:rsidRDefault="00BA756F" w:rsidP="00173A20">
      <w:pPr>
        <w:rPr>
          <w:rFonts w:cs="Tahoma"/>
        </w:rPr>
      </w:pPr>
      <w:r w:rsidRPr="000A1C8E">
        <w:rPr>
          <w:rFonts w:cs="Tahoma"/>
          <w:color w:val="000000"/>
        </w:rPr>
        <w:t>Project Server 2013</w:t>
      </w:r>
    </w:p>
    <w:p w:rsidR="00BA756F" w:rsidRPr="000A1C8E" w:rsidRDefault="00BA756F" w:rsidP="00173A20">
      <w:pPr>
        <w:rPr>
          <w:rFonts w:cs="Tahoma"/>
        </w:rPr>
      </w:pPr>
      <w:r w:rsidRPr="000A1C8E">
        <w:rPr>
          <w:rFonts w:cs="Tahoma"/>
          <w:color w:val="000000"/>
        </w:rPr>
        <w:t>CAL do Project Server 2013</w:t>
      </w:r>
    </w:p>
    <w:p w:rsidR="00BA756F" w:rsidRPr="000A1C8E" w:rsidRDefault="00FE3510" w:rsidP="00173A20">
      <w:pPr>
        <w:rPr>
          <w:rFonts w:cs="Tahoma"/>
        </w:rPr>
      </w:pPr>
      <w:r w:rsidRPr="000A1C8E">
        <w:rPr>
          <w:rFonts w:cs="Tahoma"/>
          <w:color w:val="000000"/>
        </w:rPr>
        <w:t>Publisher 2013</w:t>
      </w:r>
    </w:p>
    <w:p w:rsidR="00FE3510" w:rsidRPr="000A1C8E" w:rsidRDefault="00FE3510" w:rsidP="00173A20">
      <w:pPr>
        <w:rPr>
          <w:rFonts w:cs="Tahoma"/>
        </w:rPr>
      </w:pPr>
      <w:r w:rsidRPr="000A1C8E">
        <w:rPr>
          <w:rFonts w:cs="Tahoma"/>
          <w:color w:val="000000"/>
        </w:rPr>
        <w:t>CAL Empresarial do SharePoint 2013</w:t>
      </w:r>
    </w:p>
    <w:p w:rsidR="00FE3510" w:rsidRPr="000A1C8E" w:rsidRDefault="00FE3510" w:rsidP="00173A20">
      <w:pPr>
        <w:rPr>
          <w:rFonts w:cs="Tahoma"/>
        </w:rPr>
      </w:pPr>
      <w:r w:rsidRPr="000A1C8E">
        <w:rPr>
          <w:rFonts w:cs="Tahoma"/>
          <w:color w:val="000000"/>
        </w:rPr>
        <w:t>SharePoint Server 2013</w:t>
      </w:r>
    </w:p>
    <w:p w:rsidR="00FE3510" w:rsidRPr="000A1C8E" w:rsidRDefault="00FE3510" w:rsidP="00173A20">
      <w:pPr>
        <w:rPr>
          <w:rFonts w:cs="Tahoma"/>
        </w:rPr>
      </w:pPr>
      <w:r w:rsidRPr="000A1C8E">
        <w:rPr>
          <w:rFonts w:cs="Tahoma"/>
          <w:color w:val="000000"/>
        </w:rPr>
        <w:t>CAL Padrão do SharePoint 2013</w:t>
      </w:r>
    </w:p>
    <w:p w:rsidR="00FE3510" w:rsidRPr="000A1C8E" w:rsidRDefault="00FE3510" w:rsidP="00173A20">
      <w:pPr>
        <w:rPr>
          <w:rFonts w:cs="Tahoma"/>
        </w:rPr>
      </w:pPr>
      <w:r w:rsidRPr="000A1C8E">
        <w:rPr>
          <w:rFonts w:cs="Tahoma"/>
          <w:color w:val="000000"/>
        </w:rPr>
        <w:t>Visio Professional 2013</w:t>
      </w:r>
    </w:p>
    <w:p w:rsidR="00FE3510" w:rsidRPr="000A1C8E" w:rsidRDefault="00FE3510" w:rsidP="00173A20">
      <w:pPr>
        <w:rPr>
          <w:rFonts w:cs="Tahoma"/>
        </w:rPr>
      </w:pPr>
      <w:r w:rsidRPr="000A1C8E">
        <w:rPr>
          <w:rFonts w:cs="Tahoma"/>
          <w:color w:val="000000"/>
        </w:rPr>
        <w:t>Visio Standard 2013</w:t>
      </w:r>
    </w:p>
    <w:p w:rsidR="00FE3510" w:rsidRPr="000A1C8E" w:rsidRDefault="00FE3510" w:rsidP="00173A20">
      <w:pPr>
        <w:rPr>
          <w:rFonts w:cs="Tahoma"/>
        </w:rPr>
      </w:pPr>
      <w:r w:rsidRPr="000A1C8E">
        <w:rPr>
          <w:rFonts w:cs="Tahoma"/>
          <w:color w:val="000000"/>
        </w:rPr>
        <w:t>Word 2013</w:t>
      </w:r>
    </w:p>
    <w:p w:rsidR="00FE3510" w:rsidRPr="000A1C8E" w:rsidRDefault="00FE3510" w:rsidP="00173A20">
      <w:pPr>
        <w:rPr>
          <w:rFonts w:cs="Tahoma"/>
        </w:rPr>
      </w:pPr>
      <w:r w:rsidRPr="000A1C8E">
        <w:rPr>
          <w:rFonts w:cs="Tahoma"/>
          <w:color w:val="000000"/>
        </w:rPr>
        <w:t>Windows MultiPoint Server Standard 2012</w:t>
      </w:r>
    </w:p>
    <w:p w:rsidR="00FE3510" w:rsidRPr="000A1C8E" w:rsidRDefault="00FE3510" w:rsidP="00173A20">
      <w:pPr>
        <w:rPr>
          <w:rFonts w:cs="Tahoma"/>
        </w:rPr>
      </w:pPr>
      <w:r w:rsidRPr="000A1C8E">
        <w:rPr>
          <w:rFonts w:cs="Tahoma"/>
          <w:color w:val="000000"/>
        </w:rPr>
        <w:t>Windows MultiPoint Server Premium 2012</w:t>
      </w:r>
    </w:p>
    <w:p w:rsidR="00FE3510" w:rsidRPr="000A1C8E" w:rsidRDefault="00FE3510" w:rsidP="00173A20">
      <w:pPr>
        <w:rPr>
          <w:rFonts w:cs="Tahoma"/>
        </w:rPr>
      </w:pPr>
      <w:r w:rsidRPr="000A1C8E">
        <w:rPr>
          <w:rFonts w:cs="Tahoma"/>
          <w:color w:val="000000"/>
        </w:rPr>
        <w:t>CAL do Windows MultiPoint Server 2012</w:t>
      </w:r>
    </w:p>
    <w:p w:rsidR="00FE3510" w:rsidRPr="000A1C8E" w:rsidRDefault="00FE3510" w:rsidP="00173A20">
      <w:pPr>
        <w:rPr>
          <w:rFonts w:cs="Tahoma"/>
        </w:rPr>
      </w:pPr>
      <w:r w:rsidRPr="000A1C8E">
        <w:rPr>
          <w:rFonts w:cs="Tahoma"/>
          <w:color w:val="000000"/>
        </w:rPr>
        <w:t>CAL do Windows MultiPoint Server com CAL do Windows Server 2012</w:t>
      </w:r>
    </w:p>
    <w:p w:rsidR="006F741C" w:rsidRPr="000A1C8E" w:rsidRDefault="006F741C" w:rsidP="006F741C">
      <w:pPr>
        <w:rPr>
          <w:rFonts w:cs="Tahoma"/>
        </w:rPr>
      </w:pPr>
      <w:r w:rsidRPr="000A1C8E">
        <w:rPr>
          <w:rFonts w:cs="Tahoma"/>
          <w:color w:val="000000"/>
        </w:rPr>
        <w:t>Windows Intune (Por Usuário)</w:t>
      </w:r>
    </w:p>
    <w:p w:rsidR="006F741C" w:rsidRPr="000A1C8E" w:rsidRDefault="006F741C" w:rsidP="006F741C">
      <w:pPr>
        <w:rPr>
          <w:rFonts w:cs="Tahoma"/>
        </w:rPr>
      </w:pPr>
      <w:r w:rsidRPr="000A1C8E">
        <w:rPr>
          <w:rFonts w:cs="Tahoma"/>
          <w:color w:val="000000"/>
        </w:rPr>
        <w:t>Complemento do Windows Intune para System Center Configuration Manager e System Center EndPoint Protection (por usuário)</w:t>
      </w:r>
    </w:p>
    <w:p w:rsidR="00FE3510" w:rsidRPr="000A1C8E" w:rsidRDefault="00FE3510" w:rsidP="00173A20">
      <w:pPr>
        <w:rPr>
          <w:rFonts w:cs="Tahoma"/>
        </w:rPr>
      </w:pPr>
      <w:r w:rsidRPr="000A1C8E">
        <w:rPr>
          <w:rFonts w:cs="Tahoma"/>
          <w:color w:val="000000"/>
        </w:rPr>
        <w:t>SL de Usuário do Windows Intune</w:t>
      </w:r>
    </w:p>
    <w:p w:rsidR="00FE3510" w:rsidRPr="000A1C8E" w:rsidRDefault="00FE3510" w:rsidP="00173A20">
      <w:pPr>
        <w:rPr>
          <w:rFonts w:cs="Tahoma"/>
        </w:rPr>
      </w:pPr>
      <w:r w:rsidRPr="000A1C8E">
        <w:rPr>
          <w:rFonts w:cs="Tahoma"/>
          <w:color w:val="000000"/>
        </w:rPr>
        <w:t>SL de Usuário do Complemento do Windows Intune</w:t>
      </w:r>
    </w:p>
    <w:p w:rsidR="00FE3510" w:rsidRPr="000A1C8E" w:rsidRDefault="00FE3510" w:rsidP="00173A20">
      <w:pPr>
        <w:rPr>
          <w:rFonts w:cs="Tahoma"/>
        </w:rPr>
      </w:pPr>
      <w:r w:rsidRPr="000A1C8E">
        <w:rPr>
          <w:rFonts w:cs="Tahoma"/>
          <w:color w:val="000000"/>
        </w:rPr>
        <w:t>Armazenamento Extra Complementar de 1 GB de SL de Usuário do Windows Intune</w:t>
      </w:r>
    </w:p>
    <w:p w:rsidR="00FE3510" w:rsidRPr="000A1C8E" w:rsidRDefault="00FE3510" w:rsidP="00173A20">
      <w:pPr>
        <w:rPr>
          <w:rFonts w:cs="Tahoma"/>
        </w:rPr>
      </w:pPr>
      <w:r w:rsidRPr="000A1C8E">
        <w:rPr>
          <w:rFonts w:cs="Tahoma"/>
          <w:color w:val="000000"/>
        </w:rPr>
        <w:t>Win Pro com MDOP 8</w:t>
      </w:r>
    </w:p>
    <w:p w:rsidR="00173A20" w:rsidRPr="000A1C8E" w:rsidRDefault="00173A20" w:rsidP="00173A20">
      <w:pPr>
        <w:keepNext/>
        <w:tabs>
          <w:tab w:val="num" w:pos="720"/>
        </w:tabs>
        <w:spacing w:before="60"/>
        <w:outlineLvl w:val="3"/>
        <w:rPr>
          <w:rFonts w:cs="Tahoma"/>
          <w:b/>
          <w:color w:val="000000"/>
          <w:sz w:val="20"/>
          <w:szCs w:val="20"/>
        </w:rPr>
      </w:pPr>
    </w:p>
    <w:p w:rsidR="00173A20" w:rsidRPr="000A1C8E" w:rsidRDefault="00173A20" w:rsidP="003E606C">
      <w:pPr>
        <w:spacing w:after="60"/>
        <w:rPr>
          <w:rFonts w:cs="Tahoma"/>
        </w:rPr>
      </w:pPr>
      <w:r w:rsidRPr="000A1C8E">
        <w:rPr>
          <w:rFonts w:cs="Tahoma"/>
          <w:b/>
        </w:rPr>
        <w:t xml:space="preserve">Promoções </w:t>
      </w:r>
    </w:p>
    <w:p w:rsidR="00173A20" w:rsidRPr="000A1C8E" w:rsidRDefault="00FE3510" w:rsidP="00173A20">
      <w:pPr>
        <w:outlineLvl w:val="1"/>
        <w:rPr>
          <w:rFonts w:cs="Tahoma"/>
        </w:rPr>
      </w:pPr>
      <w:r w:rsidRPr="000A1C8E">
        <w:rPr>
          <w:rFonts w:cs="Tahoma"/>
          <w:color w:val="000000"/>
          <w:szCs w:val="18"/>
        </w:rPr>
        <w:t>As seguintes promoções foram adicionadas:</w:t>
      </w:r>
    </w:p>
    <w:p w:rsidR="00FE3510" w:rsidRPr="000A1C8E" w:rsidRDefault="00A4121E" w:rsidP="00173A20">
      <w:pPr>
        <w:outlineLvl w:val="1"/>
        <w:rPr>
          <w:rFonts w:cs="Tahoma"/>
        </w:rPr>
      </w:pPr>
      <w:r w:rsidRPr="000A1C8E">
        <w:rPr>
          <w:rFonts w:cs="Tahoma"/>
          <w:color w:val="000000"/>
          <w:szCs w:val="18"/>
        </w:rPr>
        <w:t xml:space="preserve">Microsoft Dynamics AX 2012 R2 - Promoção </w:t>
      </w:r>
      <w:r w:rsidR="007F411C" w:rsidRPr="000A1C8E">
        <w:rPr>
          <w:rFonts w:cs="Tahoma"/>
          <w:color w:val="000000"/>
          <w:szCs w:val="18"/>
        </w:rPr>
        <w:t>“</w:t>
      </w:r>
      <w:r w:rsidRPr="000A1C8E">
        <w:rPr>
          <w:rFonts w:cs="Tahoma"/>
          <w:color w:val="000000"/>
          <w:szCs w:val="18"/>
        </w:rPr>
        <w:t>Compre Uma CAL Empresarial Ganhe outra CAL Funcional</w:t>
      </w:r>
      <w:r w:rsidR="007F411C" w:rsidRPr="000A1C8E">
        <w:rPr>
          <w:rFonts w:cs="Tahoma"/>
          <w:color w:val="000000"/>
          <w:szCs w:val="18"/>
        </w:rPr>
        <w:t>”</w:t>
      </w:r>
    </w:p>
    <w:p w:rsidR="00A4121E" w:rsidRPr="000A1C8E" w:rsidRDefault="00A4121E" w:rsidP="00173A20">
      <w:pPr>
        <w:outlineLvl w:val="1"/>
        <w:rPr>
          <w:rFonts w:cs="Tahoma"/>
        </w:rPr>
      </w:pPr>
      <w:r w:rsidRPr="000A1C8E">
        <w:rPr>
          <w:rFonts w:cs="Tahoma"/>
          <w:color w:val="000000"/>
          <w:szCs w:val="18"/>
        </w:rPr>
        <w:t>Microsoft Dynamics AX 2012 R2 - Promoção de Introdução ao EA</w:t>
      </w:r>
    </w:p>
    <w:p w:rsidR="00A4121E" w:rsidRPr="000A1C8E" w:rsidRDefault="00A4121E" w:rsidP="00173A20">
      <w:pPr>
        <w:outlineLvl w:val="1"/>
        <w:rPr>
          <w:rFonts w:cs="Tahoma"/>
        </w:rPr>
      </w:pPr>
      <w:r w:rsidRPr="000A1C8E">
        <w:rPr>
          <w:rFonts w:cs="Tahoma"/>
          <w:color w:val="000000"/>
          <w:szCs w:val="18"/>
        </w:rPr>
        <w:t>Promoção de 20% de Desconto para Novos Computadores com Windows Intune</w:t>
      </w:r>
    </w:p>
    <w:p w:rsidR="00FE3510" w:rsidRPr="000A1C8E" w:rsidRDefault="00FE3510" w:rsidP="00173A20">
      <w:pPr>
        <w:outlineLvl w:val="1"/>
        <w:rPr>
          <w:rFonts w:cs="Tahoma"/>
        </w:rPr>
      </w:pPr>
    </w:p>
    <w:p w:rsidR="00FE3510" w:rsidRPr="000A1C8E" w:rsidRDefault="00FE3510" w:rsidP="00173A20">
      <w:pPr>
        <w:outlineLvl w:val="1"/>
        <w:rPr>
          <w:rFonts w:cs="Tahoma"/>
        </w:rPr>
      </w:pPr>
      <w:r w:rsidRPr="000A1C8E">
        <w:rPr>
          <w:rFonts w:cs="Tahoma"/>
          <w:color w:val="000000"/>
          <w:szCs w:val="18"/>
        </w:rPr>
        <w:t>As seguintes promoções foram excluídas:</w:t>
      </w:r>
    </w:p>
    <w:p w:rsidR="00FE3510" w:rsidRPr="000A1C8E" w:rsidRDefault="00FE3510" w:rsidP="00173A20">
      <w:pPr>
        <w:outlineLvl w:val="1"/>
        <w:rPr>
          <w:rFonts w:cs="Tahoma"/>
        </w:rPr>
      </w:pPr>
      <w:r w:rsidRPr="000A1C8E">
        <w:rPr>
          <w:rFonts w:cs="Tahoma"/>
        </w:rPr>
        <w:t>Promoção de 20% de Desconto para Novos Computadores com Windows Intune</w:t>
      </w:r>
    </w:p>
    <w:p w:rsidR="00173A20" w:rsidRPr="000A1C8E" w:rsidRDefault="00173A20" w:rsidP="00173A20">
      <w:pPr>
        <w:outlineLvl w:val="1"/>
        <w:rPr>
          <w:rFonts w:cs="Tahoma"/>
        </w:rPr>
      </w:pPr>
    </w:p>
    <w:p w:rsidR="00CD7EA6" w:rsidRPr="000A1C8E" w:rsidRDefault="00173A20" w:rsidP="007F411C">
      <w:pPr>
        <w:keepNext/>
        <w:keepLines/>
        <w:spacing w:after="60"/>
        <w:rPr>
          <w:rFonts w:cs="Tahoma"/>
        </w:rPr>
      </w:pPr>
      <w:r w:rsidRPr="000A1C8E">
        <w:rPr>
          <w:rFonts w:cs="Tahoma"/>
          <w:b/>
        </w:rPr>
        <w:lastRenderedPageBreak/>
        <w:t>Exclusões</w:t>
      </w:r>
    </w:p>
    <w:p w:rsidR="00685009" w:rsidRPr="000A1C8E" w:rsidRDefault="00685009" w:rsidP="007F411C">
      <w:pPr>
        <w:keepNext/>
        <w:keepLines/>
        <w:rPr>
          <w:rFonts w:cs="Tahoma"/>
        </w:rPr>
      </w:pPr>
      <w:r w:rsidRPr="000A1C8E">
        <w:rPr>
          <w:rFonts w:cs="Tahoma"/>
          <w:color w:val="000000"/>
        </w:rPr>
        <w:t>Access 2010</w:t>
      </w:r>
    </w:p>
    <w:p w:rsidR="00685009" w:rsidRPr="000A1C8E" w:rsidRDefault="00685009" w:rsidP="007F411C">
      <w:pPr>
        <w:keepNext/>
        <w:keepLines/>
        <w:rPr>
          <w:rFonts w:cs="Tahoma"/>
        </w:rPr>
      </w:pPr>
      <w:r w:rsidRPr="000A1C8E">
        <w:rPr>
          <w:rFonts w:cs="Tahoma"/>
          <w:color w:val="000000"/>
        </w:rPr>
        <w:t>Duet Enterprise para Microsoft SharePoint e SAP 1.0</w:t>
      </w:r>
    </w:p>
    <w:p w:rsidR="00685009" w:rsidRPr="000A1C8E" w:rsidRDefault="00685009" w:rsidP="007F411C">
      <w:pPr>
        <w:keepNext/>
        <w:keepLines/>
        <w:rPr>
          <w:rFonts w:cs="Tahoma"/>
        </w:rPr>
      </w:pPr>
      <w:r w:rsidRPr="000A1C8E">
        <w:rPr>
          <w:rFonts w:cs="Tahoma"/>
          <w:color w:val="000000"/>
        </w:rPr>
        <w:t>Dynamics CRM Onprem Mobile</w:t>
      </w:r>
    </w:p>
    <w:p w:rsidR="00685009" w:rsidRPr="000A1C8E" w:rsidRDefault="00685009" w:rsidP="00685009">
      <w:pPr>
        <w:rPr>
          <w:rFonts w:cs="Tahoma"/>
        </w:rPr>
      </w:pPr>
      <w:r w:rsidRPr="000A1C8E">
        <w:rPr>
          <w:rFonts w:cs="Tahoma"/>
          <w:color w:val="000000"/>
        </w:rPr>
        <w:t>Dynamics CRM Mobile</w:t>
      </w:r>
    </w:p>
    <w:p w:rsidR="00685009" w:rsidRPr="000A1C8E" w:rsidRDefault="00685009" w:rsidP="00685009">
      <w:pPr>
        <w:rPr>
          <w:rFonts w:cs="Tahoma"/>
        </w:rPr>
      </w:pPr>
      <w:r w:rsidRPr="000A1C8E">
        <w:rPr>
          <w:rFonts w:cs="Tahoma"/>
          <w:color w:val="000000"/>
        </w:rPr>
        <w:t>Excel 2010</w:t>
      </w:r>
    </w:p>
    <w:p w:rsidR="00685009" w:rsidRPr="000A1C8E" w:rsidRDefault="00685009" w:rsidP="00685009">
      <w:pPr>
        <w:rPr>
          <w:rFonts w:cs="Tahoma"/>
        </w:rPr>
      </w:pPr>
      <w:r w:rsidRPr="000A1C8E">
        <w:rPr>
          <w:rFonts w:cs="Tahoma"/>
          <w:color w:val="000000"/>
        </w:rPr>
        <w:t>External Connector do Exchange Server 2010</w:t>
      </w:r>
    </w:p>
    <w:p w:rsidR="00685009" w:rsidRPr="000A1C8E" w:rsidRDefault="00685009" w:rsidP="00685009">
      <w:pPr>
        <w:rPr>
          <w:rFonts w:cs="Tahoma"/>
        </w:rPr>
      </w:pPr>
      <w:r w:rsidRPr="000A1C8E">
        <w:rPr>
          <w:rFonts w:cs="Tahoma"/>
          <w:color w:val="000000"/>
        </w:rPr>
        <w:t>FAST SearchServer SharePoint</w:t>
      </w:r>
    </w:p>
    <w:p w:rsidR="00685009" w:rsidRPr="000A1C8E" w:rsidRDefault="00685009" w:rsidP="00685009">
      <w:pPr>
        <w:rPr>
          <w:rFonts w:cs="Tahoma"/>
        </w:rPr>
      </w:pPr>
      <w:r w:rsidRPr="000A1C8E">
        <w:rPr>
          <w:rFonts w:cs="Tahoma"/>
          <w:color w:val="000000"/>
        </w:rPr>
        <w:t>Forefront Protection Suite</w:t>
      </w:r>
    </w:p>
    <w:p w:rsidR="00685009" w:rsidRPr="000A1C8E" w:rsidRDefault="00685009" w:rsidP="00685009">
      <w:pPr>
        <w:rPr>
          <w:rFonts w:cs="Tahoma"/>
        </w:rPr>
      </w:pPr>
      <w:r w:rsidRPr="000A1C8E">
        <w:rPr>
          <w:rFonts w:cs="Tahoma"/>
          <w:color w:val="000000"/>
        </w:rPr>
        <w:t>Forefront Security para Exchange Server</w:t>
      </w:r>
    </w:p>
    <w:p w:rsidR="00685009" w:rsidRPr="000A1C8E" w:rsidRDefault="00685009" w:rsidP="00685009">
      <w:pPr>
        <w:rPr>
          <w:rFonts w:cs="Tahoma"/>
        </w:rPr>
      </w:pPr>
      <w:r w:rsidRPr="000A1C8E">
        <w:rPr>
          <w:rFonts w:cs="Tahoma"/>
          <w:color w:val="000000"/>
        </w:rPr>
        <w:t>Forefront Security Office Communication Server</w:t>
      </w:r>
    </w:p>
    <w:p w:rsidR="00685009" w:rsidRPr="000A1C8E" w:rsidRDefault="00685009" w:rsidP="00685009">
      <w:pPr>
        <w:rPr>
          <w:rFonts w:cs="Tahoma"/>
        </w:rPr>
      </w:pPr>
      <w:r w:rsidRPr="000A1C8E">
        <w:rPr>
          <w:rFonts w:cs="Tahoma"/>
          <w:color w:val="000000"/>
        </w:rPr>
        <w:t>Forefront Security SharePoint</w:t>
      </w:r>
    </w:p>
    <w:p w:rsidR="00685009" w:rsidRPr="000A1C8E" w:rsidRDefault="00685009" w:rsidP="00685009">
      <w:pPr>
        <w:rPr>
          <w:rFonts w:cs="Tahoma"/>
        </w:rPr>
      </w:pPr>
      <w:r w:rsidRPr="000A1C8E">
        <w:rPr>
          <w:rFonts w:cs="Tahoma"/>
          <w:color w:val="000000"/>
        </w:rPr>
        <w:t>Console de Gerenciamento do Forefront Security Server</w:t>
      </w:r>
    </w:p>
    <w:p w:rsidR="00685009" w:rsidRPr="000A1C8E" w:rsidRDefault="00685009" w:rsidP="00685009">
      <w:pPr>
        <w:rPr>
          <w:rFonts w:cs="Tahoma"/>
        </w:rPr>
      </w:pPr>
      <w:r w:rsidRPr="000A1C8E">
        <w:rPr>
          <w:rFonts w:cs="Tahoma"/>
          <w:color w:val="000000"/>
        </w:rPr>
        <w:t>Forefront Security Web</w:t>
      </w:r>
    </w:p>
    <w:p w:rsidR="00685009" w:rsidRPr="000A1C8E" w:rsidRDefault="00685009" w:rsidP="00685009">
      <w:pPr>
        <w:rPr>
          <w:rFonts w:cs="Tahoma"/>
        </w:rPr>
      </w:pPr>
      <w:r w:rsidRPr="000A1C8E">
        <w:rPr>
          <w:rFonts w:cs="Tahoma"/>
          <w:color w:val="000000"/>
        </w:rPr>
        <w:t>Forefront Threat Management Gateway Enterprise</w:t>
      </w:r>
    </w:p>
    <w:p w:rsidR="00685009" w:rsidRPr="000A1C8E" w:rsidRDefault="00685009" w:rsidP="00685009">
      <w:pPr>
        <w:rPr>
          <w:rFonts w:cs="Tahoma"/>
        </w:rPr>
      </w:pPr>
      <w:r w:rsidRPr="000A1C8E">
        <w:rPr>
          <w:rFonts w:cs="Tahoma"/>
          <w:color w:val="000000"/>
        </w:rPr>
        <w:t>Forefront Threat Management Gateway Medium Business</w:t>
      </w:r>
    </w:p>
    <w:p w:rsidR="00685009" w:rsidRPr="000A1C8E" w:rsidRDefault="00685009" w:rsidP="00685009">
      <w:pPr>
        <w:rPr>
          <w:rFonts w:cs="Tahoma"/>
        </w:rPr>
      </w:pPr>
      <w:r w:rsidRPr="000A1C8E">
        <w:rPr>
          <w:rFonts w:cs="Tahoma"/>
          <w:color w:val="000000"/>
        </w:rPr>
        <w:t>Forefront Threat Management Gateway Standard</w:t>
      </w:r>
    </w:p>
    <w:p w:rsidR="00685009" w:rsidRPr="000A1C8E" w:rsidRDefault="00685009" w:rsidP="00685009">
      <w:pPr>
        <w:rPr>
          <w:rFonts w:cs="Tahoma"/>
        </w:rPr>
      </w:pPr>
      <w:r w:rsidRPr="000A1C8E">
        <w:rPr>
          <w:rFonts w:cs="Tahoma"/>
          <w:color w:val="000000"/>
        </w:rPr>
        <w:t>Forefront Threat Management Gateway Web Protection Service</w:t>
      </w:r>
    </w:p>
    <w:p w:rsidR="00685009" w:rsidRPr="000A1C8E" w:rsidRDefault="00685009" w:rsidP="00685009">
      <w:pPr>
        <w:rPr>
          <w:rFonts w:cs="Tahoma"/>
        </w:rPr>
      </w:pPr>
      <w:r w:rsidRPr="000A1C8E">
        <w:rPr>
          <w:rFonts w:cs="Tahoma"/>
          <w:color w:val="000000"/>
        </w:rPr>
        <w:t>Forefront Protection 2010 for Exchange Server</w:t>
      </w:r>
    </w:p>
    <w:p w:rsidR="00685009" w:rsidRPr="000A1C8E" w:rsidRDefault="00685009" w:rsidP="00685009">
      <w:pPr>
        <w:rPr>
          <w:rFonts w:cs="Tahoma"/>
        </w:rPr>
      </w:pPr>
      <w:r w:rsidRPr="000A1C8E">
        <w:rPr>
          <w:rFonts w:cs="Tahoma"/>
          <w:color w:val="000000"/>
        </w:rPr>
        <w:t>External Connector do Forefront Protection 2010 para Exchange Server</w:t>
      </w:r>
    </w:p>
    <w:p w:rsidR="00685009" w:rsidRPr="000A1C8E" w:rsidRDefault="00685009" w:rsidP="00685009">
      <w:pPr>
        <w:rPr>
          <w:rFonts w:cs="Tahoma"/>
        </w:rPr>
      </w:pPr>
      <w:r w:rsidRPr="000A1C8E">
        <w:rPr>
          <w:rFonts w:cs="Tahoma"/>
          <w:color w:val="000000"/>
        </w:rPr>
        <w:t>Forefront Protection SharePoint</w:t>
      </w:r>
    </w:p>
    <w:p w:rsidR="00685009" w:rsidRPr="000A1C8E" w:rsidRDefault="00685009" w:rsidP="00685009">
      <w:pPr>
        <w:rPr>
          <w:rFonts w:cs="Tahoma"/>
        </w:rPr>
      </w:pPr>
      <w:r w:rsidRPr="000A1C8E">
        <w:rPr>
          <w:rFonts w:cs="Tahoma"/>
          <w:color w:val="000000"/>
        </w:rPr>
        <w:t>Groove Enterprise Services</w:t>
      </w:r>
    </w:p>
    <w:p w:rsidR="00685009" w:rsidRPr="000A1C8E" w:rsidRDefault="00685009" w:rsidP="00685009">
      <w:pPr>
        <w:rPr>
          <w:rFonts w:cs="Tahoma"/>
        </w:rPr>
      </w:pPr>
      <w:r w:rsidRPr="000A1C8E">
        <w:rPr>
          <w:rFonts w:cs="Tahoma"/>
          <w:color w:val="000000"/>
        </w:rPr>
        <w:t>Groove Server</w:t>
      </w:r>
    </w:p>
    <w:p w:rsidR="00685009" w:rsidRPr="000A1C8E" w:rsidRDefault="00685009" w:rsidP="00685009">
      <w:pPr>
        <w:rPr>
          <w:rFonts w:cs="Tahoma"/>
        </w:rPr>
      </w:pPr>
      <w:r w:rsidRPr="000A1C8E">
        <w:rPr>
          <w:rFonts w:cs="Tahoma"/>
          <w:color w:val="000000"/>
        </w:rPr>
        <w:t>InfoPath 2010</w:t>
      </w:r>
    </w:p>
    <w:p w:rsidR="00685009" w:rsidRPr="000A1C8E" w:rsidRDefault="00685009" w:rsidP="00685009">
      <w:pPr>
        <w:rPr>
          <w:rFonts w:cs="Tahoma"/>
        </w:rPr>
      </w:pPr>
      <w:r w:rsidRPr="000A1C8E">
        <w:rPr>
          <w:rFonts w:cs="Tahoma"/>
          <w:color w:val="000000"/>
        </w:rPr>
        <w:t>Lync 2010</w:t>
      </w:r>
    </w:p>
    <w:p w:rsidR="00685009" w:rsidRPr="000A1C8E" w:rsidRDefault="00685009" w:rsidP="00685009">
      <w:pPr>
        <w:rPr>
          <w:rFonts w:cs="Tahoma"/>
        </w:rPr>
      </w:pPr>
      <w:r w:rsidRPr="000A1C8E">
        <w:rPr>
          <w:rFonts w:cs="Tahoma"/>
          <w:color w:val="000000"/>
        </w:rPr>
        <w:t>Lync Server 2010 Enterprise Edition</w:t>
      </w:r>
    </w:p>
    <w:p w:rsidR="00685009" w:rsidRPr="000A1C8E" w:rsidRDefault="00685009" w:rsidP="00685009">
      <w:pPr>
        <w:rPr>
          <w:rFonts w:cs="Tahoma"/>
        </w:rPr>
      </w:pPr>
      <w:r w:rsidRPr="000A1C8E">
        <w:rPr>
          <w:rFonts w:cs="Tahoma"/>
          <w:color w:val="000000"/>
        </w:rPr>
        <w:t>External Connector do Lync Server 2010 Enterprise</w:t>
      </w:r>
    </w:p>
    <w:p w:rsidR="00685009" w:rsidRPr="000A1C8E" w:rsidRDefault="00685009" w:rsidP="00685009">
      <w:pPr>
        <w:rPr>
          <w:rFonts w:cs="Tahoma"/>
        </w:rPr>
      </w:pPr>
      <w:r w:rsidRPr="000A1C8E">
        <w:rPr>
          <w:rFonts w:cs="Tahoma"/>
          <w:color w:val="000000"/>
        </w:rPr>
        <w:t>External Connector do Lync Server 2010 Plus</w:t>
      </w:r>
    </w:p>
    <w:p w:rsidR="00685009" w:rsidRPr="000A1C8E" w:rsidRDefault="00685009" w:rsidP="00685009">
      <w:pPr>
        <w:rPr>
          <w:rFonts w:cs="Tahoma"/>
        </w:rPr>
      </w:pPr>
      <w:r w:rsidRPr="000A1C8E">
        <w:rPr>
          <w:rFonts w:cs="Tahoma"/>
          <w:color w:val="000000"/>
        </w:rPr>
        <w:t>External Connector do Lync Server 2010 Standard</w:t>
      </w:r>
    </w:p>
    <w:p w:rsidR="00685009" w:rsidRPr="000A1C8E" w:rsidRDefault="00685009" w:rsidP="00685009">
      <w:pPr>
        <w:rPr>
          <w:rFonts w:cs="Tahoma"/>
        </w:rPr>
      </w:pPr>
      <w:r w:rsidRPr="000A1C8E">
        <w:rPr>
          <w:rFonts w:cs="Tahoma"/>
          <w:color w:val="000000"/>
        </w:rPr>
        <w:t>Lync Server 2010 Standard Edition</w:t>
      </w:r>
    </w:p>
    <w:p w:rsidR="00685009" w:rsidRPr="000A1C8E" w:rsidRDefault="00685009" w:rsidP="00685009">
      <w:pPr>
        <w:rPr>
          <w:rFonts w:cs="Tahoma"/>
        </w:rPr>
      </w:pPr>
      <w:r w:rsidRPr="000A1C8E">
        <w:rPr>
          <w:rFonts w:cs="Tahoma"/>
          <w:color w:val="000000"/>
        </w:rPr>
        <w:t>Office Groove Enterprise Services</w:t>
      </w:r>
    </w:p>
    <w:p w:rsidR="00685009" w:rsidRPr="000A1C8E" w:rsidRDefault="00685009" w:rsidP="00685009">
      <w:pPr>
        <w:rPr>
          <w:rFonts w:cs="Tahoma"/>
        </w:rPr>
      </w:pPr>
      <w:r w:rsidRPr="000A1C8E">
        <w:rPr>
          <w:rFonts w:cs="Tahoma"/>
          <w:color w:val="000000"/>
        </w:rPr>
        <w:t>Office Multi-Language Pack 2010</w:t>
      </w:r>
    </w:p>
    <w:p w:rsidR="00685009" w:rsidRPr="000A1C8E" w:rsidRDefault="00685009" w:rsidP="00685009">
      <w:pPr>
        <w:rPr>
          <w:rFonts w:cs="Tahoma"/>
        </w:rPr>
      </w:pPr>
      <w:r w:rsidRPr="000A1C8E">
        <w:rPr>
          <w:rFonts w:cs="Tahoma"/>
          <w:color w:val="000000"/>
        </w:rPr>
        <w:t>Office Professional Plus 2010</w:t>
      </w:r>
    </w:p>
    <w:p w:rsidR="00685009" w:rsidRPr="000A1C8E" w:rsidRDefault="00685009" w:rsidP="00685009">
      <w:pPr>
        <w:rPr>
          <w:rFonts w:cs="Tahoma"/>
        </w:rPr>
      </w:pPr>
      <w:r w:rsidRPr="000A1C8E">
        <w:rPr>
          <w:rFonts w:cs="Tahoma"/>
          <w:color w:val="000000"/>
        </w:rPr>
        <w:t>Office Standard 2010</w:t>
      </w:r>
    </w:p>
    <w:p w:rsidR="00685009" w:rsidRPr="000A1C8E" w:rsidRDefault="00685009" w:rsidP="00685009">
      <w:pPr>
        <w:rPr>
          <w:rFonts w:cs="Tahoma"/>
        </w:rPr>
      </w:pPr>
      <w:r w:rsidRPr="000A1C8E">
        <w:rPr>
          <w:rFonts w:cs="Tahoma"/>
          <w:color w:val="000000"/>
        </w:rPr>
        <w:t>Office Small Business Get Genuine</w:t>
      </w:r>
    </w:p>
    <w:p w:rsidR="00685009" w:rsidRPr="000A1C8E" w:rsidRDefault="00685009" w:rsidP="00685009">
      <w:pPr>
        <w:rPr>
          <w:rFonts w:cs="Tahoma"/>
        </w:rPr>
      </w:pPr>
      <w:r w:rsidRPr="000A1C8E">
        <w:rPr>
          <w:rFonts w:cs="Tahoma"/>
          <w:color w:val="000000"/>
        </w:rPr>
        <w:t>OneNote 2010</w:t>
      </w:r>
    </w:p>
    <w:p w:rsidR="00685009" w:rsidRPr="000A1C8E" w:rsidRDefault="00685009" w:rsidP="00685009">
      <w:pPr>
        <w:rPr>
          <w:rFonts w:cs="Tahoma"/>
        </w:rPr>
      </w:pPr>
      <w:r w:rsidRPr="000A1C8E">
        <w:rPr>
          <w:rFonts w:cs="Tahoma"/>
          <w:color w:val="000000"/>
        </w:rPr>
        <w:t>Outlook 2010</w:t>
      </w:r>
    </w:p>
    <w:p w:rsidR="00685009" w:rsidRPr="000A1C8E" w:rsidRDefault="00685009" w:rsidP="00685009">
      <w:pPr>
        <w:rPr>
          <w:rFonts w:cs="Tahoma"/>
        </w:rPr>
      </w:pPr>
      <w:r w:rsidRPr="000A1C8E">
        <w:rPr>
          <w:rFonts w:cs="Tahoma"/>
          <w:color w:val="000000"/>
        </w:rPr>
        <w:t>Outlook com Business Contact Manager</w:t>
      </w:r>
    </w:p>
    <w:p w:rsidR="00685009" w:rsidRPr="000A1C8E" w:rsidRDefault="00685009" w:rsidP="00685009">
      <w:pPr>
        <w:rPr>
          <w:rFonts w:cs="Tahoma"/>
        </w:rPr>
      </w:pPr>
      <w:r w:rsidRPr="000A1C8E">
        <w:rPr>
          <w:rFonts w:cs="Tahoma"/>
          <w:color w:val="000000"/>
        </w:rPr>
        <w:t>PowerPoint 2010</w:t>
      </w:r>
    </w:p>
    <w:p w:rsidR="00685009" w:rsidRPr="000A1C8E" w:rsidRDefault="00685009" w:rsidP="00685009">
      <w:pPr>
        <w:rPr>
          <w:rFonts w:cs="Tahoma"/>
        </w:rPr>
      </w:pPr>
      <w:r w:rsidRPr="000A1C8E">
        <w:rPr>
          <w:rFonts w:cs="Tahoma"/>
          <w:color w:val="000000"/>
        </w:rPr>
        <w:t>Project 2010 Standard</w:t>
      </w:r>
    </w:p>
    <w:p w:rsidR="00685009" w:rsidRPr="000A1C8E" w:rsidRDefault="00685009" w:rsidP="00685009">
      <w:pPr>
        <w:rPr>
          <w:rFonts w:cs="Tahoma"/>
        </w:rPr>
      </w:pPr>
      <w:r w:rsidRPr="000A1C8E">
        <w:rPr>
          <w:rFonts w:cs="Tahoma"/>
          <w:color w:val="000000"/>
        </w:rPr>
        <w:t>Project 2010 Professional</w:t>
      </w:r>
    </w:p>
    <w:p w:rsidR="00685009" w:rsidRPr="000A1C8E" w:rsidRDefault="00685009" w:rsidP="00685009">
      <w:pPr>
        <w:rPr>
          <w:rFonts w:cs="Tahoma"/>
        </w:rPr>
      </w:pPr>
      <w:r w:rsidRPr="000A1C8E">
        <w:rPr>
          <w:rFonts w:cs="Tahoma"/>
          <w:color w:val="000000"/>
        </w:rPr>
        <w:t>Search Server 2010</w:t>
      </w:r>
    </w:p>
    <w:p w:rsidR="00685009" w:rsidRPr="000A1C8E" w:rsidRDefault="00685009" w:rsidP="00685009">
      <w:pPr>
        <w:rPr>
          <w:rFonts w:cs="Tahoma"/>
        </w:rPr>
      </w:pPr>
      <w:r w:rsidRPr="000A1C8E">
        <w:rPr>
          <w:rFonts w:cs="Tahoma"/>
          <w:color w:val="000000"/>
        </w:rPr>
        <w:t>SharePoint Server 2010 para Internet Sites Enterprise</w:t>
      </w:r>
    </w:p>
    <w:p w:rsidR="00685009" w:rsidRPr="000A1C8E" w:rsidRDefault="00685009" w:rsidP="00685009">
      <w:pPr>
        <w:rPr>
          <w:rFonts w:cs="Tahoma"/>
        </w:rPr>
      </w:pPr>
      <w:r w:rsidRPr="000A1C8E">
        <w:rPr>
          <w:rFonts w:cs="Tahoma"/>
          <w:color w:val="000000"/>
        </w:rPr>
        <w:t>SharePoint Server 2010 para Internet Sites Standard</w:t>
      </w:r>
    </w:p>
    <w:p w:rsidR="00685009" w:rsidRPr="000A1C8E" w:rsidRDefault="00685009" w:rsidP="00685009">
      <w:pPr>
        <w:rPr>
          <w:rFonts w:cs="Tahoma"/>
        </w:rPr>
      </w:pPr>
      <w:r w:rsidRPr="000A1C8E">
        <w:rPr>
          <w:rFonts w:cs="Tahoma"/>
          <w:color w:val="000000"/>
        </w:rPr>
        <w:t>SharePoint Workspace 2010</w:t>
      </w:r>
    </w:p>
    <w:p w:rsidR="00685009" w:rsidRPr="000A1C8E" w:rsidRDefault="00685009" w:rsidP="00685009">
      <w:pPr>
        <w:rPr>
          <w:rFonts w:cs="Tahoma"/>
        </w:rPr>
      </w:pPr>
      <w:r w:rsidRPr="000A1C8E">
        <w:rPr>
          <w:rFonts w:cs="Tahoma"/>
          <w:color w:val="000000"/>
        </w:rPr>
        <w:t>Visio 2010 Premium</w:t>
      </w:r>
    </w:p>
    <w:p w:rsidR="00685009" w:rsidRPr="000A1C8E" w:rsidRDefault="00685009" w:rsidP="00685009">
      <w:pPr>
        <w:rPr>
          <w:rFonts w:cs="Tahoma"/>
        </w:rPr>
      </w:pPr>
      <w:r w:rsidRPr="000A1C8E">
        <w:rPr>
          <w:rFonts w:cs="Tahoma"/>
          <w:color w:val="000000"/>
        </w:rPr>
        <w:t>Visio 2010 Standard</w:t>
      </w:r>
    </w:p>
    <w:p w:rsidR="00685009" w:rsidRPr="000A1C8E" w:rsidRDefault="00685009" w:rsidP="00685009">
      <w:pPr>
        <w:rPr>
          <w:rFonts w:cs="Tahoma"/>
        </w:rPr>
      </w:pPr>
      <w:r w:rsidRPr="000A1C8E">
        <w:rPr>
          <w:rFonts w:cs="Tahoma"/>
          <w:color w:val="000000"/>
        </w:rPr>
        <w:t>Windows Intune (Por Dispositivo)</w:t>
      </w:r>
    </w:p>
    <w:p w:rsidR="00685009" w:rsidRPr="000A1C8E" w:rsidRDefault="00685009" w:rsidP="00685009">
      <w:pPr>
        <w:rPr>
          <w:rFonts w:cs="Tahoma"/>
        </w:rPr>
      </w:pPr>
      <w:r w:rsidRPr="000A1C8E">
        <w:rPr>
          <w:rFonts w:cs="Tahoma"/>
          <w:color w:val="000000"/>
        </w:rPr>
        <w:t>Complemento do Windows Intune (Por Dispositivo)</w:t>
      </w:r>
    </w:p>
    <w:p w:rsidR="00685009" w:rsidRPr="000A1C8E" w:rsidRDefault="00685009" w:rsidP="00685009">
      <w:pPr>
        <w:rPr>
          <w:rFonts w:cs="Tahoma"/>
        </w:rPr>
      </w:pPr>
      <w:r w:rsidRPr="000A1C8E">
        <w:rPr>
          <w:rFonts w:cs="Tahoma"/>
          <w:color w:val="000000"/>
        </w:rPr>
        <w:t>Windows MultiPoint Server 2011 Standard</w:t>
      </w:r>
    </w:p>
    <w:p w:rsidR="00685009" w:rsidRPr="000A1C8E" w:rsidRDefault="00685009" w:rsidP="00685009">
      <w:pPr>
        <w:rPr>
          <w:rFonts w:cs="Tahoma"/>
        </w:rPr>
      </w:pPr>
      <w:r w:rsidRPr="000A1C8E">
        <w:rPr>
          <w:rFonts w:cs="Tahoma"/>
          <w:color w:val="000000"/>
        </w:rPr>
        <w:t>Windows MultiPoint Server 2011 Premium</w:t>
      </w:r>
    </w:p>
    <w:p w:rsidR="00685009" w:rsidRPr="000A1C8E" w:rsidRDefault="00685009" w:rsidP="00685009">
      <w:pPr>
        <w:rPr>
          <w:rFonts w:cs="Tahoma"/>
        </w:rPr>
      </w:pPr>
      <w:r w:rsidRPr="000A1C8E">
        <w:rPr>
          <w:rFonts w:cs="Tahoma"/>
          <w:color w:val="000000"/>
        </w:rPr>
        <w:t>CAL do Windows MultiPoint Server 2011</w:t>
      </w:r>
    </w:p>
    <w:p w:rsidR="00685009" w:rsidRPr="000A1C8E" w:rsidRDefault="00685009" w:rsidP="00685009">
      <w:pPr>
        <w:rPr>
          <w:rFonts w:cs="Tahoma"/>
        </w:rPr>
      </w:pPr>
      <w:r w:rsidRPr="000A1C8E">
        <w:rPr>
          <w:rFonts w:cs="Tahoma"/>
          <w:color w:val="000000"/>
        </w:rPr>
        <w:t>CAL do Windows MultiPoint Server 2011 com CAL do Windows Server 2008</w:t>
      </w:r>
    </w:p>
    <w:p w:rsidR="00685009" w:rsidRPr="000A1C8E" w:rsidRDefault="00685009" w:rsidP="00685009">
      <w:pPr>
        <w:rPr>
          <w:rFonts w:cs="Tahoma"/>
        </w:rPr>
      </w:pPr>
      <w:r w:rsidRPr="000A1C8E">
        <w:rPr>
          <w:rFonts w:cs="Tahoma"/>
          <w:color w:val="000000"/>
        </w:rPr>
        <w:t>Windows MultiPoint Server 2011 Premium com CAL do Windows MultiPoint Server 2011 (5 Clientes)</w:t>
      </w:r>
    </w:p>
    <w:p w:rsidR="00685009" w:rsidRPr="000A1C8E" w:rsidRDefault="00685009" w:rsidP="00BD3A67">
      <w:pPr>
        <w:rPr>
          <w:rFonts w:cs="Tahoma"/>
        </w:rPr>
      </w:pPr>
      <w:r w:rsidRPr="000A1C8E">
        <w:rPr>
          <w:rFonts w:cs="Tahoma"/>
          <w:color w:val="000000"/>
        </w:rPr>
        <w:t>Windows MultiPoint Server 2011 Premium com CAL do Windows MultiPoint Server 2011 (5 Clientes) com CAL do</w:t>
      </w:r>
      <w:r w:rsidR="00BD3A67">
        <w:rPr>
          <w:rFonts w:cs="Tahoma"/>
          <w:color w:val="000000"/>
        </w:rPr>
        <w:t> </w:t>
      </w:r>
      <w:r w:rsidRPr="000A1C8E">
        <w:rPr>
          <w:rFonts w:cs="Tahoma"/>
          <w:color w:val="000000"/>
        </w:rPr>
        <w:t>Windows Server 2008 (5 Clientes)</w:t>
      </w:r>
    </w:p>
    <w:p w:rsidR="00685009" w:rsidRPr="000A1C8E" w:rsidRDefault="00685009" w:rsidP="00685009">
      <w:pPr>
        <w:rPr>
          <w:rFonts w:cs="Tahoma"/>
        </w:rPr>
      </w:pPr>
      <w:r w:rsidRPr="000A1C8E">
        <w:rPr>
          <w:rFonts w:cs="Tahoma"/>
          <w:color w:val="000000"/>
        </w:rPr>
        <w:t>Word 2010</w:t>
      </w:r>
    </w:p>
    <w:p w:rsidR="00173A20" w:rsidRPr="000A1C8E" w:rsidRDefault="00173A20" w:rsidP="00173A20">
      <w:pPr>
        <w:rPr>
          <w:rFonts w:cs="Tahoma"/>
        </w:rPr>
      </w:pPr>
    </w:p>
    <w:p w:rsidR="00A33CF7" w:rsidRPr="000A1C8E" w:rsidRDefault="00A33CF7" w:rsidP="00173A20">
      <w:pPr>
        <w:rPr>
          <w:rFonts w:cs="Tahoma"/>
        </w:rPr>
      </w:pPr>
    </w:p>
    <w:p w:rsidR="00E64830" w:rsidRPr="000A1C8E" w:rsidRDefault="00E64830" w:rsidP="00E64830">
      <w:pPr>
        <w:pStyle w:val="Heading2"/>
        <w:ind w:left="0"/>
        <w:jc w:val="both"/>
        <w:rPr>
          <w:rFonts w:ascii="Tahoma" w:hAnsi="Tahoma" w:cs="Tahoma"/>
        </w:rPr>
      </w:pPr>
      <w:bookmarkStart w:id="599" w:name="_Toc361829266"/>
      <w:r w:rsidRPr="000A1C8E">
        <w:rPr>
          <w:rFonts w:ascii="Tahoma" w:hAnsi="Tahoma" w:cs="Tahoma"/>
          <w:color w:val="FF6600"/>
        </w:rPr>
        <w:lastRenderedPageBreak/>
        <w:t>ALTERAÇÕES EM NOVEMBRO DE 2012</w:t>
      </w:r>
      <w:bookmarkEnd w:id="599"/>
    </w:p>
    <w:p w:rsidR="00E64830" w:rsidRPr="000A1C8E" w:rsidRDefault="00E64830" w:rsidP="007B0DDA">
      <w:pPr>
        <w:pStyle w:val="Heading2"/>
        <w:ind w:left="0"/>
        <w:jc w:val="both"/>
        <w:rPr>
          <w:rFonts w:ascii="Tahoma" w:hAnsi="Tahoma" w:cs="Tahoma"/>
          <w:b w:val="0"/>
          <w:color w:val="FF6600"/>
          <w:sz w:val="18"/>
        </w:rPr>
      </w:pPr>
    </w:p>
    <w:p w:rsidR="00E64830" w:rsidRPr="000A1C8E" w:rsidRDefault="00E64830" w:rsidP="003E606C">
      <w:pPr>
        <w:spacing w:after="60"/>
        <w:rPr>
          <w:rFonts w:cs="Tahoma"/>
        </w:rPr>
      </w:pPr>
      <w:r w:rsidRPr="000A1C8E">
        <w:rPr>
          <w:rFonts w:cs="Tahoma"/>
          <w:b/>
        </w:rPr>
        <w:t>Adições</w:t>
      </w:r>
    </w:p>
    <w:p w:rsidR="00E64830" w:rsidRPr="000A1C8E" w:rsidRDefault="00E64830" w:rsidP="00C530A9">
      <w:pPr>
        <w:rPr>
          <w:rFonts w:cs="Tahoma"/>
        </w:rPr>
      </w:pPr>
      <w:r w:rsidRPr="000A1C8E">
        <w:rPr>
          <w:rFonts w:cs="Tahoma"/>
        </w:rPr>
        <w:t>Microsoft Windows Server Essentials 2012</w:t>
      </w:r>
    </w:p>
    <w:p w:rsidR="00E64830" w:rsidRPr="000A1C8E" w:rsidRDefault="00E64830" w:rsidP="00C530A9">
      <w:pPr>
        <w:rPr>
          <w:rFonts w:cs="Tahoma"/>
        </w:rPr>
      </w:pPr>
      <w:r w:rsidRPr="000A1C8E">
        <w:rPr>
          <w:rFonts w:cs="Tahoma"/>
        </w:rPr>
        <w:t>Microsoft AutoRoute Euro 2013</w:t>
      </w:r>
    </w:p>
    <w:p w:rsidR="00E64830" w:rsidRPr="000A1C8E" w:rsidRDefault="00E64830" w:rsidP="00C530A9">
      <w:pPr>
        <w:rPr>
          <w:rFonts w:cs="Tahoma"/>
        </w:rPr>
      </w:pPr>
      <w:r w:rsidRPr="000A1C8E">
        <w:rPr>
          <w:rFonts w:cs="Tahoma"/>
        </w:rPr>
        <w:t>Microsoft Desktop Organization Pack 2012 para Software Assurance</w:t>
      </w:r>
    </w:p>
    <w:p w:rsidR="00E64830" w:rsidRPr="000A1C8E" w:rsidRDefault="00E64830" w:rsidP="00C530A9">
      <w:pPr>
        <w:rPr>
          <w:rFonts w:cs="Tahoma"/>
        </w:rPr>
      </w:pPr>
    </w:p>
    <w:p w:rsidR="00D24E3C" w:rsidRPr="000A1C8E" w:rsidRDefault="00D24E3C" w:rsidP="003E606C">
      <w:pPr>
        <w:spacing w:after="60"/>
        <w:rPr>
          <w:rFonts w:cs="Tahoma"/>
        </w:rPr>
      </w:pPr>
      <w:r w:rsidRPr="000A1C8E">
        <w:rPr>
          <w:rFonts w:cs="Tahoma"/>
          <w:b/>
        </w:rPr>
        <w:t>Promoções</w:t>
      </w:r>
    </w:p>
    <w:p w:rsidR="00D24E3C" w:rsidRPr="000A1C8E" w:rsidRDefault="00D24E3C" w:rsidP="00E64830">
      <w:pPr>
        <w:rPr>
          <w:rFonts w:cs="Tahoma"/>
        </w:rPr>
      </w:pPr>
      <w:r w:rsidRPr="000A1C8E">
        <w:rPr>
          <w:rFonts w:cs="Tahoma"/>
          <w:color w:val="000000"/>
        </w:rPr>
        <w:t>As seguintes promoções foram adicionadas:</w:t>
      </w:r>
    </w:p>
    <w:p w:rsidR="00D24E3C" w:rsidRPr="000A1C8E" w:rsidRDefault="00D24E3C" w:rsidP="00E64830">
      <w:pPr>
        <w:rPr>
          <w:rFonts w:cs="Tahoma"/>
        </w:rPr>
      </w:pPr>
      <w:r w:rsidRPr="000A1C8E">
        <w:rPr>
          <w:rFonts w:cs="Tahoma"/>
          <w:color w:val="000000"/>
        </w:rPr>
        <w:t>30% de Desconto na Atualização para o Visual Studio Premium com MSDN</w:t>
      </w:r>
    </w:p>
    <w:p w:rsidR="00D24E3C" w:rsidRPr="000A1C8E" w:rsidRDefault="00D24E3C" w:rsidP="00ED2410">
      <w:pPr>
        <w:rPr>
          <w:rFonts w:cs="Tahoma"/>
        </w:rPr>
      </w:pPr>
      <w:r w:rsidRPr="000A1C8E">
        <w:rPr>
          <w:rFonts w:cs="Tahoma"/>
        </w:rPr>
        <w:t>Step-up para Windows 8 com SA</w:t>
      </w:r>
    </w:p>
    <w:p w:rsidR="00D24E3C" w:rsidRPr="000A1C8E" w:rsidRDefault="00D24E3C" w:rsidP="00ED2410">
      <w:pPr>
        <w:rPr>
          <w:rFonts w:cs="Tahoma"/>
        </w:rPr>
      </w:pPr>
      <w:r w:rsidRPr="000A1C8E">
        <w:rPr>
          <w:rFonts w:cs="Tahoma"/>
        </w:rPr>
        <w:t>Promoção de 20% de Desconto para Novos Computadores com Windows Intune</w:t>
      </w:r>
    </w:p>
    <w:p w:rsidR="00D24E3C" w:rsidRPr="000A1C8E" w:rsidRDefault="00D24E3C" w:rsidP="00E64830">
      <w:pPr>
        <w:rPr>
          <w:rFonts w:cs="Tahoma"/>
        </w:rPr>
      </w:pPr>
    </w:p>
    <w:p w:rsidR="00E64830" w:rsidRPr="000A1C8E" w:rsidRDefault="00E64830" w:rsidP="003E606C">
      <w:pPr>
        <w:spacing w:after="60"/>
        <w:rPr>
          <w:rFonts w:cs="Tahoma"/>
        </w:rPr>
      </w:pPr>
      <w:r w:rsidRPr="000A1C8E">
        <w:rPr>
          <w:rFonts w:cs="Tahoma"/>
          <w:b/>
        </w:rPr>
        <w:t>Alterações</w:t>
      </w:r>
    </w:p>
    <w:p w:rsidR="00D24E3C" w:rsidRPr="000A1C8E" w:rsidRDefault="00D8428A" w:rsidP="00E64830">
      <w:pPr>
        <w:rPr>
          <w:rFonts w:cs="Tahoma"/>
        </w:rPr>
      </w:pPr>
      <w:r w:rsidRPr="000A1C8E">
        <w:rPr>
          <w:rFonts w:cs="Tahoma"/>
          <w:color w:val="000000"/>
        </w:rPr>
        <w:t>Foram feitas atualizações nos seguintes produtos:</w:t>
      </w:r>
    </w:p>
    <w:p w:rsidR="003A5ABA" w:rsidRPr="000A1C8E" w:rsidRDefault="00D8428A" w:rsidP="00E64830">
      <w:pPr>
        <w:rPr>
          <w:rFonts w:cs="Tahoma"/>
        </w:rPr>
      </w:pPr>
      <w:r w:rsidRPr="000A1C8E">
        <w:rPr>
          <w:rFonts w:cs="Tahoma"/>
          <w:color w:val="000000"/>
        </w:rPr>
        <w:t>Microsoft Desktop Optimization Pack</w:t>
      </w:r>
    </w:p>
    <w:p w:rsidR="000225E7" w:rsidRPr="000A1C8E" w:rsidRDefault="000225E7" w:rsidP="00C530A9">
      <w:pPr>
        <w:rPr>
          <w:rFonts w:cs="Tahoma"/>
        </w:rPr>
      </w:pPr>
    </w:p>
    <w:p w:rsidR="00E64830" w:rsidRPr="000A1C8E" w:rsidRDefault="00E64830" w:rsidP="003E606C">
      <w:pPr>
        <w:spacing w:after="60"/>
        <w:rPr>
          <w:rFonts w:cs="Tahoma"/>
        </w:rPr>
      </w:pPr>
      <w:r w:rsidRPr="000A1C8E">
        <w:rPr>
          <w:rFonts w:cs="Tahoma"/>
          <w:b/>
        </w:rPr>
        <w:t>Exclusões</w:t>
      </w:r>
    </w:p>
    <w:p w:rsidR="00E64830" w:rsidRPr="000A1C8E" w:rsidRDefault="00E64830" w:rsidP="00C530A9">
      <w:pPr>
        <w:rPr>
          <w:rFonts w:cs="Tahoma"/>
        </w:rPr>
      </w:pPr>
      <w:r w:rsidRPr="000A1C8E">
        <w:rPr>
          <w:rFonts w:cs="Tahoma"/>
        </w:rPr>
        <w:t>Windows Small Business Server Essentials 2011</w:t>
      </w:r>
    </w:p>
    <w:p w:rsidR="00E64830" w:rsidRPr="000A1C8E" w:rsidRDefault="00E64830" w:rsidP="00C530A9">
      <w:pPr>
        <w:rPr>
          <w:rFonts w:cs="Tahoma"/>
        </w:rPr>
      </w:pPr>
      <w:r w:rsidRPr="000A1C8E">
        <w:rPr>
          <w:rFonts w:cs="Tahoma"/>
        </w:rPr>
        <w:t>AutoRoute 2011</w:t>
      </w:r>
    </w:p>
    <w:p w:rsidR="00E64830" w:rsidRPr="000A1C8E" w:rsidRDefault="00E64830" w:rsidP="00C530A9">
      <w:pPr>
        <w:rPr>
          <w:rFonts w:cs="Tahoma"/>
        </w:rPr>
      </w:pPr>
      <w:r w:rsidRPr="000A1C8E">
        <w:rPr>
          <w:rFonts w:cs="Tahoma"/>
        </w:rPr>
        <w:t>Microsoft Desktop Optimization Pack 2011 R2 para Software Assurance</w:t>
      </w:r>
    </w:p>
    <w:p w:rsidR="00E64830" w:rsidRPr="00974A48" w:rsidRDefault="00E64830" w:rsidP="007B0DDA">
      <w:pPr>
        <w:pStyle w:val="Heading2"/>
        <w:ind w:left="0"/>
        <w:jc w:val="both"/>
        <w:rPr>
          <w:rFonts w:ascii="Tahoma" w:hAnsi="Tahoma" w:cs="Tahoma"/>
          <w:b w:val="0"/>
          <w:bCs/>
          <w:sz w:val="18"/>
          <w:szCs w:val="18"/>
        </w:rPr>
      </w:pPr>
    </w:p>
    <w:p w:rsidR="0021637C" w:rsidRPr="00974A48" w:rsidRDefault="0021637C" w:rsidP="007B0DDA">
      <w:pPr>
        <w:pStyle w:val="Heading2"/>
        <w:ind w:left="0"/>
        <w:jc w:val="both"/>
        <w:rPr>
          <w:rFonts w:ascii="Tahoma" w:hAnsi="Tahoma" w:cs="Tahoma"/>
          <w:b w:val="0"/>
          <w:bCs/>
          <w:sz w:val="18"/>
          <w:szCs w:val="18"/>
        </w:rPr>
      </w:pPr>
    </w:p>
    <w:p w:rsidR="007B0DDA" w:rsidRPr="000A1C8E" w:rsidRDefault="007B0DDA" w:rsidP="007B0DDA">
      <w:pPr>
        <w:pStyle w:val="Heading2"/>
        <w:ind w:left="0"/>
        <w:jc w:val="both"/>
        <w:rPr>
          <w:rFonts w:ascii="Tahoma" w:hAnsi="Tahoma" w:cs="Tahoma"/>
        </w:rPr>
      </w:pPr>
      <w:bookmarkStart w:id="600" w:name="_Toc336338169"/>
      <w:bookmarkStart w:id="601" w:name="_Toc361829267"/>
      <w:r w:rsidRPr="000A1C8E">
        <w:rPr>
          <w:rFonts w:ascii="Tahoma" w:hAnsi="Tahoma" w:cs="Tahoma"/>
          <w:color w:val="FF6600"/>
        </w:rPr>
        <w:t>ALTERAÇÕES EM OUTUBRO DE 2012</w:t>
      </w:r>
      <w:bookmarkEnd w:id="600"/>
      <w:bookmarkEnd w:id="601"/>
    </w:p>
    <w:p w:rsidR="007B0DDA" w:rsidRPr="000A1C8E" w:rsidRDefault="007B0DDA" w:rsidP="007B0DDA">
      <w:pPr>
        <w:rPr>
          <w:rFonts w:cs="Tahoma"/>
        </w:rPr>
      </w:pPr>
    </w:p>
    <w:p w:rsidR="007B0DDA" w:rsidRPr="000A1C8E" w:rsidRDefault="007B0DDA" w:rsidP="003E606C">
      <w:pPr>
        <w:spacing w:after="60"/>
        <w:rPr>
          <w:rFonts w:cs="Tahoma"/>
        </w:rPr>
      </w:pPr>
      <w:r w:rsidRPr="000A1C8E">
        <w:rPr>
          <w:rFonts w:cs="Tahoma"/>
          <w:b/>
        </w:rPr>
        <w:t>Adições</w:t>
      </w:r>
    </w:p>
    <w:p w:rsidR="007B0DDA" w:rsidRPr="000A1C8E" w:rsidRDefault="00AD19DE" w:rsidP="007B0DDA">
      <w:pPr>
        <w:rPr>
          <w:rFonts w:cs="Tahoma"/>
        </w:rPr>
      </w:pPr>
      <w:r w:rsidRPr="000A1C8E">
        <w:rPr>
          <w:rFonts w:cs="Tahoma"/>
          <w:color w:val="000000"/>
          <w:szCs w:val="20"/>
        </w:rPr>
        <w:t>Licença de Assinatura do Windows Companion</w:t>
      </w:r>
    </w:p>
    <w:p w:rsidR="007B0DDA" w:rsidRPr="000A1C8E" w:rsidRDefault="007B0DDA" w:rsidP="007B0DDA">
      <w:pPr>
        <w:rPr>
          <w:rFonts w:cs="Tahoma"/>
        </w:rPr>
      </w:pPr>
    </w:p>
    <w:p w:rsidR="007B0DDA" w:rsidRPr="000A1C8E" w:rsidRDefault="007B0DDA" w:rsidP="003E606C">
      <w:pPr>
        <w:spacing w:after="60"/>
        <w:rPr>
          <w:rFonts w:cs="Tahoma"/>
        </w:rPr>
      </w:pPr>
      <w:r w:rsidRPr="000A1C8E">
        <w:rPr>
          <w:rFonts w:cs="Tahoma"/>
          <w:b/>
        </w:rPr>
        <w:t>Alterações</w:t>
      </w:r>
    </w:p>
    <w:p w:rsidR="007B0DDA" w:rsidRPr="000A1C8E" w:rsidRDefault="007B0DDA" w:rsidP="007B0DDA">
      <w:pPr>
        <w:rPr>
          <w:rFonts w:cs="Tahoma"/>
        </w:rPr>
      </w:pPr>
      <w:r w:rsidRPr="000A1C8E">
        <w:rPr>
          <w:rFonts w:cs="Tahoma"/>
          <w:color w:val="000000"/>
          <w:szCs w:val="20"/>
        </w:rPr>
        <w:t>Os valores de ponto foram alterados para os seguintes produtos:</w:t>
      </w:r>
    </w:p>
    <w:p w:rsidR="007B0DDA" w:rsidRPr="000A1C8E" w:rsidRDefault="007B0DDA" w:rsidP="007B0DDA">
      <w:pPr>
        <w:rPr>
          <w:rFonts w:cs="Tahoma"/>
        </w:rPr>
      </w:pPr>
      <w:r w:rsidRPr="000A1C8E">
        <w:rPr>
          <w:rFonts w:cs="Tahoma"/>
          <w:color w:val="000000"/>
          <w:szCs w:val="20"/>
        </w:rPr>
        <w:t>Core Infrastructure Server Suite Datacenter</w:t>
      </w:r>
    </w:p>
    <w:p w:rsidR="007B0DDA" w:rsidRPr="000A1C8E" w:rsidRDefault="007B0DDA" w:rsidP="007B0DDA">
      <w:pPr>
        <w:rPr>
          <w:rFonts w:cs="Tahoma"/>
        </w:rPr>
      </w:pPr>
      <w:r w:rsidRPr="000A1C8E">
        <w:rPr>
          <w:rFonts w:cs="Tahoma"/>
          <w:color w:val="000000"/>
          <w:szCs w:val="20"/>
        </w:rPr>
        <w:t>Core Infrastructure Server Suite Standard</w:t>
      </w:r>
    </w:p>
    <w:p w:rsidR="007B0DDA" w:rsidRPr="000A1C8E" w:rsidRDefault="007B0DDA" w:rsidP="007B0DDA">
      <w:pPr>
        <w:rPr>
          <w:rFonts w:cs="Tahoma"/>
        </w:rPr>
      </w:pPr>
      <w:r w:rsidRPr="000A1C8E">
        <w:rPr>
          <w:rFonts w:cs="Tahoma"/>
          <w:color w:val="000000"/>
          <w:szCs w:val="20"/>
        </w:rPr>
        <w:t>Licença de Gerenciamento do System Center 2012 Standard Server (2 processadores)</w:t>
      </w:r>
    </w:p>
    <w:p w:rsidR="007B0DDA" w:rsidRPr="000A1C8E" w:rsidRDefault="007B0DDA" w:rsidP="007B0DDA">
      <w:pPr>
        <w:rPr>
          <w:rFonts w:cs="Tahoma"/>
        </w:rPr>
      </w:pPr>
      <w:r w:rsidRPr="000A1C8E">
        <w:rPr>
          <w:rFonts w:cs="Tahoma"/>
          <w:color w:val="000000"/>
          <w:szCs w:val="20"/>
        </w:rPr>
        <w:t>Licença de Gerenciamento do System Center 2012 Datacenter Server (2 processadores)</w:t>
      </w:r>
    </w:p>
    <w:p w:rsidR="007B0DDA" w:rsidRPr="000A1C8E" w:rsidRDefault="007B0DDA" w:rsidP="007B0DDA">
      <w:pPr>
        <w:rPr>
          <w:rFonts w:cs="Tahoma"/>
        </w:rPr>
      </w:pPr>
      <w:r w:rsidRPr="000A1C8E">
        <w:rPr>
          <w:rFonts w:cs="Tahoma"/>
          <w:color w:val="000000"/>
          <w:szCs w:val="20"/>
        </w:rPr>
        <w:t>System Center Configuration Manager 2007 R3</w:t>
      </w:r>
    </w:p>
    <w:p w:rsidR="007B0DDA" w:rsidRPr="000A1C8E" w:rsidRDefault="007B0DDA" w:rsidP="007B0DDA">
      <w:pPr>
        <w:rPr>
          <w:rFonts w:cs="Tahoma"/>
        </w:rPr>
      </w:pPr>
      <w:r w:rsidRPr="000A1C8E">
        <w:rPr>
          <w:rFonts w:cs="Tahoma"/>
          <w:color w:val="000000"/>
          <w:szCs w:val="20"/>
        </w:rPr>
        <w:t xml:space="preserve">Licença de Gerenciamento de Servidor do System Center Configuration Manager 2007 R3 Enterprise </w:t>
      </w:r>
    </w:p>
    <w:p w:rsidR="007B0DDA" w:rsidRPr="000A1C8E" w:rsidRDefault="007B0DDA" w:rsidP="007B0DDA">
      <w:pPr>
        <w:rPr>
          <w:rFonts w:cs="Tahoma"/>
        </w:rPr>
      </w:pPr>
      <w:r w:rsidRPr="000A1C8E">
        <w:rPr>
          <w:rFonts w:cs="Tahoma"/>
          <w:color w:val="000000"/>
          <w:szCs w:val="20"/>
        </w:rPr>
        <w:t>Licença de Gerenciamento de Servidor Standard (ML de Servidor Standard) do System Center Configuration Man</w:t>
      </w:r>
      <w:r w:rsidR="00F12F66">
        <w:rPr>
          <w:rFonts w:cs="Tahoma"/>
          <w:color w:val="000000"/>
          <w:szCs w:val="20"/>
        </w:rPr>
        <w:t>ager 2007 R3</w:t>
      </w:r>
    </w:p>
    <w:p w:rsidR="007B0DDA" w:rsidRPr="000A1C8E" w:rsidRDefault="007B0DDA" w:rsidP="007B0DDA">
      <w:pPr>
        <w:rPr>
          <w:rFonts w:cs="Tahoma"/>
        </w:rPr>
      </w:pPr>
      <w:r w:rsidRPr="000A1C8E">
        <w:rPr>
          <w:rFonts w:cs="Tahoma"/>
          <w:color w:val="000000"/>
          <w:szCs w:val="20"/>
        </w:rPr>
        <w:t>System Center Configuration Manager 2007 R3 com Tecnologia SQL Server 2008</w:t>
      </w:r>
    </w:p>
    <w:p w:rsidR="007B0DDA" w:rsidRPr="000A1C8E" w:rsidRDefault="007B0DDA" w:rsidP="007B0DDA">
      <w:pPr>
        <w:rPr>
          <w:rFonts w:cs="Tahoma"/>
        </w:rPr>
      </w:pPr>
      <w:r w:rsidRPr="000A1C8E">
        <w:rPr>
          <w:rFonts w:cs="Tahoma"/>
          <w:color w:val="000000"/>
          <w:szCs w:val="20"/>
        </w:rPr>
        <w:t>Licença de Gerenciamento de Cliente do System Center Data Protection Manager 2010 por Usuário</w:t>
      </w:r>
    </w:p>
    <w:p w:rsidR="007B0DDA" w:rsidRPr="000A1C8E" w:rsidRDefault="007B0DDA" w:rsidP="007B0DDA">
      <w:pPr>
        <w:rPr>
          <w:rFonts w:cs="Tahoma"/>
        </w:rPr>
      </w:pPr>
      <w:r w:rsidRPr="000A1C8E">
        <w:rPr>
          <w:rFonts w:cs="Tahoma"/>
          <w:color w:val="000000"/>
          <w:szCs w:val="20"/>
        </w:rPr>
        <w:t>Licença de Gerenciamento de Cliente do System Center Data Protection Manager 2010 por OSE</w:t>
      </w:r>
    </w:p>
    <w:p w:rsidR="007B0DDA" w:rsidRPr="000A1C8E" w:rsidRDefault="007B0DDA" w:rsidP="007B0DDA">
      <w:pPr>
        <w:rPr>
          <w:rFonts w:cs="Tahoma"/>
        </w:rPr>
      </w:pPr>
      <w:r w:rsidRPr="000A1C8E">
        <w:rPr>
          <w:rFonts w:cs="Tahoma"/>
          <w:color w:val="000000"/>
          <w:szCs w:val="20"/>
        </w:rPr>
        <w:t xml:space="preserve">Licença de Gerenciamento de Servidor Enterprise do System Center Data Protection Manager 2010 </w:t>
      </w:r>
    </w:p>
    <w:p w:rsidR="007B0DDA" w:rsidRPr="000A1C8E" w:rsidRDefault="007B0DDA" w:rsidP="007B0DDA">
      <w:pPr>
        <w:rPr>
          <w:rFonts w:cs="Tahoma"/>
        </w:rPr>
      </w:pPr>
      <w:r w:rsidRPr="000A1C8E">
        <w:rPr>
          <w:rFonts w:cs="Tahoma"/>
          <w:color w:val="000000"/>
          <w:szCs w:val="20"/>
        </w:rPr>
        <w:t xml:space="preserve">Licença de Gerenciamento de Servidor Standard do System Center Data Protection Manager 2010 </w:t>
      </w:r>
    </w:p>
    <w:p w:rsidR="007B0DDA" w:rsidRPr="000A1C8E" w:rsidRDefault="007B0DDA" w:rsidP="007B0DDA">
      <w:pPr>
        <w:rPr>
          <w:rFonts w:cs="Tahoma"/>
        </w:rPr>
      </w:pPr>
      <w:r w:rsidRPr="000A1C8E">
        <w:rPr>
          <w:rFonts w:cs="Tahoma"/>
          <w:color w:val="000000"/>
          <w:szCs w:val="20"/>
        </w:rPr>
        <w:t>System Center Operations Manager 2007 R2</w:t>
      </w:r>
    </w:p>
    <w:p w:rsidR="007B0DDA" w:rsidRPr="000A1C8E" w:rsidRDefault="007B0DDA" w:rsidP="007B0DDA">
      <w:pPr>
        <w:rPr>
          <w:rFonts w:cs="Tahoma"/>
        </w:rPr>
      </w:pPr>
      <w:r w:rsidRPr="000A1C8E">
        <w:rPr>
          <w:rFonts w:cs="Tahoma"/>
          <w:color w:val="000000"/>
          <w:szCs w:val="20"/>
        </w:rPr>
        <w:t>System Center Operations Manager 2007 R2 com Tecnologia SQL Server 2008</w:t>
      </w:r>
    </w:p>
    <w:p w:rsidR="007B0DDA" w:rsidRPr="000A1C8E" w:rsidRDefault="007B0DDA" w:rsidP="007B0DDA">
      <w:pPr>
        <w:rPr>
          <w:rFonts w:cs="Tahoma"/>
        </w:rPr>
      </w:pPr>
      <w:r w:rsidRPr="000A1C8E">
        <w:rPr>
          <w:rFonts w:cs="Tahoma"/>
          <w:color w:val="000000"/>
          <w:szCs w:val="20"/>
        </w:rPr>
        <w:t xml:space="preserve">Licença de Gerenciamento de Servidor Standard do System Center Operations Manager 2007 R2 </w:t>
      </w:r>
    </w:p>
    <w:p w:rsidR="007B0DDA" w:rsidRPr="000A1C8E" w:rsidRDefault="007B0DDA" w:rsidP="007B0DDA">
      <w:pPr>
        <w:rPr>
          <w:rFonts w:cs="Tahoma"/>
        </w:rPr>
      </w:pPr>
      <w:r w:rsidRPr="000A1C8E">
        <w:rPr>
          <w:rFonts w:cs="Tahoma"/>
          <w:color w:val="000000"/>
          <w:szCs w:val="20"/>
        </w:rPr>
        <w:t xml:space="preserve">Licença de Gerenciamento de Servidor Enterprise do System Center Operations Manager 2007 R2 </w:t>
      </w:r>
    </w:p>
    <w:p w:rsidR="007B0DDA" w:rsidRPr="000A1C8E" w:rsidRDefault="007B0DDA" w:rsidP="007B0DDA">
      <w:pPr>
        <w:rPr>
          <w:rFonts w:cs="Tahoma"/>
        </w:rPr>
      </w:pPr>
      <w:r w:rsidRPr="000A1C8E">
        <w:rPr>
          <w:rFonts w:cs="Tahoma"/>
          <w:color w:val="000000"/>
          <w:szCs w:val="20"/>
        </w:rPr>
        <w:t>Licença de Gerenciamento de Cliente do System Center Operations Manager 2007 R2 por OSE</w:t>
      </w:r>
    </w:p>
    <w:p w:rsidR="007B0DDA" w:rsidRPr="000A1C8E" w:rsidRDefault="007B0DDA" w:rsidP="007B0DDA">
      <w:pPr>
        <w:rPr>
          <w:rFonts w:cs="Tahoma"/>
        </w:rPr>
      </w:pPr>
      <w:r w:rsidRPr="000A1C8E">
        <w:rPr>
          <w:rFonts w:cs="Tahoma"/>
          <w:color w:val="000000"/>
          <w:szCs w:val="20"/>
        </w:rPr>
        <w:t>Licença de Gerenciamento de Cliente do System Center Operations Manager 2007 R2 por Usuário</w:t>
      </w:r>
    </w:p>
    <w:p w:rsidR="007B0DDA" w:rsidRPr="000A1C8E" w:rsidRDefault="007B0DDA" w:rsidP="007B0DDA">
      <w:pPr>
        <w:rPr>
          <w:rFonts w:cs="Tahoma"/>
        </w:rPr>
      </w:pPr>
      <w:r w:rsidRPr="000A1C8E">
        <w:rPr>
          <w:rFonts w:cs="Tahoma"/>
          <w:color w:val="000000"/>
          <w:szCs w:val="20"/>
        </w:rPr>
        <w:t xml:space="preserve">System Center Server Management Suite Enterprise </w:t>
      </w:r>
    </w:p>
    <w:p w:rsidR="007B0DDA" w:rsidRPr="000A1C8E" w:rsidRDefault="007B0DDA" w:rsidP="007B0DDA">
      <w:pPr>
        <w:rPr>
          <w:rFonts w:cs="Tahoma"/>
        </w:rPr>
      </w:pPr>
      <w:r w:rsidRPr="000A1C8E">
        <w:rPr>
          <w:rFonts w:cs="Tahoma"/>
          <w:color w:val="000000"/>
          <w:szCs w:val="20"/>
        </w:rPr>
        <w:t>System Center Server Management Suite Datacenter</w:t>
      </w:r>
    </w:p>
    <w:p w:rsidR="007B0DDA" w:rsidRPr="000A1C8E" w:rsidRDefault="007B0DDA" w:rsidP="007B0DDA">
      <w:pPr>
        <w:rPr>
          <w:rFonts w:cs="Tahoma"/>
        </w:rPr>
      </w:pPr>
      <w:r w:rsidRPr="000A1C8E">
        <w:rPr>
          <w:rFonts w:cs="Tahoma"/>
          <w:color w:val="000000"/>
          <w:szCs w:val="20"/>
        </w:rPr>
        <w:t>System Center Service Manager 2010</w:t>
      </w:r>
    </w:p>
    <w:p w:rsidR="007B0DDA" w:rsidRPr="000A1C8E" w:rsidRDefault="007B0DDA" w:rsidP="007B0DDA">
      <w:pPr>
        <w:rPr>
          <w:rFonts w:cs="Tahoma"/>
        </w:rPr>
      </w:pPr>
      <w:r w:rsidRPr="000A1C8E">
        <w:rPr>
          <w:rFonts w:cs="Tahoma"/>
          <w:color w:val="000000"/>
          <w:szCs w:val="20"/>
        </w:rPr>
        <w:t>System Center Service Manager 2010 com Tecnologia SQL Server 2008</w:t>
      </w:r>
    </w:p>
    <w:p w:rsidR="007B0DDA" w:rsidRPr="000A1C8E" w:rsidRDefault="007B0DDA" w:rsidP="007B0DDA">
      <w:pPr>
        <w:rPr>
          <w:rFonts w:cs="Tahoma"/>
        </w:rPr>
      </w:pPr>
      <w:r w:rsidRPr="000A1C8E">
        <w:rPr>
          <w:rFonts w:cs="Tahoma"/>
          <w:color w:val="000000"/>
          <w:szCs w:val="20"/>
        </w:rPr>
        <w:t>Licença de Gerenciamento de Cliente (ML de Cliente) do System Center Service Manager 2010 por OSE</w:t>
      </w:r>
    </w:p>
    <w:p w:rsidR="007B0DDA" w:rsidRPr="000A1C8E" w:rsidRDefault="007B0DDA" w:rsidP="007B0DDA">
      <w:pPr>
        <w:rPr>
          <w:rFonts w:cs="Tahoma"/>
        </w:rPr>
      </w:pPr>
      <w:r w:rsidRPr="000A1C8E">
        <w:rPr>
          <w:rFonts w:cs="Tahoma"/>
          <w:color w:val="000000"/>
          <w:szCs w:val="20"/>
        </w:rPr>
        <w:t>Licença de Gerenciamento de Cliente (ML de Cliente) do System Center Service Manager 2010 por Usuário</w:t>
      </w:r>
    </w:p>
    <w:p w:rsidR="007B0DDA" w:rsidRPr="000A1C8E" w:rsidRDefault="007B0DDA" w:rsidP="007B0DDA">
      <w:pPr>
        <w:rPr>
          <w:rFonts w:cs="Tahoma"/>
        </w:rPr>
      </w:pPr>
      <w:r w:rsidRPr="000A1C8E">
        <w:rPr>
          <w:rFonts w:cs="Tahoma"/>
          <w:color w:val="000000"/>
          <w:szCs w:val="20"/>
        </w:rPr>
        <w:t>Licença de Gerenciamento de Servidor (ML de Servidor) do System Center Service Manager 2010 por OSE</w:t>
      </w:r>
    </w:p>
    <w:p w:rsidR="007B0DDA" w:rsidRPr="000A1C8E" w:rsidRDefault="007B0DDA" w:rsidP="007B0DDA">
      <w:pPr>
        <w:rPr>
          <w:rFonts w:cs="Tahoma"/>
        </w:rPr>
      </w:pPr>
      <w:r w:rsidRPr="000A1C8E">
        <w:rPr>
          <w:rFonts w:cs="Tahoma"/>
          <w:color w:val="000000"/>
          <w:szCs w:val="20"/>
        </w:rPr>
        <w:t>Licença de Gerenciamento de Cliente do System Center Virtual Machine Manager 2008 R2 por OSE</w:t>
      </w:r>
    </w:p>
    <w:p w:rsidR="007B0DDA" w:rsidRPr="000A1C8E" w:rsidRDefault="007B0DDA" w:rsidP="007B0DDA">
      <w:pPr>
        <w:rPr>
          <w:rFonts w:cs="Tahoma"/>
        </w:rPr>
      </w:pPr>
      <w:r w:rsidRPr="000A1C8E">
        <w:rPr>
          <w:rFonts w:cs="Tahoma"/>
          <w:color w:val="000000"/>
          <w:szCs w:val="20"/>
        </w:rPr>
        <w:lastRenderedPageBreak/>
        <w:t>Licença de Gerenciamento de Cliente do System Center Virtual Machine Manager 2008 R2 por Usuário</w:t>
      </w:r>
    </w:p>
    <w:p w:rsidR="007B0DDA" w:rsidRPr="000A1C8E" w:rsidRDefault="007B0DDA" w:rsidP="007B0DDA">
      <w:pPr>
        <w:rPr>
          <w:rFonts w:cs="Tahoma"/>
        </w:rPr>
      </w:pPr>
      <w:r w:rsidRPr="000A1C8E">
        <w:rPr>
          <w:rFonts w:cs="Tahoma"/>
          <w:color w:val="000000"/>
          <w:szCs w:val="20"/>
        </w:rPr>
        <w:t>Licença de Gerenciamento de Servidor Enterprise do System Center Virtual Machine Manager 2008 R2</w:t>
      </w:r>
    </w:p>
    <w:p w:rsidR="007B0DDA" w:rsidRPr="000A1C8E" w:rsidRDefault="007B0DDA" w:rsidP="007B0DDA">
      <w:pPr>
        <w:rPr>
          <w:rFonts w:cs="Tahoma"/>
        </w:rPr>
      </w:pPr>
    </w:p>
    <w:p w:rsidR="007B0DDA" w:rsidRPr="000A1C8E" w:rsidRDefault="007B0DDA" w:rsidP="003E606C">
      <w:pPr>
        <w:spacing w:after="60"/>
        <w:rPr>
          <w:rFonts w:cs="Tahoma"/>
        </w:rPr>
      </w:pPr>
      <w:r w:rsidRPr="000A1C8E">
        <w:rPr>
          <w:rFonts w:cs="Tahoma"/>
          <w:b/>
        </w:rPr>
        <w:t>Exclusões</w:t>
      </w:r>
    </w:p>
    <w:p w:rsidR="007B0DDA" w:rsidRPr="000A1C8E" w:rsidRDefault="007B0DDA" w:rsidP="007B0DDA">
      <w:pPr>
        <w:rPr>
          <w:rFonts w:cs="Tahoma"/>
        </w:rPr>
      </w:pPr>
      <w:r w:rsidRPr="000A1C8E">
        <w:rPr>
          <w:rFonts w:cs="Tahoma"/>
          <w:color w:val="000000"/>
        </w:rPr>
        <w:t>System Center Mobile Device Manager 2008</w:t>
      </w:r>
    </w:p>
    <w:p w:rsidR="00B20EAC" w:rsidRPr="000A1C8E" w:rsidRDefault="00B20EAC" w:rsidP="007B0DDA">
      <w:pPr>
        <w:rPr>
          <w:rFonts w:cs="Tahoma"/>
        </w:rPr>
      </w:pPr>
      <w:r w:rsidRPr="000A1C8E">
        <w:rPr>
          <w:rFonts w:cs="Tahoma"/>
          <w:color w:val="000000"/>
        </w:rPr>
        <w:t>Database Consolidation Appliance 2012</w:t>
      </w:r>
    </w:p>
    <w:p w:rsidR="00593FBD" w:rsidRPr="000A1C8E" w:rsidRDefault="00593FBD" w:rsidP="00593FBD">
      <w:pPr>
        <w:ind w:right="720"/>
        <w:rPr>
          <w:rFonts w:cs="Tahoma"/>
        </w:rPr>
      </w:pPr>
    </w:p>
    <w:p w:rsidR="00A31A6D" w:rsidRPr="000A1C8E" w:rsidRDefault="00A31A6D" w:rsidP="00593FBD">
      <w:pPr>
        <w:ind w:right="720"/>
        <w:rPr>
          <w:rFonts w:cs="Tahoma"/>
        </w:rPr>
      </w:pPr>
    </w:p>
    <w:p w:rsidR="00593FBD" w:rsidRPr="000A1C8E" w:rsidRDefault="003D1247" w:rsidP="00593FBD">
      <w:pPr>
        <w:pStyle w:val="Heading2"/>
        <w:ind w:left="0"/>
        <w:jc w:val="both"/>
        <w:rPr>
          <w:rFonts w:ascii="Tahoma" w:hAnsi="Tahoma" w:cs="Tahoma"/>
        </w:rPr>
      </w:pPr>
      <w:bookmarkStart w:id="602" w:name="_Toc336338170"/>
      <w:bookmarkStart w:id="603" w:name="_Toc361829268"/>
      <w:r w:rsidRPr="000A1C8E">
        <w:rPr>
          <w:rFonts w:ascii="Tahoma" w:hAnsi="Tahoma" w:cs="Tahoma"/>
          <w:color w:val="FF6600"/>
        </w:rPr>
        <w:t>ALTERAÇÕES EM SETEMBRO DE 2012</w:t>
      </w:r>
      <w:bookmarkEnd w:id="602"/>
      <w:bookmarkEnd w:id="603"/>
    </w:p>
    <w:p w:rsidR="007B0DDA" w:rsidRPr="000A1C8E" w:rsidRDefault="007B0DDA">
      <w:pPr>
        <w:ind w:right="720"/>
        <w:rPr>
          <w:rFonts w:cs="Tahoma"/>
          <w:b/>
          <w:color w:val="F66400"/>
          <w:szCs w:val="20"/>
        </w:rPr>
      </w:pPr>
    </w:p>
    <w:p w:rsidR="00593FBD" w:rsidRPr="000A1C8E" w:rsidRDefault="00593FBD" w:rsidP="003E606C">
      <w:pPr>
        <w:spacing w:after="60"/>
        <w:rPr>
          <w:rFonts w:cs="Tahoma"/>
        </w:rPr>
      </w:pPr>
      <w:r w:rsidRPr="000A1C8E">
        <w:rPr>
          <w:rFonts w:cs="Tahoma"/>
          <w:b/>
        </w:rPr>
        <w:t>Adições</w:t>
      </w:r>
    </w:p>
    <w:p w:rsidR="00593FBD" w:rsidRPr="000A1C8E" w:rsidRDefault="00593FBD"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Professional 2012</w:t>
      </w:r>
    </w:p>
    <w:p w:rsidR="00593FBD" w:rsidRPr="000A1C8E" w:rsidRDefault="00593FBD"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Professional 2012 com MSDN</w:t>
      </w:r>
    </w:p>
    <w:p w:rsidR="00593FBD"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Premium 2012 com MSDN</w:t>
      </w:r>
    </w:p>
    <w:p w:rsidR="00CB0262"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Ultimate 2012 com MSDN</w:t>
      </w:r>
    </w:p>
    <w:p w:rsidR="00593FBD"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Test Professional 2012 com MSDN</w:t>
      </w:r>
    </w:p>
    <w:p w:rsidR="00593FBD"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Team Foundation Server 2012 com Tecnologia SQL Server 2012</w:t>
      </w:r>
    </w:p>
    <w:p w:rsidR="00CB0262" w:rsidRPr="000A1C8E" w:rsidRDefault="00CB0262" w:rsidP="00EF4590">
      <w:pPr>
        <w:rPr>
          <w:rFonts w:cs="Tahoma"/>
        </w:rPr>
      </w:pPr>
      <w:r w:rsidRPr="000A1C8E">
        <w:rPr>
          <w:rFonts w:cs="Tahoma"/>
          <w:color w:val="000000"/>
          <w:szCs w:val="20"/>
        </w:rPr>
        <w:t>CAL do Dispositivo do Visual Studio</w:t>
      </w:r>
      <w:r w:rsidR="00C83286" w:rsidRPr="000A1C8E">
        <w:rPr>
          <w:rFonts w:cs="Tahoma"/>
          <w:color w:val="000000"/>
          <w:szCs w:val="20"/>
          <w:vertAlign w:val="superscript"/>
        </w:rPr>
        <w:t>®</w:t>
      </w:r>
      <w:r w:rsidRPr="000A1C8E">
        <w:rPr>
          <w:rFonts w:cs="Tahoma"/>
          <w:color w:val="000000"/>
          <w:szCs w:val="20"/>
        </w:rPr>
        <w:t xml:space="preserve"> Team Foundation Server 2012</w:t>
      </w:r>
    </w:p>
    <w:p w:rsidR="00CB0262" w:rsidRPr="000A1C8E" w:rsidRDefault="00CB0262" w:rsidP="00EF4590">
      <w:pPr>
        <w:rPr>
          <w:rFonts w:cs="Tahoma"/>
        </w:rPr>
      </w:pPr>
      <w:r w:rsidRPr="000A1C8E">
        <w:rPr>
          <w:rFonts w:cs="Tahoma"/>
          <w:color w:val="000000"/>
          <w:szCs w:val="20"/>
        </w:rPr>
        <w:t>CAL do Usuário do Visual Studio</w:t>
      </w:r>
      <w:r w:rsidR="00C83286" w:rsidRPr="000A1C8E">
        <w:rPr>
          <w:rFonts w:cs="Tahoma"/>
          <w:color w:val="000000"/>
          <w:szCs w:val="20"/>
          <w:vertAlign w:val="superscript"/>
        </w:rPr>
        <w:t>®</w:t>
      </w:r>
      <w:r w:rsidRPr="000A1C8E">
        <w:rPr>
          <w:rFonts w:cs="Tahoma"/>
          <w:color w:val="000000"/>
          <w:szCs w:val="20"/>
        </w:rPr>
        <w:t xml:space="preserve"> Team Foundation Server 2012</w:t>
      </w:r>
    </w:p>
    <w:p w:rsidR="00CB0262" w:rsidRPr="000A1C8E" w:rsidRDefault="00CB0262" w:rsidP="00EF4590">
      <w:pPr>
        <w:rPr>
          <w:rFonts w:cs="Tahoma"/>
        </w:rPr>
      </w:pPr>
      <w:r w:rsidRPr="000A1C8E">
        <w:rPr>
          <w:rFonts w:cs="Tahoma"/>
          <w:color w:val="000000"/>
          <w:szCs w:val="20"/>
        </w:rPr>
        <w:t>External Connector do Visual Studio</w:t>
      </w:r>
      <w:r w:rsidR="00C83286" w:rsidRPr="000A1C8E">
        <w:rPr>
          <w:rFonts w:cs="Tahoma"/>
          <w:color w:val="000000"/>
          <w:szCs w:val="20"/>
          <w:vertAlign w:val="superscript"/>
        </w:rPr>
        <w:t>®</w:t>
      </w:r>
      <w:r w:rsidRPr="000A1C8E">
        <w:rPr>
          <w:rFonts w:cs="Tahoma"/>
          <w:color w:val="000000"/>
          <w:szCs w:val="20"/>
        </w:rPr>
        <w:t xml:space="preserve"> Team Foundation Server 2012</w:t>
      </w:r>
    </w:p>
    <w:p w:rsidR="00CB0262" w:rsidRPr="000A1C8E" w:rsidRDefault="00CB0262" w:rsidP="00EF4590">
      <w:pPr>
        <w:rPr>
          <w:rFonts w:cs="Tahoma"/>
        </w:rPr>
      </w:pPr>
      <w:r w:rsidRPr="000A1C8E">
        <w:rPr>
          <w:rFonts w:cs="Tahoma"/>
          <w:color w:val="000000"/>
          <w:szCs w:val="20"/>
        </w:rPr>
        <w:t>CAL do Windows Server™ 2012 (Dispositivo e Usuário)</w:t>
      </w:r>
    </w:p>
    <w:p w:rsidR="00CB0262" w:rsidRPr="000A1C8E" w:rsidRDefault="00CB0262" w:rsidP="00EF4590">
      <w:pPr>
        <w:rPr>
          <w:rFonts w:cs="Tahoma"/>
        </w:rPr>
      </w:pPr>
      <w:r w:rsidRPr="000A1C8E">
        <w:rPr>
          <w:rFonts w:cs="Tahoma"/>
          <w:color w:val="000000"/>
          <w:szCs w:val="20"/>
        </w:rPr>
        <w:t>Windows Server™ 2012 Datacenter</w:t>
      </w:r>
    </w:p>
    <w:p w:rsidR="00CB0262" w:rsidRPr="000A1C8E" w:rsidRDefault="00CB0262" w:rsidP="00EF4590">
      <w:pPr>
        <w:rPr>
          <w:rFonts w:cs="Tahoma"/>
        </w:rPr>
      </w:pPr>
      <w:r w:rsidRPr="000A1C8E">
        <w:rPr>
          <w:rFonts w:cs="Tahoma"/>
          <w:color w:val="000000"/>
          <w:szCs w:val="20"/>
        </w:rPr>
        <w:t>Windows Server™ 2012 Standard</w:t>
      </w:r>
    </w:p>
    <w:p w:rsidR="00CB0262" w:rsidRPr="000A1C8E" w:rsidRDefault="00CB0262" w:rsidP="00EF4590">
      <w:pPr>
        <w:rPr>
          <w:rFonts w:cs="Tahoma"/>
        </w:rPr>
      </w:pPr>
      <w:r w:rsidRPr="000A1C8E">
        <w:rPr>
          <w:rFonts w:cs="Tahoma"/>
          <w:color w:val="000000"/>
          <w:szCs w:val="20"/>
        </w:rPr>
        <w:t>External Connector do Windows Server™ 2012</w:t>
      </w:r>
    </w:p>
    <w:p w:rsidR="00CB0262" w:rsidRPr="000A1C8E" w:rsidRDefault="00CB0262" w:rsidP="00EF4590">
      <w:pPr>
        <w:rPr>
          <w:rFonts w:cs="Tahoma"/>
        </w:rPr>
      </w:pPr>
      <w:r w:rsidRPr="000A1C8E">
        <w:rPr>
          <w:rFonts w:cs="Tahoma"/>
          <w:color w:val="000000"/>
          <w:szCs w:val="20"/>
        </w:rPr>
        <w:t>CAL de Serviços de Área de Trabalho Remota do Windows Server™ 2012</w:t>
      </w:r>
    </w:p>
    <w:p w:rsidR="00CB0262" w:rsidRPr="000A1C8E" w:rsidRDefault="00CB0262" w:rsidP="00EF4590">
      <w:pPr>
        <w:rPr>
          <w:rFonts w:cs="Tahoma"/>
        </w:rPr>
      </w:pPr>
      <w:r w:rsidRPr="000A1C8E">
        <w:rPr>
          <w:rFonts w:cs="Tahoma"/>
          <w:color w:val="000000"/>
          <w:szCs w:val="20"/>
        </w:rPr>
        <w:t>External Connector dos Serviços de Área de Trabalho Remota do Windows Server™ 2012</w:t>
      </w:r>
    </w:p>
    <w:p w:rsidR="00CB0262" w:rsidRPr="000A1C8E" w:rsidRDefault="00CB0262" w:rsidP="00EF4590">
      <w:pPr>
        <w:rPr>
          <w:rFonts w:cs="Tahoma"/>
        </w:rPr>
      </w:pPr>
      <w:r w:rsidRPr="000A1C8E">
        <w:rPr>
          <w:rFonts w:cs="Tahoma"/>
          <w:color w:val="000000"/>
          <w:szCs w:val="20"/>
        </w:rPr>
        <w:t>CAL dos Serviços de Gerenciamento de Direitos do Windows Server™ 2012</w:t>
      </w:r>
    </w:p>
    <w:p w:rsidR="00CB0262" w:rsidRPr="000A1C8E" w:rsidRDefault="00CB0262" w:rsidP="00EF4590">
      <w:pPr>
        <w:rPr>
          <w:rFonts w:cs="Tahoma"/>
        </w:rPr>
      </w:pPr>
      <w:r w:rsidRPr="000A1C8E">
        <w:rPr>
          <w:rFonts w:cs="Tahoma"/>
          <w:color w:val="000000"/>
          <w:szCs w:val="20"/>
        </w:rPr>
        <w:t>External Connector dos Serviços de Gerenciamento de Direitos do Windows Server™ 2012</w:t>
      </w:r>
    </w:p>
    <w:p w:rsidR="00CB0262" w:rsidRPr="000A1C8E" w:rsidRDefault="0095607F" w:rsidP="00EF4590">
      <w:pPr>
        <w:rPr>
          <w:rFonts w:cs="Tahoma"/>
        </w:rPr>
      </w:pPr>
      <w:r w:rsidRPr="000A1C8E">
        <w:rPr>
          <w:rFonts w:cs="Tahoma"/>
          <w:color w:val="000000"/>
          <w:szCs w:val="18"/>
        </w:rPr>
        <w:t xml:space="preserve">CAL Aditiva Empresarial do Microsoft </w:t>
      </w:r>
      <w:r w:rsidRPr="000A1C8E">
        <w:rPr>
          <w:rFonts w:cs="Tahoma"/>
          <w:color w:val="000000"/>
          <w:szCs w:val="20"/>
        </w:rPr>
        <w:t>Dynamics AX 2012 (Usuário e Dispositivo)</w:t>
      </w:r>
    </w:p>
    <w:p w:rsidR="00CB0262" w:rsidRPr="000A1C8E" w:rsidRDefault="0095607F" w:rsidP="00EF4590">
      <w:pPr>
        <w:rPr>
          <w:rFonts w:cs="Tahoma"/>
        </w:rPr>
      </w:pPr>
      <w:r w:rsidRPr="000A1C8E">
        <w:rPr>
          <w:rFonts w:cs="Tahoma"/>
          <w:color w:val="000000"/>
          <w:szCs w:val="18"/>
        </w:rPr>
        <w:t xml:space="preserve">CAL Empresarial do Microsoft </w:t>
      </w:r>
      <w:r w:rsidRPr="000A1C8E">
        <w:rPr>
          <w:rFonts w:cs="Tahoma"/>
          <w:color w:val="000000"/>
          <w:szCs w:val="20"/>
        </w:rPr>
        <w:t>Dynamics AX 2012 (Usuário e Dispositivo)</w:t>
      </w:r>
    </w:p>
    <w:p w:rsidR="00CB0262" w:rsidRPr="000A1C8E" w:rsidRDefault="0095607F" w:rsidP="00EF4590">
      <w:pPr>
        <w:rPr>
          <w:rFonts w:cs="Tahoma"/>
        </w:rPr>
      </w:pPr>
      <w:r w:rsidRPr="000A1C8E">
        <w:rPr>
          <w:rFonts w:cs="Tahoma"/>
          <w:color w:val="000000"/>
          <w:szCs w:val="18"/>
        </w:rPr>
        <w:t xml:space="preserve">CAL Aditiva Funcional do Microsoft </w:t>
      </w:r>
      <w:r w:rsidRPr="000A1C8E">
        <w:rPr>
          <w:rFonts w:cs="Tahoma"/>
          <w:color w:val="000000"/>
          <w:szCs w:val="20"/>
        </w:rPr>
        <w:t>Dynamics AX 2012 (Usuário e Dispositivo)</w:t>
      </w:r>
    </w:p>
    <w:p w:rsidR="00CB0262" w:rsidRPr="000A1C8E" w:rsidRDefault="0095607F" w:rsidP="00EF4590">
      <w:pPr>
        <w:rPr>
          <w:rFonts w:cs="Tahoma"/>
        </w:rPr>
      </w:pPr>
      <w:r w:rsidRPr="000A1C8E">
        <w:rPr>
          <w:rFonts w:cs="Tahoma"/>
          <w:color w:val="000000"/>
          <w:szCs w:val="18"/>
        </w:rPr>
        <w:t xml:space="preserve">CAL Funcional do Microsoft </w:t>
      </w:r>
      <w:r w:rsidRPr="000A1C8E">
        <w:rPr>
          <w:rFonts w:cs="Tahoma"/>
          <w:color w:val="000000"/>
          <w:szCs w:val="20"/>
        </w:rPr>
        <w:t>Dynamics AX 2012 (Usuário e Dispositivo)</w:t>
      </w:r>
    </w:p>
    <w:p w:rsidR="00CB0262" w:rsidRPr="000A1C8E" w:rsidRDefault="0095607F" w:rsidP="00EF4590">
      <w:pPr>
        <w:rPr>
          <w:rFonts w:cs="Tahoma"/>
        </w:rPr>
      </w:pPr>
      <w:r w:rsidRPr="000A1C8E">
        <w:rPr>
          <w:rFonts w:cs="Tahoma"/>
          <w:color w:val="000000"/>
          <w:szCs w:val="18"/>
        </w:rPr>
        <w:t xml:space="preserve">CAL de Autoatendimento do Microsoft </w:t>
      </w:r>
      <w:r w:rsidRPr="000A1C8E">
        <w:rPr>
          <w:rFonts w:cs="Tahoma"/>
          <w:color w:val="000000"/>
          <w:szCs w:val="20"/>
        </w:rPr>
        <w:t>Dynamics AX 2012 (Usuário e Dispositivo)</w:t>
      </w:r>
    </w:p>
    <w:p w:rsidR="00CB0262" w:rsidRPr="000A1C8E" w:rsidRDefault="0095607F" w:rsidP="00EF4590">
      <w:pPr>
        <w:rPr>
          <w:rFonts w:cs="Tahoma"/>
        </w:rPr>
      </w:pPr>
      <w:r w:rsidRPr="000A1C8E">
        <w:rPr>
          <w:rFonts w:cs="Tahoma"/>
          <w:color w:val="000000"/>
          <w:szCs w:val="18"/>
        </w:rPr>
        <w:t xml:space="preserve">Microsoft </w:t>
      </w:r>
      <w:r w:rsidRPr="000A1C8E">
        <w:rPr>
          <w:rFonts w:cs="Tahoma"/>
          <w:color w:val="000000"/>
          <w:szCs w:val="20"/>
        </w:rPr>
        <w:t>Dynamics AX 2012 Server</w:t>
      </w:r>
    </w:p>
    <w:p w:rsidR="00CB0262" w:rsidRPr="000A1C8E" w:rsidRDefault="0095607F" w:rsidP="00EF4590">
      <w:pPr>
        <w:rPr>
          <w:rFonts w:cs="Tahoma"/>
        </w:rPr>
      </w:pPr>
      <w:r w:rsidRPr="000A1C8E">
        <w:rPr>
          <w:rFonts w:cs="Tahoma"/>
          <w:color w:val="000000"/>
          <w:szCs w:val="18"/>
        </w:rPr>
        <w:t xml:space="preserve">CAL Aditiva de Tarefa do Microsoft </w:t>
      </w:r>
      <w:r w:rsidRPr="000A1C8E">
        <w:rPr>
          <w:rFonts w:cs="Tahoma"/>
          <w:color w:val="000000"/>
          <w:szCs w:val="20"/>
        </w:rPr>
        <w:t>Dynamics AX 2012 (Usuário e Dispositivo)</w:t>
      </w:r>
    </w:p>
    <w:p w:rsidR="00CB0262" w:rsidRPr="000A1C8E" w:rsidRDefault="0095607F" w:rsidP="00EF4590">
      <w:pPr>
        <w:rPr>
          <w:rFonts w:cs="Tahoma"/>
        </w:rPr>
      </w:pPr>
      <w:r w:rsidRPr="000A1C8E">
        <w:rPr>
          <w:rFonts w:cs="Tahoma"/>
          <w:color w:val="000000"/>
          <w:szCs w:val="18"/>
        </w:rPr>
        <w:t xml:space="preserve">CAL de Tarefa do Microsoft </w:t>
      </w:r>
      <w:r w:rsidRPr="000A1C8E">
        <w:rPr>
          <w:rFonts w:cs="Tahoma"/>
          <w:color w:val="000000"/>
          <w:szCs w:val="20"/>
        </w:rPr>
        <w:t>Dynamics AX 2012 (Usuário e Dispositivo)</w:t>
      </w:r>
    </w:p>
    <w:p w:rsidR="00CB0262" w:rsidRPr="000A1C8E" w:rsidRDefault="00CB0262" w:rsidP="00EF4590">
      <w:pPr>
        <w:rPr>
          <w:rFonts w:cs="Tahoma"/>
        </w:rPr>
      </w:pPr>
      <w:r w:rsidRPr="000A1C8E">
        <w:rPr>
          <w:rFonts w:cs="Tahoma"/>
          <w:color w:val="000000"/>
          <w:szCs w:val="20"/>
        </w:rPr>
        <w:t>Windows 8 Enterprise Sideloading</w:t>
      </w:r>
    </w:p>
    <w:p w:rsidR="00CB0262" w:rsidRPr="000A1C8E" w:rsidRDefault="00CB0262" w:rsidP="00EF4590">
      <w:pPr>
        <w:rPr>
          <w:rFonts w:cs="Tahoma"/>
        </w:rPr>
      </w:pPr>
      <w:r w:rsidRPr="000A1C8E">
        <w:rPr>
          <w:rFonts w:cs="Tahoma"/>
          <w:color w:val="000000"/>
          <w:szCs w:val="20"/>
        </w:rPr>
        <w:t>Atualização do Windows 8 Pro</w:t>
      </w:r>
    </w:p>
    <w:p w:rsidR="00394D71" w:rsidRPr="000A1C8E" w:rsidRDefault="00394D71" w:rsidP="00EF4590">
      <w:pPr>
        <w:rPr>
          <w:rFonts w:cs="Tahoma"/>
        </w:rPr>
      </w:pPr>
      <w:r w:rsidRPr="000A1C8E">
        <w:rPr>
          <w:rFonts w:cs="Tahoma"/>
          <w:color w:val="000000"/>
          <w:szCs w:val="18"/>
        </w:rPr>
        <w:t>Windows 8 Pro com MDOP</w:t>
      </w:r>
    </w:p>
    <w:p w:rsidR="00CB0262" w:rsidRPr="000A1C8E" w:rsidRDefault="00CB0262" w:rsidP="00EF4590">
      <w:pPr>
        <w:rPr>
          <w:rFonts w:cs="Tahoma"/>
        </w:rPr>
      </w:pPr>
      <w:r w:rsidRPr="000A1C8E">
        <w:rPr>
          <w:rFonts w:cs="Tahoma"/>
          <w:color w:val="000000"/>
          <w:szCs w:val="20"/>
        </w:rPr>
        <w:t>Direitos de Locação para Windows</w:t>
      </w:r>
    </w:p>
    <w:p w:rsidR="00593FBD" w:rsidRPr="000A1C8E" w:rsidRDefault="00593FBD" w:rsidP="00EF4590">
      <w:pPr>
        <w:rPr>
          <w:rFonts w:cs="Tahoma"/>
        </w:rPr>
      </w:pPr>
    </w:p>
    <w:p w:rsidR="00593FBD" w:rsidRPr="000A1C8E" w:rsidRDefault="00593FBD" w:rsidP="003E606C">
      <w:pPr>
        <w:spacing w:after="60"/>
        <w:rPr>
          <w:rFonts w:cs="Tahoma"/>
        </w:rPr>
      </w:pPr>
      <w:r w:rsidRPr="000A1C8E">
        <w:rPr>
          <w:rFonts w:cs="Tahoma"/>
          <w:b/>
        </w:rPr>
        <w:t>Promoções</w:t>
      </w:r>
    </w:p>
    <w:p w:rsidR="00F84628" w:rsidRPr="000A1C8E" w:rsidRDefault="00F84628" w:rsidP="00F84628">
      <w:pPr>
        <w:rPr>
          <w:rFonts w:cs="Tahoma"/>
        </w:rPr>
      </w:pPr>
      <w:r w:rsidRPr="000A1C8E">
        <w:rPr>
          <w:rFonts w:cs="Tahoma"/>
          <w:color w:val="000000"/>
        </w:rPr>
        <w:t>As seguintes promoções foram adicionadas:</w:t>
      </w:r>
    </w:p>
    <w:p w:rsidR="00F84628" w:rsidRPr="000A1C8E" w:rsidRDefault="00F84628" w:rsidP="00F84628">
      <w:pPr>
        <w:rPr>
          <w:rFonts w:cs="Tahoma"/>
        </w:rPr>
      </w:pPr>
      <w:r w:rsidRPr="000A1C8E">
        <w:rPr>
          <w:rFonts w:eastAsia="Times New Roman" w:cs="Tahoma"/>
          <w:color w:val="000000"/>
          <w:szCs w:val="18"/>
        </w:rPr>
        <w:t>Promoção de Step-up do Windows Server Datacenter</w:t>
      </w:r>
    </w:p>
    <w:p w:rsidR="00F84628" w:rsidRPr="000A1C8E" w:rsidRDefault="00F84628" w:rsidP="00F84628">
      <w:pPr>
        <w:rPr>
          <w:rFonts w:cs="Tahoma"/>
        </w:rPr>
      </w:pPr>
      <w:r w:rsidRPr="000A1C8E">
        <w:rPr>
          <w:rFonts w:eastAsia="Times New Roman" w:cs="Tahoma"/>
          <w:color w:val="000000"/>
          <w:szCs w:val="18"/>
        </w:rPr>
        <w:t xml:space="preserve">Forefront Online Protection para Exchange </w:t>
      </w:r>
    </w:p>
    <w:p w:rsidR="00F84628" w:rsidRPr="000A1C8E" w:rsidRDefault="00F84628" w:rsidP="00F84628">
      <w:pPr>
        <w:rPr>
          <w:rFonts w:cs="Tahoma"/>
        </w:rPr>
      </w:pPr>
    </w:p>
    <w:p w:rsidR="00F84628" w:rsidRPr="000A1C8E" w:rsidRDefault="00F84628" w:rsidP="00F84628">
      <w:pPr>
        <w:outlineLvl w:val="1"/>
        <w:rPr>
          <w:rFonts w:cs="Tahoma"/>
        </w:rPr>
      </w:pPr>
      <w:r w:rsidRPr="000A1C8E">
        <w:rPr>
          <w:rFonts w:cs="Tahoma"/>
          <w:color w:val="000000"/>
          <w:szCs w:val="18"/>
        </w:rPr>
        <w:t>As seguintes promoções foram excluídas</w:t>
      </w:r>
    </w:p>
    <w:p w:rsidR="00F84628" w:rsidRPr="000A1C8E" w:rsidRDefault="00F84628" w:rsidP="00F84628">
      <w:pPr>
        <w:rPr>
          <w:rFonts w:cs="Tahoma"/>
        </w:rPr>
      </w:pPr>
      <w:r w:rsidRPr="000A1C8E">
        <w:rPr>
          <w:rFonts w:cs="Tahoma"/>
          <w:color w:val="000000"/>
        </w:rPr>
        <w:t>Promoção Enrollment for Core Infrastructure Standard Suite</w:t>
      </w:r>
    </w:p>
    <w:p w:rsidR="00F84628" w:rsidRPr="000A1C8E" w:rsidRDefault="00F84628" w:rsidP="00F84628">
      <w:pPr>
        <w:outlineLvl w:val="1"/>
        <w:rPr>
          <w:rFonts w:cs="Tahoma"/>
        </w:rPr>
      </w:pPr>
    </w:p>
    <w:p w:rsidR="00593FBD" w:rsidRPr="000A1C8E" w:rsidRDefault="00593FBD" w:rsidP="00F23DD6">
      <w:pPr>
        <w:keepNext/>
        <w:spacing w:after="60"/>
        <w:rPr>
          <w:rFonts w:cs="Tahoma"/>
        </w:rPr>
      </w:pPr>
      <w:r w:rsidRPr="000A1C8E">
        <w:rPr>
          <w:rFonts w:cs="Tahoma"/>
          <w:b/>
        </w:rPr>
        <w:t>Exclusões</w:t>
      </w:r>
    </w:p>
    <w:p w:rsidR="00B07E07" w:rsidRPr="000A1C8E" w:rsidRDefault="00B07E07" w:rsidP="00F23DD6">
      <w:pPr>
        <w:keepNext/>
        <w:rPr>
          <w:rFonts w:cs="Tahoma"/>
        </w:rPr>
      </w:pPr>
      <w:r w:rsidRPr="000A1C8E">
        <w:rPr>
          <w:rFonts w:cs="Tahoma"/>
          <w:color w:val="000000"/>
          <w:szCs w:val="20"/>
        </w:rPr>
        <w:t>Tellme Basic (Taxa)</w:t>
      </w:r>
    </w:p>
    <w:p w:rsidR="00B07E07" w:rsidRPr="000A1C8E" w:rsidRDefault="00B07E07" w:rsidP="00EF4590">
      <w:pPr>
        <w:rPr>
          <w:rFonts w:cs="Tahoma"/>
        </w:rPr>
      </w:pPr>
      <w:r w:rsidRPr="000A1C8E">
        <w:rPr>
          <w:rFonts w:cs="Tahoma"/>
          <w:color w:val="000000"/>
          <w:szCs w:val="20"/>
        </w:rPr>
        <w:t>Tellme Standard (Taxa)</w:t>
      </w:r>
    </w:p>
    <w:p w:rsidR="00B07E07" w:rsidRPr="000A1C8E" w:rsidRDefault="00B07E07" w:rsidP="00EF4590">
      <w:pPr>
        <w:rPr>
          <w:rFonts w:cs="Tahoma"/>
        </w:rPr>
      </w:pPr>
      <w:r w:rsidRPr="000A1C8E">
        <w:rPr>
          <w:rFonts w:cs="Tahoma"/>
          <w:color w:val="000000"/>
          <w:szCs w:val="20"/>
        </w:rPr>
        <w:t>Tellme Premium (Taxa)</w:t>
      </w:r>
    </w:p>
    <w:p w:rsidR="00B07E07" w:rsidRPr="000A1C8E" w:rsidRDefault="00B07E07" w:rsidP="00EF4590">
      <w:pPr>
        <w:rPr>
          <w:rFonts w:cs="Tahoma"/>
        </w:rPr>
      </w:pPr>
      <w:r w:rsidRPr="000A1C8E">
        <w:rPr>
          <w:rFonts w:cs="Tahoma"/>
          <w:color w:val="000000"/>
          <w:szCs w:val="20"/>
        </w:rPr>
        <w:t>Tellme Basic (SL de Serviços)</w:t>
      </w:r>
    </w:p>
    <w:p w:rsidR="00B07E07" w:rsidRPr="000A1C8E" w:rsidRDefault="00B07E07" w:rsidP="00EF4590">
      <w:pPr>
        <w:rPr>
          <w:rFonts w:cs="Tahoma"/>
        </w:rPr>
      </w:pPr>
      <w:r w:rsidRPr="000A1C8E">
        <w:rPr>
          <w:rFonts w:cs="Tahoma"/>
          <w:color w:val="000000"/>
          <w:szCs w:val="20"/>
        </w:rPr>
        <w:t>Tellme Standard (SL de Serviços)</w:t>
      </w:r>
    </w:p>
    <w:p w:rsidR="00B07E07" w:rsidRPr="000A1C8E" w:rsidRDefault="00B07E07" w:rsidP="00EF4590">
      <w:pPr>
        <w:rPr>
          <w:rFonts w:cs="Tahoma"/>
        </w:rPr>
      </w:pPr>
      <w:r w:rsidRPr="000A1C8E">
        <w:rPr>
          <w:rFonts w:cs="Tahoma"/>
          <w:color w:val="000000"/>
          <w:szCs w:val="20"/>
        </w:rPr>
        <w:t>Tellme Premium (SL de Serviços)</w:t>
      </w:r>
    </w:p>
    <w:p w:rsidR="003F704E" w:rsidRPr="000A1C8E" w:rsidRDefault="003F704E" w:rsidP="00EF4590">
      <w:pPr>
        <w:rPr>
          <w:rFonts w:cs="Tahoma"/>
        </w:rPr>
      </w:pPr>
      <w:r w:rsidRPr="000A1C8E">
        <w:rPr>
          <w:rFonts w:cs="Tahoma"/>
          <w:color w:val="000000"/>
          <w:szCs w:val="20"/>
        </w:rPr>
        <w:t>Minutos excedentes do Tellme (Taxa)</w:t>
      </w:r>
    </w:p>
    <w:p w:rsidR="00593FBD"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2010 Professional</w:t>
      </w:r>
    </w:p>
    <w:p w:rsidR="00593FBD" w:rsidRPr="000A1C8E" w:rsidRDefault="00CB0262" w:rsidP="00EF4590">
      <w:pPr>
        <w:rPr>
          <w:rFonts w:cs="Tahoma"/>
        </w:rPr>
      </w:pPr>
      <w:r w:rsidRPr="000A1C8E">
        <w:rPr>
          <w:rFonts w:cs="Tahoma"/>
          <w:color w:val="000000"/>
          <w:szCs w:val="20"/>
        </w:rPr>
        <w:lastRenderedPageBreak/>
        <w:t>Visual Studio</w:t>
      </w:r>
      <w:r w:rsidR="00C83286" w:rsidRPr="000A1C8E">
        <w:rPr>
          <w:rFonts w:cs="Tahoma"/>
          <w:color w:val="000000"/>
          <w:szCs w:val="20"/>
          <w:vertAlign w:val="superscript"/>
        </w:rPr>
        <w:t>®</w:t>
      </w:r>
      <w:r w:rsidRPr="000A1C8E">
        <w:rPr>
          <w:rFonts w:cs="Tahoma"/>
          <w:color w:val="000000"/>
          <w:szCs w:val="20"/>
        </w:rPr>
        <w:t xml:space="preserve"> 2010 Professional with MSDN</w:t>
      </w:r>
    </w:p>
    <w:p w:rsidR="00CB0262"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2010 Professional with MSDN Embedded</w:t>
      </w:r>
    </w:p>
    <w:p w:rsidR="00CB0262"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2010 Premium</w:t>
      </w:r>
    </w:p>
    <w:p w:rsidR="00CB0262"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2010 Premium com MSDN</w:t>
      </w:r>
    </w:p>
    <w:p w:rsidR="00CB0262"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2010 Ultimate</w:t>
      </w:r>
    </w:p>
    <w:p w:rsidR="00CB0262"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2010 Ultimate com MSDN</w:t>
      </w:r>
    </w:p>
    <w:p w:rsidR="00CB0262" w:rsidRPr="000A1C8E" w:rsidRDefault="00CB0262"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Test Professional 2010</w:t>
      </w:r>
    </w:p>
    <w:p w:rsidR="00CB0262" w:rsidRPr="000A1C8E" w:rsidRDefault="00101CDD"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Test Professional 2010 com MSDN</w:t>
      </w:r>
    </w:p>
    <w:p w:rsidR="00CB0262" w:rsidRPr="000A1C8E" w:rsidRDefault="00101CDD"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LightSwitch 2011</w:t>
      </w:r>
    </w:p>
    <w:p w:rsidR="00CB0262" w:rsidRPr="000A1C8E" w:rsidRDefault="00101CDD"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Load Test Virtual User Pack 2010</w:t>
      </w:r>
    </w:p>
    <w:p w:rsidR="00CB0262" w:rsidRPr="000A1C8E" w:rsidRDefault="00101CDD" w:rsidP="00EF4590">
      <w:pPr>
        <w:rPr>
          <w:rFonts w:cs="Tahoma"/>
        </w:rPr>
      </w:pPr>
      <w:r w:rsidRPr="000A1C8E">
        <w:rPr>
          <w:rFonts w:cs="Tahoma"/>
          <w:color w:val="000000"/>
          <w:szCs w:val="20"/>
        </w:rPr>
        <w:t>Visual Studio</w:t>
      </w:r>
      <w:r w:rsidR="00C83286" w:rsidRPr="000A1C8E">
        <w:rPr>
          <w:rFonts w:cs="Tahoma"/>
          <w:color w:val="000000"/>
          <w:szCs w:val="20"/>
          <w:vertAlign w:val="superscript"/>
        </w:rPr>
        <w:t>®</w:t>
      </w:r>
      <w:r w:rsidRPr="000A1C8E">
        <w:rPr>
          <w:rFonts w:cs="Tahoma"/>
          <w:color w:val="000000"/>
          <w:szCs w:val="20"/>
        </w:rPr>
        <w:t xml:space="preserve"> Team Foundation Server 2010 com Tecnologia SQL Server 2008</w:t>
      </w:r>
    </w:p>
    <w:p w:rsidR="00CB0262" w:rsidRPr="000A1C8E" w:rsidRDefault="00101CDD" w:rsidP="00EF4590">
      <w:pPr>
        <w:rPr>
          <w:rFonts w:cs="Tahoma"/>
        </w:rPr>
      </w:pPr>
      <w:r w:rsidRPr="000A1C8E">
        <w:rPr>
          <w:rFonts w:cs="Tahoma"/>
          <w:color w:val="000000"/>
          <w:szCs w:val="20"/>
        </w:rPr>
        <w:t>CAL do Dispositivo do Visual Studio</w:t>
      </w:r>
      <w:r w:rsidR="00C83286" w:rsidRPr="000A1C8E">
        <w:rPr>
          <w:rFonts w:cs="Tahoma"/>
          <w:color w:val="000000"/>
          <w:szCs w:val="20"/>
          <w:vertAlign w:val="superscript"/>
        </w:rPr>
        <w:t>®</w:t>
      </w:r>
      <w:r w:rsidRPr="000A1C8E">
        <w:rPr>
          <w:rFonts w:cs="Tahoma"/>
          <w:color w:val="000000"/>
          <w:szCs w:val="20"/>
        </w:rPr>
        <w:t xml:space="preserve"> Team Foundation Server 2010</w:t>
      </w:r>
    </w:p>
    <w:p w:rsidR="00CB0262" w:rsidRPr="000A1C8E" w:rsidRDefault="00101CDD" w:rsidP="00EF4590">
      <w:pPr>
        <w:rPr>
          <w:rFonts w:cs="Tahoma"/>
        </w:rPr>
      </w:pPr>
      <w:r w:rsidRPr="000A1C8E">
        <w:rPr>
          <w:rFonts w:cs="Tahoma"/>
          <w:color w:val="000000"/>
          <w:szCs w:val="20"/>
        </w:rPr>
        <w:t>CAL do Usuário do Visual Studio</w:t>
      </w:r>
      <w:r w:rsidR="00C83286" w:rsidRPr="000A1C8E">
        <w:rPr>
          <w:rFonts w:cs="Tahoma"/>
          <w:color w:val="000000"/>
          <w:szCs w:val="20"/>
          <w:vertAlign w:val="superscript"/>
        </w:rPr>
        <w:t>®</w:t>
      </w:r>
      <w:r w:rsidRPr="000A1C8E">
        <w:rPr>
          <w:rFonts w:cs="Tahoma"/>
          <w:color w:val="000000"/>
          <w:szCs w:val="20"/>
        </w:rPr>
        <w:t xml:space="preserve"> Team Foundation Server 2010</w:t>
      </w:r>
    </w:p>
    <w:p w:rsidR="00CB0262" w:rsidRPr="000A1C8E" w:rsidRDefault="00101CDD" w:rsidP="00EF4590">
      <w:pPr>
        <w:rPr>
          <w:rFonts w:cs="Tahoma"/>
        </w:rPr>
      </w:pPr>
      <w:r w:rsidRPr="000A1C8E">
        <w:rPr>
          <w:rFonts w:cs="Tahoma"/>
          <w:color w:val="000000"/>
          <w:szCs w:val="20"/>
        </w:rPr>
        <w:t>External Connector do Visual Studio</w:t>
      </w:r>
      <w:r w:rsidR="00C83286" w:rsidRPr="000A1C8E">
        <w:rPr>
          <w:rFonts w:cs="Tahoma"/>
          <w:color w:val="000000"/>
          <w:szCs w:val="20"/>
          <w:vertAlign w:val="superscript"/>
        </w:rPr>
        <w:t>®</w:t>
      </w:r>
      <w:r w:rsidRPr="000A1C8E">
        <w:rPr>
          <w:rFonts w:cs="Tahoma"/>
          <w:color w:val="000000"/>
          <w:szCs w:val="20"/>
        </w:rPr>
        <w:t xml:space="preserve"> Team Foundation Server 2010</w:t>
      </w:r>
    </w:p>
    <w:p w:rsidR="00101CDD" w:rsidRPr="000A1C8E" w:rsidRDefault="00101CDD" w:rsidP="00EF4590">
      <w:pPr>
        <w:rPr>
          <w:rFonts w:cs="Tahoma"/>
        </w:rPr>
      </w:pPr>
      <w:r w:rsidRPr="000A1C8E">
        <w:rPr>
          <w:rFonts w:cs="Tahoma"/>
          <w:color w:val="000000"/>
          <w:szCs w:val="20"/>
        </w:rPr>
        <w:t>CAL do Windows Server™ 2008 (Dispositivo e Usuário)</w:t>
      </w:r>
    </w:p>
    <w:p w:rsidR="00CB0262" w:rsidRPr="000A1C8E" w:rsidRDefault="00101CDD" w:rsidP="00EF4590">
      <w:pPr>
        <w:rPr>
          <w:rFonts w:cs="Tahoma"/>
        </w:rPr>
      </w:pPr>
      <w:r w:rsidRPr="000A1C8E">
        <w:rPr>
          <w:rFonts w:cs="Tahoma"/>
          <w:color w:val="000000"/>
          <w:szCs w:val="20"/>
        </w:rPr>
        <w:t>Windows Server™ 2008 R2 HPC Edition</w:t>
      </w:r>
    </w:p>
    <w:p w:rsidR="00101CDD" w:rsidRPr="000A1C8E" w:rsidRDefault="00101CDD" w:rsidP="00EF4590">
      <w:pPr>
        <w:rPr>
          <w:rFonts w:cs="Tahoma"/>
        </w:rPr>
      </w:pPr>
      <w:r w:rsidRPr="000A1C8E">
        <w:rPr>
          <w:rFonts w:cs="Tahoma"/>
          <w:color w:val="000000"/>
          <w:szCs w:val="20"/>
        </w:rPr>
        <w:t>Windows Server™ 2008 R2 Datacenter</w:t>
      </w:r>
    </w:p>
    <w:p w:rsidR="00CB0262" w:rsidRPr="000A1C8E" w:rsidRDefault="00101CDD" w:rsidP="00EF4590">
      <w:pPr>
        <w:rPr>
          <w:rFonts w:cs="Tahoma"/>
        </w:rPr>
      </w:pPr>
      <w:r w:rsidRPr="000A1C8E">
        <w:rPr>
          <w:rFonts w:cs="Tahoma"/>
          <w:color w:val="000000"/>
          <w:szCs w:val="20"/>
        </w:rPr>
        <w:t>Windows Server™ 2008 R2 Enterprise</w:t>
      </w:r>
    </w:p>
    <w:p w:rsidR="00101CDD" w:rsidRPr="000A1C8E" w:rsidRDefault="00101CDD" w:rsidP="00EF4590">
      <w:pPr>
        <w:rPr>
          <w:rFonts w:cs="Tahoma"/>
        </w:rPr>
      </w:pPr>
      <w:r w:rsidRPr="000A1C8E">
        <w:rPr>
          <w:rFonts w:cs="Tahoma"/>
          <w:color w:val="000000"/>
          <w:szCs w:val="20"/>
        </w:rPr>
        <w:t>Windows Server™ 2008 R2 Itanium Based Systems</w:t>
      </w:r>
    </w:p>
    <w:p w:rsidR="00101CDD" w:rsidRPr="000A1C8E" w:rsidRDefault="00101CDD" w:rsidP="00EF4590">
      <w:pPr>
        <w:rPr>
          <w:rFonts w:cs="Tahoma"/>
        </w:rPr>
      </w:pPr>
      <w:r w:rsidRPr="000A1C8E">
        <w:rPr>
          <w:rFonts w:cs="Tahoma"/>
          <w:color w:val="000000"/>
          <w:szCs w:val="20"/>
        </w:rPr>
        <w:t>Windows Server™ 2008 R2 Standard</w:t>
      </w:r>
    </w:p>
    <w:p w:rsidR="00CB0262" w:rsidRPr="000A1C8E" w:rsidRDefault="00101CDD" w:rsidP="00EF4590">
      <w:pPr>
        <w:rPr>
          <w:rFonts w:cs="Tahoma"/>
        </w:rPr>
      </w:pPr>
      <w:r w:rsidRPr="000A1C8E">
        <w:rPr>
          <w:rFonts w:cs="Tahoma"/>
          <w:color w:val="000000"/>
          <w:szCs w:val="20"/>
        </w:rPr>
        <w:t>External Connector do Windows Server™ 2008</w:t>
      </w:r>
    </w:p>
    <w:p w:rsidR="00CB0262" w:rsidRPr="000A1C8E" w:rsidRDefault="00101CDD" w:rsidP="00EF4590">
      <w:pPr>
        <w:rPr>
          <w:rFonts w:cs="Tahoma"/>
        </w:rPr>
      </w:pPr>
      <w:r w:rsidRPr="000A1C8E">
        <w:rPr>
          <w:rFonts w:cs="Tahoma"/>
          <w:color w:val="000000"/>
          <w:szCs w:val="20"/>
        </w:rPr>
        <w:t>CAL de Serviços de Área de Trabalho Remota do Windows Server™ 2008</w:t>
      </w:r>
    </w:p>
    <w:p w:rsidR="00101CDD" w:rsidRPr="000A1C8E" w:rsidRDefault="00101CDD" w:rsidP="00EF4590">
      <w:pPr>
        <w:rPr>
          <w:rFonts w:cs="Tahoma"/>
        </w:rPr>
      </w:pPr>
      <w:r w:rsidRPr="000A1C8E">
        <w:rPr>
          <w:rFonts w:cs="Tahoma"/>
          <w:color w:val="000000"/>
          <w:szCs w:val="20"/>
        </w:rPr>
        <w:t>External Connector dos Serviços de Área de Trabalho Remota do Windows Server™ 2008</w:t>
      </w:r>
    </w:p>
    <w:p w:rsidR="00101CDD" w:rsidRPr="000A1C8E" w:rsidRDefault="00101CDD" w:rsidP="00EF4590">
      <w:pPr>
        <w:rPr>
          <w:rFonts w:cs="Tahoma"/>
        </w:rPr>
      </w:pPr>
      <w:r w:rsidRPr="000A1C8E">
        <w:rPr>
          <w:rFonts w:cs="Tahoma"/>
          <w:color w:val="000000"/>
          <w:szCs w:val="20"/>
        </w:rPr>
        <w:t>CAL dos Serviços de Gerenciamento de Direitos do Windows Server™ 2008</w:t>
      </w:r>
    </w:p>
    <w:p w:rsidR="00101CDD" w:rsidRPr="000A1C8E" w:rsidRDefault="00101CDD" w:rsidP="00EF4590">
      <w:pPr>
        <w:rPr>
          <w:rFonts w:cs="Tahoma"/>
        </w:rPr>
      </w:pPr>
      <w:r w:rsidRPr="000A1C8E">
        <w:rPr>
          <w:rFonts w:cs="Tahoma"/>
          <w:color w:val="000000"/>
          <w:szCs w:val="20"/>
        </w:rPr>
        <w:t>External Connector dos Serviços de Gerenciamento de Direitos do Windows Server™ 2008</w:t>
      </w:r>
    </w:p>
    <w:p w:rsidR="00101CDD" w:rsidRPr="000A1C8E" w:rsidRDefault="00101CDD" w:rsidP="00EF4590">
      <w:pPr>
        <w:rPr>
          <w:rFonts w:cs="Tahoma"/>
        </w:rPr>
      </w:pPr>
      <w:r w:rsidRPr="000A1C8E">
        <w:rPr>
          <w:rFonts w:cs="Tahoma"/>
          <w:color w:val="000000"/>
          <w:szCs w:val="20"/>
        </w:rPr>
        <w:t>Windows Web Server 2008 R2</w:t>
      </w:r>
    </w:p>
    <w:p w:rsidR="00101CDD" w:rsidRPr="000A1C8E" w:rsidRDefault="00101CDD" w:rsidP="00EF4590">
      <w:pPr>
        <w:rPr>
          <w:rFonts w:cs="Tahoma"/>
        </w:rPr>
      </w:pPr>
      <w:r w:rsidRPr="000A1C8E">
        <w:rPr>
          <w:rFonts w:cs="Tahoma"/>
          <w:color w:val="000000"/>
          <w:szCs w:val="20"/>
        </w:rPr>
        <w:t>HPC Pack 2008 R2 Enterprise</w:t>
      </w:r>
    </w:p>
    <w:p w:rsidR="00101CDD" w:rsidRPr="000A1C8E" w:rsidRDefault="00101CDD" w:rsidP="00EF4590">
      <w:pPr>
        <w:rPr>
          <w:rFonts w:cs="Tahoma"/>
        </w:rPr>
      </w:pPr>
      <w:r w:rsidRPr="000A1C8E">
        <w:rPr>
          <w:rFonts w:cs="Tahoma"/>
          <w:color w:val="000000"/>
          <w:szCs w:val="20"/>
        </w:rPr>
        <w:t>HPC Pack 2008 R2 para Workstation</w:t>
      </w:r>
    </w:p>
    <w:p w:rsidR="00101CDD" w:rsidRPr="000A1C8E" w:rsidRDefault="00101CDD" w:rsidP="00EF4590">
      <w:pPr>
        <w:rPr>
          <w:rFonts w:cs="Tahoma"/>
        </w:rPr>
      </w:pPr>
      <w:r w:rsidRPr="000A1C8E">
        <w:rPr>
          <w:rFonts w:cs="Tahoma"/>
          <w:color w:val="000000"/>
          <w:szCs w:val="20"/>
        </w:rPr>
        <w:t>Windows HPC Server 2008 R2 Suite</w:t>
      </w:r>
    </w:p>
    <w:p w:rsidR="00101CDD" w:rsidRPr="000A1C8E" w:rsidRDefault="00101CDD" w:rsidP="00EF4590">
      <w:pPr>
        <w:rPr>
          <w:rFonts w:cs="Tahoma"/>
        </w:rPr>
      </w:pPr>
      <w:r w:rsidRPr="000A1C8E">
        <w:rPr>
          <w:rFonts w:cs="Tahoma"/>
          <w:color w:val="000000"/>
          <w:szCs w:val="20"/>
        </w:rPr>
        <w:t>Win Starter 7</w:t>
      </w:r>
    </w:p>
    <w:p w:rsidR="00101CDD" w:rsidRPr="000A1C8E" w:rsidRDefault="00101CDD" w:rsidP="00EF4590">
      <w:pPr>
        <w:rPr>
          <w:rFonts w:cs="Tahoma"/>
        </w:rPr>
      </w:pPr>
      <w:r w:rsidRPr="000A1C8E">
        <w:rPr>
          <w:rFonts w:cs="Tahoma"/>
          <w:color w:val="000000"/>
          <w:szCs w:val="20"/>
        </w:rPr>
        <w:t>Atualização para Win 7 Professional</w:t>
      </w:r>
    </w:p>
    <w:p w:rsidR="00EB4DA8" w:rsidRPr="000A1C8E" w:rsidRDefault="001253FF" w:rsidP="00F23DD6">
      <w:pPr>
        <w:rPr>
          <w:rFonts w:cs="Tahoma"/>
        </w:rPr>
      </w:pPr>
      <w:r w:rsidRPr="000A1C8E">
        <w:rPr>
          <w:rFonts w:cs="Tahoma"/>
          <w:color w:val="000000"/>
          <w:szCs w:val="18"/>
        </w:rPr>
        <w:t>Windows 7 Professional com MDOP</w:t>
      </w:r>
    </w:p>
    <w:p w:rsidR="00023FE7" w:rsidRPr="000A1C8E" w:rsidRDefault="00EF4590" w:rsidP="00B939A4">
      <w:pPr>
        <w:rPr>
          <w:rFonts w:cs="Tahoma"/>
        </w:rPr>
      </w:pPr>
      <w:r w:rsidRPr="000A1C8E">
        <w:rPr>
          <w:rFonts w:cs="Tahoma"/>
        </w:rPr>
        <w:br w:type="page"/>
      </w:r>
      <w:bookmarkStart w:id="604" w:name="_Toc336338180"/>
      <w:bookmarkStart w:id="605" w:name="_Toc361829269"/>
      <w:r w:rsidRPr="000A1C8E">
        <w:rPr>
          <w:rStyle w:val="Heading1Char"/>
          <w:rFonts w:cs="Tahoma"/>
        </w:rPr>
        <w:lastRenderedPageBreak/>
        <w:t>Seção 2 – promoções de ProdutoS</w:t>
      </w:r>
      <w:bookmarkEnd w:id="604"/>
      <w:bookmarkEnd w:id="605"/>
    </w:p>
    <w:p w:rsidR="00023FE7" w:rsidRPr="000A1C8E" w:rsidRDefault="00023FE7" w:rsidP="00510F6B">
      <w:pPr>
        <w:ind w:right="720"/>
        <w:rPr>
          <w:rFonts w:cs="Tahoma"/>
          <w:color w:val="000000"/>
          <w:sz w:val="24"/>
        </w:rPr>
      </w:pPr>
    </w:p>
    <w:p w:rsidR="00187499" w:rsidRPr="000A1C8E" w:rsidRDefault="00187499" w:rsidP="00187499">
      <w:pPr>
        <w:pStyle w:val="Heading2"/>
        <w:ind w:left="0"/>
        <w:rPr>
          <w:rFonts w:ascii="Tahoma" w:hAnsi="Tahoma" w:cs="Tahoma"/>
        </w:rPr>
      </w:pPr>
      <w:bookmarkStart w:id="606" w:name="_Toc361829270"/>
      <w:bookmarkStart w:id="607" w:name="_Toc336338182"/>
      <w:r w:rsidRPr="000A1C8E">
        <w:rPr>
          <w:rFonts w:ascii="Tahoma" w:hAnsi="Tahoma" w:cs="Tahoma"/>
          <w:color w:val="FF9429"/>
        </w:rPr>
        <w:t>Microsoft Dynamics AX 2012 R2 - Promoção de Introdução ao EA</w:t>
      </w:r>
      <w:bookmarkEnd w:id="606"/>
    </w:p>
    <w:p w:rsidR="00B33F0B" w:rsidRPr="000A1C8E" w:rsidRDefault="00B33F0B" w:rsidP="00B33F0B">
      <w:pPr>
        <w:rPr>
          <w:rFonts w:cs="Tahoma"/>
        </w:rPr>
      </w:pPr>
    </w:p>
    <w:bookmarkEnd w:id="607"/>
    <w:p w:rsidR="001D214E" w:rsidRPr="000A1C8E" w:rsidRDefault="001D214E" w:rsidP="001D214E">
      <w:pPr>
        <w:spacing w:after="200" w:line="276" w:lineRule="auto"/>
        <w:rPr>
          <w:rFonts w:cs="Tahoma"/>
        </w:rPr>
      </w:pPr>
      <w:r w:rsidRPr="000A1C8E">
        <w:rPr>
          <w:rFonts w:cs="Tahoma"/>
        </w:rPr>
        <w:t xml:space="preserve">Como uma oferta por tempo limitado de </w:t>
      </w:r>
      <w:r w:rsidRPr="000A1C8E">
        <w:rPr>
          <w:rFonts w:eastAsia="Calibri" w:cs="Tahoma"/>
          <w:szCs w:val="18"/>
        </w:rPr>
        <w:t>1o. de março de 2013 a 31 de dezembro de 2013, a Microsoft oferece 3</w:t>
      </w:r>
      <w:r w:rsidR="003A2AEE" w:rsidRPr="000A1C8E">
        <w:rPr>
          <w:rFonts w:eastAsia="Calibri" w:cs="Tahoma"/>
          <w:szCs w:val="18"/>
        </w:rPr>
        <w:t> </w:t>
      </w:r>
      <w:r w:rsidRPr="000A1C8E">
        <w:rPr>
          <w:rFonts w:eastAsia="Calibri" w:cs="Tahoma"/>
          <w:szCs w:val="18"/>
        </w:rPr>
        <w:t>(três) CALs Empresariais e 50 (cinquenta) CALs de Autoatendimento com a aquisição da primeira licença do Microsoft Dynamics AX</w:t>
      </w:r>
      <w:r w:rsidRPr="000A1C8E">
        <w:rPr>
          <w:rFonts w:cs="Tahoma"/>
        </w:rPr>
        <w:t xml:space="preserve"> 2012 </w:t>
      </w:r>
      <w:r w:rsidRPr="000A1C8E">
        <w:rPr>
          <w:rFonts w:eastAsia="Calibri" w:cs="Tahoma"/>
          <w:szCs w:val="18"/>
        </w:rPr>
        <w:t>R2 Server.</w:t>
      </w:r>
      <w:r w:rsidR="00DC6D8B" w:rsidRPr="000A1C8E">
        <w:rPr>
          <w:rFonts w:cs="Tahoma"/>
        </w:rPr>
        <w:t xml:space="preserve"> </w:t>
      </w:r>
      <w:r w:rsidRPr="000A1C8E">
        <w:rPr>
          <w:rFonts w:cs="Tahoma"/>
        </w:rPr>
        <w:t xml:space="preserve">Essa promoção está disponível </w:t>
      </w:r>
      <w:r w:rsidRPr="000A1C8E">
        <w:rPr>
          <w:rFonts w:eastAsia="Calibri" w:cs="Tahoma"/>
          <w:szCs w:val="18"/>
        </w:rPr>
        <w:t xml:space="preserve">somente </w:t>
      </w:r>
      <w:r w:rsidRPr="000A1C8E">
        <w:rPr>
          <w:rFonts w:cs="Tahoma"/>
        </w:rPr>
        <w:t>nos programas de licenciamento Microsoft Enterprise Agreement</w:t>
      </w:r>
      <w:r w:rsidRPr="000A1C8E">
        <w:rPr>
          <w:rFonts w:eastAsia="Calibri" w:cs="Tahoma"/>
          <w:szCs w:val="18"/>
        </w:rPr>
        <w:t xml:space="preserve">. </w:t>
      </w:r>
    </w:p>
    <w:p w:rsidR="00187499" w:rsidRPr="000A1C8E" w:rsidRDefault="00187499" w:rsidP="00B33F0B">
      <w:pPr>
        <w:spacing w:after="200" w:line="276" w:lineRule="auto"/>
        <w:rPr>
          <w:rFonts w:cs="Tahoma"/>
        </w:rPr>
      </w:pPr>
      <w:r w:rsidRPr="000A1C8E">
        <w:rPr>
          <w:rFonts w:eastAsia="Calibri" w:cs="Tahoma"/>
          <w:szCs w:val="18"/>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bookmarkStart w:id="608" w:name="_Toc336338183"/>
      <w:r w:rsidRPr="000A1C8E">
        <w:rPr>
          <w:rFonts w:eastAsia="Calibri" w:cs="Tahoma"/>
          <w:szCs w:val="18"/>
        </w:rPr>
        <w:t>O direito de usar o software outorgado expirará quando o direito</w:t>
      </w:r>
      <w:r w:rsidR="003A2AEE" w:rsidRPr="000A1C8E">
        <w:rPr>
          <w:rFonts w:eastAsia="Calibri" w:cs="Tahoma"/>
          <w:szCs w:val="18"/>
        </w:rPr>
        <w:t> </w:t>
      </w:r>
      <w:r w:rsidRPr="000A1C8E">
        <w:rPr>
          <w:rFonts w:eastAsia="Calibri" w:cs="Tahoma"/>
          <w:szCs w:val="18"/>
        </w:rPr>
        <w:t>de usar o software de acordo com a licença qualificada do Microsoft Dynamics AX 2012 R2 Server expirar. A</w:t>
      </w:r>
      <w:r w:rsidR="003A2AEE" w:rsidRPr="000A1C8E">
        <w:rPr>
          <w:rFonts w:eastAsia="Calibri" w:cs="Tahoma"/>
          <w:szCs w:val="18"/>
        </w:rPr>
        <w:t> </w:t>
      </w:r>
      <w:r w:rsidRPr="000A1C8E">
        <w:rPr>
          <w:rFonts w:eastAsia="Calibri" w:cs="Tahoma"/>
          <w:szCs w:val="18"/>
        </w:rPr>
        <w:t>evidência da licença do Servidor qualificada e esta Nota do Produto evidenciarão o direito do cliente de usar as licenças do Microsoft Dynamics AX 2012 R2 sob os termos desta oferta. Os clientes não poderão transferir as licenças outorgadas sob esta oferta separadamente das licenças qualificadas correspondentes.</w:t>
      </w:r>
    </w:p>
    <w:bookmarkEnd w:id="608"/>
    <w:p w:rsidR="00491DAC" w:rsidRPr="000A1C8E" w:rsidRDefault="00491DAC" w:rsidP="00491DAC">
      <w:pPr>
        <w:spacing w:after="200" w:line="276" w:lineRule="auto"/>
        <w:rPr>
          <w:rFonts w:cs="Tahoma"/>
        </w:rPr>
      </w:pPr>
      <w:r w:rsidRPr="000A1C8E">
        <w:rPr>
          <w:rFonts w:cs="Tahoma"/>
          <w:color w:val="000000"/>
        </w:rPr>
        <w:t>Programas Plus, WAP, ECI e Open Value.</w:t>
      </w:r>
    </w:p>
    <w:p w:rsidR="00676723" w:rsidRPr="000A1C8E" w:rsidRDefault="00676723">
      <w:pPr>
        <w:rPr>
          <w:rFonts w:cs="Tahoma"/>
        </w:rPr>
      </w:pPr>
      <w:r w:rsidRPr="000A1C8E">
        <w:rPr>
          <w:rFonts w:cs="Tahoma"/>
          <w:color w:val="000000"/>
        </w:rPr>
        <w:br w:type="page"/>
      </w:r>
    </w:p>
    <w:p w:rsidR="00023FE7" w:rsidRPr="000A1C8E" w:rsidRDefault="00714962" w:rsidP="0033459E">
      <w:pPr>
        <w:pStyle w:val="Heading1"/>
        <w:rPr>
          <w:rFonts w:cs="Tahoma"/>
        </w:rPr>
      </w:pPr>
      <w:bookmarkStart w:id="609" w:name="_Toc336338188"/>
      <w:bookmarkStart w:id="610" w:name="_Toc361829271"/>
      <w:r w:rsidRPr="000A1C8E">
        <w:rPr>
          <w:rFonts w:cs="Tahoma"/>
        </w:rPr>
        <w:lastRenderedPageBreak/>
        <w:t>SEÇÃO 3 – TERMOS do Programa de Licenciamento por Volume</w:t>
      </w:r>
      <w:bookmarkEnd w:id="609"/>
      <w:bookmarkEnd w:id="610"/>
    </w:p>
    <w:p w:rsidR="00E64551" w:rsidRPr="000A1C8E" w:rsidRDefault="00E64551" w:rsidP="00456002">
      <w:pPr>
        <w:pStyle w:val="Heading3"/>
        <w:ind w:right="720"/>
        <w:rPr>
          <w:rFonts w:ascii="Tahoma" w:hAnsi="Tahoma" w:cs="Tahoma"/>
          <w:sz w:val="24"/>
          <w:szCs w:val="22"/>
        </w:rPr>
      </w:pPr>
      <w:bookmarkStart w:id="611" w:name="_Toc323159724"/>
    </w:p>
    <w:p w:rsidR="00456002" w:rsidRPr="000A1C8E" w:rsidRDefault="00456002" w:rsidP="003E606C">
      <w:pPr>
        <w:pStyle w:val="Heading3"/>
        <w:ind w:right="720"/>
        <w:rPr>
          <w:rFonts w:ascii="Tahoma" w:hAnsi="Tahoma" w:cs="Tahoma"/>
        </w:rPr>
      </w:pPr>
      <w:bookmarkStart w:id="612" w:name="_Toc336338189"/>
      <w:bookmarkStart w:id="613" w:name="_Toc361829272"/>
      <w:r w:rsidRPr="000A1C8E">
        <w:rPr>
          <w:rFonts w:ascii="Tahoma" w:hAnsi="Tahoma" w:cs="Tahoma"/>
          <w:sz w:val="24"/>
          <w:szCs w:val="22"/>
        </w:rPr>
        <w:t>Programas de Licenciamento por Volume Aplicáveis</w:t>
      </w:r>
      <w:bookmarkEnd w:id="612"/>
      <w:bookmarkEnd w:id="613"/>
      <w:r w:rsidRPr="000A1C8E">
        <w:rPr>
          <w:rFonts w:ascii="Tahoma" w:hAnsi="Tahoma" w:cs="Tahoma"/>
          <w:sz w:val="22"/>
        </w:rPr>
        <w:t xml:space="preserve"> </w:t>
      </w:r>
      <w:bookmarkEnd w:id="611"/>
    </w:p>
    <w:p w:rsidR="00E64551" w:rsidRPr="000A1C8E" w:rsidRDefault="00E64551" w:rsidP="003E606C">
      <w:pPr>
        <w:rPr>
          <w:rFonts w:cs="Tahoma"/>
        </w:rPr>
      </w:pPr>
    </w:p>
    <w:p w:rsidR="00456002" w:rsidRPr="000A1C8E" w:rsidRDefault="00456002" w:rsidP="00456002">
      <w:pPr>
        <w:rPr>
          <w:rFonts w:cs="Tahoma"/>
        </w:rPr>
      </w:pPr>
      <w:r w:rsidRPr="000A1C8E">
        <w:rPr>
          <w:rFonts w:cs="Tahoma"/>
        </w:rPr>
        <w:t>Esta seção se aplica aos seguintes Programas de Licenciamento por Volume, inclusive as versões Academic, Charity e Government, onde aplicável.</w:t>
      </w:r>
    </w:p>
    <w:p w:rsidR="00510F6B" w:rsidRPr="000A1C8E" w:rsidRDefault="00510F6B" w:rsidP="00456002">
      <w:pPr>
        <w:rPr>
          <w:rFonts w:cs="Tahoma"/>
        </w:rPr>
      </w:pPr>
    </w:p>
    <w:p w:rsidR="00456002" w:rsidRPr="000A1C8E" w:rsidRDefault="00456002" w:rsidP="00822871">
      <w:pPr>
        <w:numPr>
          <w:ilvl w:val="0"/>
          <w:numId w:val="19"/>
        </w:numPr>
        <w:spacing w:after="60"/>
        <w:rPr>
          <w:rFonts w:cs="Tahoma"/>
        </w:rPr>
      </w:pPr>
      <w:r w:rsidRPr="000A1C8E">
        <w:rPr>
          <w:rFonts w:cs="Tahoma"/>
        </w:rPr>
        <w:t>Licença Open</w:t>
      </w:r>
    </w:p>
    <w:p w:rsidR="00456002" w:rsidRPr="000A1C8E" w:rsidRDefault="00456002" w:rsidP="00822871">
      <w:pPr>
        <w:numPr>
          <w:ilvl w:val="0"/>
          <w:numId w:val="19"/>
        </w:numPr>
        <w:spacing w:after="60"/>
        <w:rPr>
          <w:rFonts w:cs="Tahoma"/>
        </w:rPr>
      </w:pPr>
      <w:r w:rsidRPr="000A1C8E">
        <w:rPr>
          <w:rFonts w:cs="Tahoma"/>
        </w:rPr>
        <w:t xml:space="preserve">Open Value </w:t>
      </w:r>
    </w:p>
    <w:p w:rsidR="00456002" w:rsidRPr="000A1C8E" w:rsidRDefault="00456002" w:rsidP="00822871">
      <w:pPr>
        <w:numPr>
          <w:ilvl w:val="0"/>
          <w:numId w:val="19"/>
        </w:numPr>
        <w:spacing w:after="60"/>
        <w:rPr>
          <w:rFonts w:cs="Tahoma"/>
        </w:rPr>
      </w:pPr>
      <w:r w:rsidRPr="000A1C8E">
        <w:rPr>
          <w:rFonts w:cs="Tahoma"/>
        </w:rPr>
        <w:t xml:space="preserve">Open Value Subscription </w:t>
      </w:r>
    </w:p>
    <w:p w:rsidR="00456002" w:rsidRPr="000A1C8E" w:rsidRDefault="00456002" w:rsidP="00822871">
      <w:pPr>
        <w:numPr>
          <w:ilvl w:val="0"/>
          <w:numId w:val="19"/>
        </w:numPr>
        <w:spacing w:after="60"/>
        <w:rPr>
          <w:rFonts w:cs="Tahoma"/>
        </w:rPr>
      </w:pPr>
      <w:r w:rsidRPr="000A1C8E">
        <w:rPr>
          <w:rFonts w:cs="Tahoma"/>
        </w:rPr>
        <w:t xml:space="preserve">Select </w:t>
      </w:r>
    </w:p>
    <w:p w:rsidR="00456002" w:rsidRPr="000A1C8E" w:rsidRDefault="00456002" w:rsidP="00822871">
      <w:pPr>
        <w:numPr>
          <w:ilvl w:val="0"/>
          <w:numId w:val="19"/>
        </w:numPr>
        <w:spacing w:after="60"/>
        <w:rPr>
          <w:rFonts w:cs="Tahoma"/>
        </w:rPr>
      </w:pPr>
      <w:r w:rsidRPr="000A1C8E">
        <w:rPr>
          <w:rFonts w:cs="Tahoma"/>
        </w:rPr>
        <w:t xml:space="preserve">Select Plus </w:t>
      </w:r>
    </w:p>
    <w:p w:rsidR="0091793D" w:rsidRPr="000A1C8E" w:rsidRDefault="00F84FA6" w:rsidP="00822871">
      <w:pPr>
        <w:numPr>
          <w:ilvl w:val="0"/>
          <w:numId w:val="19"/>
        </w:numPr>
        <w:spacing w:after="60"/>
        <w:rPr>
          <w:rFonts w:cs="Tahoma"/>
        </w:rPr>
      </w:pPr>
      <w:r w:rsidRPr="000A1C8E">
        <w:rPr>
          <w:rFonts w:cs="Tahoma"/>
          <w:szCs w:val="18"/>
        </w:rPr>
        <w:t xml:space="preserve">Contrato Enterprise </w:t>
      </w:r>
    </w:p>
    <w:p w:rsidR="0091793D" w:rsidRPr="000A1C8E" w:rsidRDefault="00F84FA6" w:rsidP="00822871">
      <w:pPr>
        <w:numPr>
          <w:ilvl w:val="0"/>
          <w:numId w:val="19"/>
        </w:numPr>
        <w:spacing w:after="60"/>
        <w:rPr>
          <w:rFonts w:cs="Tahoma"/>
        </w:rPr>
      </w:pPr>
      <w:r w:rsidRPr="000A1C8E">
        <w:rPr>
          <w:rFonts w:cs="Tahoma"/>
          <w:szCs w:val="18"/>
        </w:rPr>
        <w:t>Contrato Enterprise Subscription</w:t>
      </w:r>
      <w:r w:rsidRPr="000A1C8E">
        <w:rPr>
          <w:rFonts w:cs="Tahoma"/>
          <w:color w:val="000000"/>
          <w:szCs w:val="18"/>
        </w:rPr>
        <w:t xml:space="preserve"> </w:t>
      </w:r>
    </w:p>
    <w:p w:rsidR="0091793D" w:rsidRPr="000A1C8E" w:rsidRDefault="0091793D" w:rsidP="0091793D">
      <w:pPr>
        <w:pStyle w:val="Heading3"/>
        <w:ind w:right="720"/>
        <w:rPr>
          <w:rFonts w:ascii="Tahoma" w:hAnsi="Tahoma" w:cs="Tahoma"/>
          <w:b w:val="0"/>
          <w:sz w:val="18"/>
          <w:szCs w:val="22"/>
        </w:rPr>
      </w:pPr>
    </w:p>
    <w:p w:rsidR="0091793D" w:rsidRPr="000A1C8E" w:rsidRDefault="0091793D" w:rsidP="003E606C">
      <w:pPr>
        <w:pStyle w:val="Heading3"/>
        <w:ind w:right="720"/>
        <w:rPr>
          <w:rFonts w:ascii="Tahoma" w:hAnsi="Tahoma" w:cs="Tahoma"/>
        </w:rPr>
      </w:pPr>
      <w:bookmarkStart w:id="614" w:name="_Toc336338190"/>
      <w:bookmarkStart w:id="615" w:name="_Toc361829273"/>
      <w:r w:rsidRPr="000A1C8E">
        <w:rPr>
          <w:rFonts w:ascii="Tahoma" w:hAnsi="Tahoma" w:cs="Tahoma"/>
          <w:sz w:val="24"/>
          <w:szCs w:val="22"/>
        </w:rPr>
        <w:t>Pontos e pedidos mínimos</w:t>
      </w:r>
      <w:bookmarkEnd w:id="614"/>
      <w:bookmarkEnd w:id="615"/>
    </w:p>
    <w:p w:rsidR="00BA4C27" w:rsidRPr="000A1C8E" w:rsidRDefault="00BA4C27" w:rsidP="003E606C">
      <w:pPr>
        <w:rPr>
          <w:rFonts w:cs="Tahoma"/>
        </w:rPr>
      </w:pPr>
    </w:p>
    <w:p w:rsidR="00BA4C27" w:rsidRPr="000A1C8E" w:rsidRDefault="00BA4C27" w:rsidP="00BA4C27">
      <w:pPr>
        <w:pStyle w:val="AppendixBodyText"/>
        <w:ind w:right="720"/>
        <w:rPr>
          <w:rFonts w:ascii="Tahoma" w:hAnsi="Tahoma" w:cs="Tahoma"/>
        </w:rPr>
      </w:pPr>
      <w:r w:rsidRPr="000A1C8E">
        <w:rPr>
          <w:rFonts w:ascii="Tahoma" w:hAnsi="Tahoma" w:cs="Tahoma"/>
          <w:sz w:val="18"/>
        </w:rPr>
        <w:t>As opções de Select, Select Plus e Licença Open apresentam uma contagem de “Pontos” que indica o valor em pontos atribuído pela Microsoft a cada licença. Essas contagens de pontos são usadas para calcular a categoria de preço de volume aplicável ao contrato de um cliente. Quando uma contagem de pontos “0” é atribuída a determinado produto, isso significa que ele é oferecido no programa especificado, mas seu valor em pontos é zero.</w:t>
      </w:r>
      <w:r w:rsidR="00DC6D8B" w:rsidRPr="000A1C8E">
        <w:rPr>
          <w:rFonts w:ascii="Tahoma" w:hAnsi="Tahoma" w:cs="Tahoma"/>
          <w:sz w:val="18"/>
        </w:rPr>
        <w:t xml:space="preserve"> </w:t>
      </w:r>
      <w:r w:rsidRPr="000A1C8E">
        <w:rPr>
          <w:rFonts w:ascii="Tahoma" w:hAnsi="Tahoma" w:cs="Tahoma"/>
          <w:sz w:val="18"/>
        </w:rPr>
        <w:t>A seguir, está uma atribuição de contagens unitárias para licenças para o requisito de pedido mínimo de Assinatura Open/Open Value/Open Value Subscription:</w:t>
      </w:r>
    </w:p>
    <w:p w:rsidR="00E64551" w:rsidRPr="000A1C8E" w:rsidRDefault="00E64551" w:rsidP="00E64551">
      <w:pPr>
        <w:pStyle w:val="AppendixBodyText"/>
        <w:ind w:right="720"/>
        <w:rPr>
          <w:rFonts w:ascii="Tahoma" w:hAnsi="Tahoma" w:cs="Tahoma"/>
        </w:rPr>
      </w:pPr>
    </w:p>
    <w:p w:rsidR="00456002" w:rsidRPr="000A1C8E" w:rsidRDefault="00456002" w:rsidP="00822871">
      <w:pPr>
        <w:numPr>
          <w:ilvl w:val="0"/>
          <w:numId w:val="19"/>
        </w:numPr>
        <w:spacing w:after="60"/>
        <w:rPr>
          <w:rFonts w:cs="Tahoma"/>
        </w:rPr>
      </w:pPr>
      <w:r w:rsidRPr="000A1C8E">
        <w:rPr>
          <w:rFonts w:cs="Tahoma"/>
        </w:rPr>
        <w:t xml:space="preserve">Licença Padrão: 1 licença </w:t>
      </w:r>
    </w:p>
    <w:p w:rsidR="00456002" w:rsidRPr="000A1C8E" w:rsidRDefault="00456002" w:rsidP="00822871">
      <w:pPr>
        <w:numPr>
          <w:ilvl w:val="0"/>
          <w:numId w:val="19"/>
        </w:numPr>
        <w:spacing w:after="60"/>
        <w:rPr>
          <w:rFonts w:cs="Tahoma"/>
        </w:rPr>
      </w:pPr>
      <w:r w:rsidRPr="000A1C8E">
        <w:rPr>
          <w:rFonts w:cs="Tahoma"/>
        </w:rPr>
        <w:t xml:space="preserve">Atualização: 1 licença </w:t>
      </w:r>
    </w:p>
    <w:p w:rsidR="00456002" w:rsidRPr="000A1C8E" w:rsidRDefault="00456002" w:rsidP="00822871">
      <w:pPr>
        <w:numPr>
          <w:ilvl w:val="0"/>
          <w:numId w:val="19"/>
        </w:numPr>
        <w:spacing w:after="60"/>
        <w:rPr>
          <w:rFonts w:cs="Tahoma"/>
        </w:rPr>
      </w:pPr>
      <w:r w:rsidRPr="000A1C8E">
        <w:rPr>
          <w:rFonts w:cs="Tahoma"/>
        </w:rPr>
        <w:t xml:space="preserve">Software Assurance: 1 licença </w:t>
      </w:r>
    </w:p>
    <w:p w:rsidR="00456002" w:rsidRPr="000A1C8E" w:rsidRDefault="00456002" w:rsidP="00822871">
      <w:pPr>
        <w:numPr>
          <w:ilvl w:val="0"/>
          <w:numId w:val="19"/>
        </w:numPr>
        <w:spacing w:after="60"/>
        <w:rPr>
          <w:rFonts w:cs="Tahoma"/>
        </w:rPr>
      </w:pPr>
      <w:r w:rsidRPr="000A1C8E">
        <w:rPr>
          <w:rFonts w:cs="Tahoma"/>
        </w:rPr>
        <w:t xml:space="preserve">Licença e Software Assurance: 2 licenças </w:t>
      </w:r>
    </w:p>
    <w:p w:rsidR="00456002" w:rsidRPr="000A1C8E" w:rsidRDefault="00456002" w:rsidP="00822871">
      <w:pPr>
        <w:numPr>
          <w:ilvl w:val="0"/>
          <w:numId w:val="19"/>
        </w:numPr>
        <w:spacing w:after="60"/>
        <w:rPr>
          <w:rFonts w:cs="Tahoma"/>
        </w:rPr>
      </w:pPr>
      <w:r w:rsidRPr="000A1C8E">
        <w:rPr>
          <w:rFonts w:cs="Tahoma"/>
        </w:rPr>
        <w:t>Atualização e Software Assurance: 2 licenças</w:t>
      </w:r>
    </w:p>
    <w:p w:rsidR="00456002" w:rsidRPr="000A1C8E" w:rsidRDefault="00456002" w:rsidP="00822871">
      <w:pPr>
        <w:numPr>
          <w:ilvl w:val="0"/>
          <w:numId w:val="19"/>
        </w:numPr>
        <w:spacing w:after="60"/>
        <w:rPr>
          <w:rFonts w:cs="Tahoma"/>
        </w:rPr>
      </w:pPr>
      <w:r w:rsidRPr="000A1C8E">
        <w:rPr>
          <w:rFonts w:cs="Tahoma"/>
        </w:rPr>
        <w:t xml:space="preserve">Licença Work-at-Home: 1 licença </w:t>
      </w:r>
    </w:p>
    <w:p w:rsidR="00456002" w:rsidRPr="000A1C8E" w:rsidRDefault="00456002" w:rsidP="00822871">
      <w:pPr>
        <w:numPr>
          <w:ilvl w:val="0"/>
          <w:numId w:val="19"/>
        </w:numPr>
        <w:spacing w:after="60"/>
        <w:rPr>
          <w:rFonts w:cs="Tahoma"/>
        </w:rPr>
      </w:pPr>
      <w:r w:rsidRPr="000A1C8E">
        <w:rPr>
          <w:rFonts w:cs="Tahoma"/>
        </w:rPr>
        <w:t>Licença Step-up: 1 licença</w:t>
      </w:r>
    </w:p>
    <w:p w:rsidR="00456002" w:rsidRPr="000A1C8E" w:rsidRDefault="002435BA" w:rsidP="00822871">
      <w:pPr>
        <w:numPr>
          <w:ilvl w:val="0"/>
          <w:numId w:val="19"/>
        </w:numPr>
        <w:spacing w:after="60"/>
        <w:rPr>
          <w:rFonts w:cs="Tahoma"/>
        </w:rPr>
      </w:pPr>
      <w:r w:rsidRPr="000A1C8E">
        <w:rPr>
          <w:rFonts w:cs="Tahoma"/>
        </w:rPr>
        <w:t>Valores: 1 licença</w:t>
      </w:r>
    </w:p>
    <w:p w:rsidR="00456002" w:rsidRPr="000A1C8E" w:rsidRDefault="00456002" w:rsidP="00822871">
      <w:pPr>
        <w:numPr>
          <w:ilvl w:val="0"/>
          <w:numId w:val="19"/>
        </w:numPr>
        <w:spacing w:after="60"/>
        <w:rPr>
          <w:rFonts w:cs="Tahoma"/>
        </w:rPr>
      </w:pPr>
      <w:r w:rsidRPr="000A1C8E">
        <w:rPr>
          <w:rFonts w:cs="Tahoma"/>
        </w:rPr>
        <w:t>Licença de Assinatura: 1 licença</w:t>
      </w:r>
    </w:p>
    <w:p w:rsidR="00456002" w:rsidRPr="000A1C8E" w:rsidRDefault="00456002" w:rsidP="00E64551">
      <w:pPr>
        <w:pStyle w:val="Heading2"/>
        <w:ind w:left="0"/>
        <w:rPr>
          <w:rFonts w:ascii="Tahoma" w:hAnsi="Tahoma" w:cs="Tahoma"/>
          <w:b w:val="0"/>
          <w:sz w:val="18"/>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2464F4" w:rsidRPr="000A1C8E" w:rsidRDefault="002464F4" w:rsidP="002464F4">
      <w:pPr>
        <w:rPr>
          <w:rFonts w:cs="Tahoma"/>
        </w:rPr>
      </w:pPr>
    </w:p>
    <w:p w:rsidR="00E64551" w:rsidRPr="000A1C8E" w:rsidRDefault="00456002" w:rsidP="002464F4">
      <w:pPr>
        <w:pStyle w:val="Heading2"/>
        <w:ind w:left="0"/>
        <w:rPr>
          <w:rFonts w:ascii="Tahoma" w:hAnsi="Tahoma" w:cs="Tahoma"/>
        </w:rPr>
      </w:pPr>
      <w:bookmarkStart w:id="616" w:name="_Toc336338191"/>
      <w:bookmarkStart w:id="617" w:name="_Toc361829274"/>
      <w:bookmarkStart w:id="618" w:name="_Toc323159726"/>
      <w:r w:rsidRPr="000A1C8E">
        <w:rPr>
          <w:rFonts w:ascii="Tahoma" w:hAnsi="Tahoma" w:cs="Tahoma"/>
        </w:rPr>
        <w:lastRenderedPageBreak/>
        <w:t>Requisitos Mínimos de Pedidos</w:t>
      </w:r>
      <w:bookmarkEnd w:id="616"/>
      <w:bookmarkEnd w:id="617"/>
    </w:p>
    <w:bookmarkEnd w:id="618"/>
    <w:p w:rsidR="00456002" w:rsidRPr="000A1C8E"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58" w:type="dxa"/>
        </w:tblCellMar>
        <w:tblLook w:val="04A0" w:firstRow="1" w:lastRow="0" w:firstColumn="1" w:lastColumn="0" w:noHBand="0" w:noVBand="1"/>
      </w:tblPr>
      <w:tblGrid>
        <w:gridCol w:w="7"/>
        <w:gridCol w:w="2250"/>
        <w:gridCol w:w="6959"/>
        <w:gridCol w:w="7"/>
      </w:tblGrid>
      <w:tr w:rsidR="00456002" w:rsidRPr="000A1C8E" w:rsidTr="003700AD">
        <w:trPr>
          <w:gridAfter w:val="1"/>
          <w:wAfter w:w="7" w:type="dxa"/>
          <w:tblHeader/>
        </w:trPr>
        <w:tc>
          <w:tcPr>
            <w:tcW w:w="2257" w:type="dxa"/>
            <w:gridSpan w:val="2"/>
            <w:shd w:val="clear" w:color="auto" w:fill="FABF8F"/>
          </w:tcPr>
          <w:p w:rsidR="00456002" w:rsidRPr="000A1C8E" w:rsidRDefault="00456002" w:rsidP="005C647E">
            <w:pPr>
              <w:pStyle w:val="AppendixBodyText"/>
              <w:ind w:right="720"/>
              <w:jc w:val="center"/>
              <w:rPr>
                <w:rFonts w:ascii="Tahoma" w:hAnsi="Tahoma" w:cs="Tahoma"/>
                <w:b/>
                <w:color w:val="000000"/>
                <w:sz w:val="22"/>
                <w:szCs w:val="18"/>
                <w:lang w:eastAsia="ja-JP"/>
              </w:rPr>
            </w:pPr>
            <w:r w:rsidRPr="000A1C8E">
              <w:rPr>
                <w:rFonts w:ascii="Tahoma" w:hAnsi="Tahoma" w:cs="Tahoma"/>
                <w:b/>
                <w:color w:val="000000"/>
                <w:sz w:val="22"/>
                <w:szCs w:val="18"/>
              </w:rPr>
              <w:t>Programas</w:t>
            </w:r>
          </w:p>
        </w:tc>
        <w:tc>
          <w:tcPr>
            <w:tcW w:w="6959" w:type="dxa"/>
            <w:shd w:val="clear" w:color="auto" w:fill="FABF8F"/>
          </w:tcPr>
          <w:p w:rsidR="00456002" w:rsidRPr="000A1C8E" w:rsidRDefault="00456002" w:rsidP="005C647E">
            <w:pPr>
              <w:pStyle w:val="AppendixBodyText"/>
              <w:ind w:right="720"/>
              <w:jc w:val="center"/>
              <w:rPr>
                <w:rFonts w:ascii="Tahoma" w:hAnsi="Tahoma" w:cs="Tahoma"/>
                <w:b/>
                <w:color w:val="000000"/>
                <w:sz w:val="22"/>
                <w:szCs w:val="18"/>
                <w:lang w:eastAsia="ja-JP"/>
              </w:rPr>
            </w:pPr>
            <w:r w:rsidRPr="000A1C8E">
              <w:rPr>
                <w:rFonts w:ascii="Tahoma" w:hAnsi="Tahoma" w:cs="Tahoma"/>
                <w:b/>
                <w:color w:val="000000"/>
                <w:sz w:val="22"/>
                <w:szCs w:val="18"/>
              </w:rPr>
              <w:t>Requisitos Mínimos de Pedidos</w:t>
            </w:r>
          </w:p>
        </w:tc>
      </w:tr>
      <w:tr w:rsidR="00456002" w:rsidRPr="000A1C8E" w:rsidTr="003700AD">
        <w:trPr>
          <w:gridAfter w:val="1"/>
          <w:wAfter w:w="7" w:type="dxa"/>
        </w:trPr>
        <w:tc>
          <w:tcPr>
            <w:tcW w:w="2257" w:type="dxa"/>
            <w:gridSpan w:val="2"/>
            <w:shd w:val="clear" w:color="auto" w:fill="auto"/>
          </w:tcPr>
          <w:p w:rsidR="00456002" w:rsidRPr="000A1C8E" w:rsidRDefault="00456002" w:rsidP="003A2AEE">
            <w:pPr>
              <w:pStyle w:val="AppendixBodyText"/>
              <w:spacing w:before="60"/>
              <w:ind w:right="315"/>
              <w:rPr>
                <w:rFonts w:ascii="Tahoma" w:hAnsi="Tahoma" w:cs="Tahoma"/>
                <w:b/>
                <w:color w:val="000000"/>
                <w:sz w:val="18"/>
                <w:szCs w:val="18"/>
                <w:lang w:eastAsia="ja-JP"/>
              </w:rPr>
            </w:pPr>
            <w:r w:rsidRPr="000A1C8E">
              <w:rPr>
                <w:rFonts w:ascii="Tahoma" w:hAnsi="Tahoma" w:cs="Tahoma"/>
                <w:b/>
                <w:color w:val="000000"/>
                <w:szCs w:val="18"/>
              </w:rPr>
              <w:t>Licença Open, Open Value e Open Value Subscription (Commercial e Government)</w:t>
            </w:r>
          </w:p>
        </w:tc>
        <w:tc>
          <w:tcPr>
            <w:tcW w:w="6959" w:type="dxa"/>
            <w:shd w:val="clear" w:color="auto" w:fill="auto"/>
          </w:tcPr>
          <w:p w:rsidR="00456002" w:rsidRPr="003700AD" w:rsidRDefault="004B6D8C" w:rsidP="00A70464">
            <w:pPr>
              <w:pStyle w:val="AppendixBodyText"/>
              <w:spacing w:before="60"/>
              <w:ind w:right="720"/>
              <w:rPr>
                <w:rFonts w:ascii="Tahoma" w:hAnsi="Tahoma" w:cs="Tahoma"/>
                <w:sz w:val="18"/>
                <w:szCs w:val="18"/>
              </w:rPr>
            </w:pPr>
            <w:r w:rsidRPr="003700AD">
              <w:rPr>
                <w:rFonts w:ascii="Tahoma" w:hAnsi="Tahoma" w:cs="Tahoma"/>
                <w:b/>
                <w:sz w:val="18"/>
                <w:szCs w:val="18"/>
              </w:rPr>
              <w:t>Licença Open</w:t>
            </w:r>
          </w:p>
          <w:p w:rsidR="00456002" w:rsidRPr="003700AD" w:rsidRDefault="00456002" w:rsidP="003A2AEE">
            <w:pPr>
              <w:pStyle w:val="AppendixBodyText"/>
              <w:ind w:right="421"/>
              <w:rPr>
                <w:rFonts w:ascii="Tahoma" w:hAnsi="Tahoma" w:cs="Tahoma"/>
                <w:sz w:val="18"/>
                <w:szCs w:val="18"/>
              </w:rPr>
            </w:pPr>
            <w:r w:rsidRPr="003700AD">
              <w:rPr>
                <w:rFonts w:ascii="Tahoma" w:hAnsi="Tahoma" w:cs="Tahoma"/>
                <w:sz w:val="18"/>
                <w:szCs w:val="18"/>
              </w:rPr>
              <w:t>A Licença Open requer um pedido mínimo de 5 licenças, 5 SA ou qualquer combinação para estabelecer um Número de Autorização.</w:t>
            </w:r>
            <w:r w:rsidR="00DC6D8B" w:rsidRPr="003700AD">
              <w:rPr>
                <w:rFonts w:ascii="Tahoma" w:hAnsi="Tahoma" w:cs="Tahoma"/>
                <w:sz w:val="18"/>
                <w:szCs w:val="18"/>
              </w:rPr>
              <w:t xml:space="preserve"> </w:t>
            </w:r>
            <w:r w:rsidRPr="003700AD">
              <w:rPr>
                <w:rFonts w:ascii="Tahoma" w:hAnsi="Tahoma" w:cs="Tahoma"/>
                <w:sz w:val="18"/>
                <w:szCs w:val="18"/>
              </w:rPr>
              <w:t>Por exemplo, 2</w:t>
            </w:r>
            <w:r w:rsidR="003A2AEE" w:rsidRPr="003700AD">
              <w:rPr>
                <w:rFonts w:ascii="Tahoma" w:hAnsi="Tahoma" w:cs="Tahoma"/>
                <w:sz w:val="18"/>
                <w:szCs w:val="18"/>
              </w:rPr>
              <w:t> </w:t>
            </w:r>
            <w:r w:rsidRPr="003700AD">
              <w:rPr>
                <w:rFonts w:ascii="Tahoma" w:hAnsi="Tahoma" w:cs="Tahoma"/>
                <w:sz w:val="18"/>
                <w:szCs w:val="18"/>
              </w:rPr>
              <w:t>Licença e Software Assurance e 1 Licença Padrão satisfariam a compra mínima de 5</w:t>
            </w:r>
            <w:r w:rsidR="003A2AEE" w:rsidRPr="003700AD">
              <w:rPr>
                <w:rFonts w:ascii="Tahoma" w:hAnsi="Tahoma" w:cs="Tahoma"/>
                <w:sz w:val="18"/>
                <w:szCs w:val="18"/>
              </w:rPr>
              <w:t> </w:t>
            </w:r>
            <w:r w:rsidRPr="003700AD">
              <w:rPr>
                <w:rFonts w:ascii="Tahoma" w:hAnsi="Tahoma" w:cs="Tahoma"/>
                <w:sz w:val="18"/>
                <w:szCs w:val="18"/>
              </w:rPr>
              <w:t xml:space="preserve">licenças necessária para a entrada em qualquer um dos programas. </w:t>
            </w:r>
          </w:p>
          <w:p w:rsidR="00456002" w:rsidRPr="003700AD" w:rsidRDefault="00456002" w:rsidP="003E606C">
            <w:pPr>
              <w:pStyle w:val="AppendixBodyText"/>
              <w:spacing w:after="0"/>
              <w:ind w:right="720"/>
              <w:rPr>
                <w:rFonts w:ascii="Tahoma" w:hAnsi="Tahoma" w:cs="Tahoma"/>
                <w:sz w:val="18"/>
                <w:szCs w:val="18"/>
              </w:rPr>
            </w:pPr>
          </w:p>
          <w:p w:rsidR="004B6D8C" w:rsidRPr="003700AD" w:rsidRDefault="00456002" w:rsidP="005C647E">
            <w:pPr>
              <w:pStyle w:val="AppendixBodyText"/>
              <w:ind w:right="720"/>
              <w:rPr>
                <w:rFonts w:ascii="Tahoma" w:hAnsi="Tahoma" w:cs="Tahoma"/>
                <w:sz w:val="18"/>
                <w:szCs w:val="18"/>
              </w:rPr>
            </w:pPr>
            <w:r w:rsidRPr="003700AD">
              <w:rPr>
                <w:rFonts w:ascii="Tahoma" w:hAnsi="Tahoma" w:cs="Tahoma"/>
                <w:b/>
                <w:sz w:val="18"/>
                <w:szCs w:val="18"/>
              </w:rPr>
              <w:t>Open Value and Open Value Subscription</w:t>
            </w:r>
          </w:p>
          <w:p w:rsidR="00456002" w:rsidRPr="003700AD" w:rsidRDefault="00456002" w:rsidP="005C647E">
            <w:pPr>
              <w:pStyle w:val="AppendixBodyText"/>
              <w:ind w:right="720"/>
              <w:rPr>
                <w:rFonts w:ascii="Tahoma" w:hAnsi="Tahoma" w:cs="Tahoma"/>
                <w:sz w:val="18"/>
                <w:szCs w:val="18"/>
              </w:rPr>
            </w:pPr>
            <w:r w:rsidRPr="003700AD">
              <w:rPr>
                <w:rFonts w:ascii="Tahoma" w:hAnsi="Tahoma" w:cs="Tahoma"/>
                <w:sz w:val="18"/>
                <w:szCs w:val="18"/>
              </w:rPr>
              <w:t xml:space="preserve">O Open Value requer um pedido mínimo de 5 U&amp;SA, 5 L&amp;SA, 5 SA, 5 Licenças de Assinatura ou qualquer combinação para celebrar um contrato. </w:t>
            </w:r>
          </w:p>
          <w:p w:rsidR="00456002" w:rsidRPr="003700AD" w:rsidRDefault="00456002" w:rsidP="003E606C">
            <w:pPr>
              <w:pStyle w:val="AppendixBodyText"/>
              <w:spacing w:after="0"/>
              <w:ind w:right="720"/>
              <w:rPr>
                <w:rFonts w:ascii="Tahoma" w:hAnsi="Tahoma" w:cs="Tahoma"/>
                <w:sz w:val="18"/>
                <w:szCs w:val="18"/>
              </w:rPr>
            </w:pPr>
          </w:p>
          <w:p w:rsidR="00456002" w:rsidRPr="003700AD" w:rsidRDefault="00456002" w:rsidP="003A2AEE">
            <w:pPr>
              <w:pStyle w:val="AppendixBodyText"/>
              <w:spacing w:after="0"/>
              <w:rPr>
                <w:rFonts w:ascii="Tahoma" w:hAnsi="Tahoma" w:cs="Tahoma"/>
                <w:sz w:val="18"/>
                <w:szCs w:val="18"/>
              </w:rPr>
            </w:pPr>
            <w:r w:rsidRPr="003700AD">
              <w:rPr>
                <w:rFonts w:ascii="Tahoma" w:hAnsi="Tahoma" w:cs="Tahoma"/>
                <w:b/>
                <w:sz w:val="18"/>
                <w:szCs w:val="18"/>
              </w:rPr>
              <w:t>Observação:</w:t>
            </w:r>
            <w:r w:rsidRPr="003700AD">
              <w:rPr>
                <w:rFonts w:ascii="Tahoma" w:hAnsi="Tahoma" w:cs="Tahoma"/>
                <w:sz w:val="18"/>
                <w:szCs w:val="18"/>
              </w:rPr>
              <w:t xml:space="preserve"> uma licença individual para determinados produtos nos programas Open e Open Value satisfaz o requisito mínimo de 5 licenças.</w:t>
            </w:r>
            <w:r w:rsidR="00DC6D8B" w:rsidRPr="003700AD">
              <w:rPr>
                <w:rFonts w:ascii="Tahoma" w:hAnsi="Tahoma" w:cs="Tahoma"/>
                <w:sz w:val="18"/>
                <w:szCs w:val="18"/>
              </w:rPr>
              <w:t xml:space="preserve"> </w:t>
            </w:r>
            <w:r w:rsidRPr="003700AD">
              <w:rPr>
                <w:rFonts w:ascii="Tahoma" w:hAnsi="Tahoma" w:cs="Tahoma"/>
                <w:sz w:val="18"/>
                <w:szCs w:val="18"/>
              </w:rPr>
              <w:t>Consulte as notas de produtos individuais para determinar quais produtos se qualificam para essa exceção.</w:t>
            </w:r>
          </w:p>
          <w:p w:rsidR="00A51838" w:rsidRPr="000A1C8E" w:rsidRDefault="00A51838" w:rsidP="00A51838">
            <w:pPr>
              <w:pStyle w:val="AppendixBodyText"/>
              <w:spacing w:after="0"/>
              <w:ind w:right="720"/>
              <w:rPr>
                <w:rFonts w:ascii="Tahoma" w:hAnsi="Tahoma" w:cs="Tahoma"/>
                <w:sz w:val="18"/>
                <w:szCs w:val="18"/>
                <w:lang w:eastAsia="ja-JP"/>
              </w:rPr>
            </w:pPr>
          </w:p>
        </w:tc>
      </w:tr>
      <w:tr w:rsidR="00456002" w:rsidRPr="000A1C8E" w:rsidTr="003700AD">
        <w:trPr>
          <w:gridAfter w:val="1"/>
          <w:wAfter w:w="7" w:type="dxa"/>
        </w:trPr>
        <w:tc>
          <w:tcPr>
            <w:tcW w:w="2257" w:type="dxa"/>
            <w:gridSpan w:val="2"/>
            <w:shd w:val="clear" w:color="auto" w:fill="auto"/>
          </w:tcPr>
          <w:p w:rsidR="00456002" w:rsidRPr="000A1C8E" w:rsidRDefault="00456002" w:rsidP="003A2AEE">
            <w:pPr>
              <w:pStyle w:val="AppendixBodyText"/>
              <w:spacing w:before="60"/>
              <w:ind w:right="135"/>
              <w:rPr>
                <w:rFonts w:ascii="Tahoma" w:hAnsi="Tahoma" w:cs="Tahoma"/>
                <w:b/>
                <w:color w:val="000000"/>
                <w:szCs w:val="18"/>
                <w:lang w:eastAsia="ja-JP"/>
              </w:rPr>
            </w:pPr>
            <w:r w:rsidRPr="000A1C8E">
              <w:rPr>
                <w:rFonts w:ascii="Tahoma" w:hAnsi="Tahoma" w:cs="Tahoma"/>
                <w:b/>
                <w:color w:val="000000"/>
                <w:szCs w:val="18"/>
              </w:rPr>
              <w:t>Open Value Subscription - ES</w:t>
            </w:r>
          </w:p>
        </w:tc>
        <w:tc>
          <w:tcPr>
            <w:tcW w:w="6959" w:type="dxa"/>
            <w:shd w:val="clear" w:color="auto" w:fill="auto"/>
          </w:tcPr>
          <w:p w:rsidR="00456002" w:rsidRPr="003700AD" w:rsidRDefault="00456002" w:rsidP="00230E01">
            <w:pPr>
              <w:spacing w:before="60"/>
              <w:rPr>
                <w:rFonts w:cs="Tahoma"/>
                <w:szCs w:val="18"/>
              </w:rPr>
            </w:pPr>
            <w:r w:rsidRPr="003700AD">
              <w:rPr>
                <w:rFonts w:cs="Tahoma"/>
                <w:szCs w:val="18"/>
              </w:rPr>
              <w:t>Open Value Subscription – ES requer pelo menos um Produto da Plataforma Desktop para uma Contagem para toda a Organização de pelo menos 5 OU pelo menos um Produto da Plataforma Desktop para a Contagem de Estudantes de pelo menos 5.</w:t>
            </w:r>
          </w:p>
          <w:p w:rsidR="00230E01" w:rsidRPr="003700AD" w:rsidRDefault="00230E01" w:rsidP="00230E01">
            <w:pPr>
              <w:rPr>
                <w:rFonts w:cs="Tahoma"/>
                <w:szCs w:val="18"/>
              </w:rPr>
            </w:pPr>
          </w:p>
        </w:tc>
      </w:tr>
      <w:tr w:rsidR="00456002" w:rsidRPr="000A1C8E" w:rsidTr="003700AD">
        <w:trPr>
          <w:gridAfter w:val="1"/>
          <w:wAfter w:w="7" w:type="dxa"/>
        </w:trPr>
        <w:tc>
          <w:tcPr>
            <w:tcW w:w="2257" w:type="dxa"/>
            <w:gridSpan w:val="2"/>
            <w:shd w:val="clear" w:color="auto" w:fill="auto"/>
          </w:tcPr>
          <w:p w:rsidR="00456002" w:rsidRPr="000A1C8E" w:rsidRDefault="00456002" w:rsidP="00A70464">
            <w:pPr>
              <w:pStyle w:val="AppendixBodyText"/>
              <w:spacing w:before="60"/>
              <w:ind w:right="720"/>
              <w:rPr>
                <w:rFonts w:ascii="Tahoma" w:hAnsi="Tahoma" w:cs="Tahoma"/>
                <w:b/>
                <w:color w:val="000000"/>
                <w:szCs w:val="18"/>
                <w:lang w:eastAsia="ja-JP"/>
              </w:rPr>
            </w:pPr>
            <w:r w:rsidRPr="000A1C8E">
              <w:rPr>
                <w:rFonts w:ascii="Tahoma" w:hAnsi="Tahoma" w:cs="Tahoma"/>
                <w:b/>
                <w:color w:val="000000"/>
                <w:szCs w:val="18"/>
              </w:rPr>
              <w:t>Select</w:t>
            </w:r>
          </w:p>
        </w:tc>
        <w:tc>
          <w:tcPr>
            <w:tcW w:w="6959" w:type="dxa"/>
            <w:shd w:val="clear" w:color="auto" w:fill="auto"/>
          </w:tcPr>
          <w:p w:rsidR="00456002" w:rsidRPr="003700AD" w:rsidRDefault="00456002" w:rsidP="00230E01">
            <w:pPr>
              <w:pStyle w:val="AppendixBodyText"/>
              <w:spacing w:before="60" w:after="0"/>
              <w:ind w:right="720"/>
              <w:rPr>
                <w:rFonts w:ascii="Tahoma" w:hAnsi="Tahoma" w:cs="Tahoma"/>
                <w:sz w:val="18"/>
                <w:szCs w:val="18"/>
              </w:rPr>
            </w:pPr>
            <w:r w:rsidRPr="003700AD">
              <w:rPr>
                <w:rFonts w:ascii="Tahoma" w:hAnsi="Tahoma" w:cs="Tahoma"/>
                <w:color w:val="000000"/>
                <w:sz w:val="18"/>
                <w:szCs w:val="18"/>
              </w:rPr>
              <w:t>A Licença Select requer um pedido mínimo de 1.500 pontos por pool ao longo do prazo do contrato.</w:t>
            </w:r>
            <w:r w:rsidR="00DC6D8B" w:rsidRPr="003700AD">
              <w:rPr>
                <w:rFonts w:ascii="Tahoma" w:hAnsi="Tahoma" w:cs="Tahoma"/>
                <w:color w:val="000000"/>
                <w:sz w:val="18"/>
                <w:szCs w:val="18"/>
              </w:rPr>
              <w:t xml:space="preserve"> </w:t>
            </w:r>
            <w:r w:rsidRPr="003700AD">
              <w:rPr>
                <w:rFonts w:ascii="Tahoma" w:hAnsi="Tahoma" w:cs="Tahoma"/>
                <w:color w:val="000000"/>
                <w:sz w:val="18"/>
                <w:szCs w:val="18"/>
              </w:rPr>
              <w:t>Os requisitos de quantidade mínima do pedido poderão ser dispensados caso seja fornecido um contrato qualificado.</w:t>
            </w:r>
          </w:p>
          <w:p w:rsidR="00230E01" w:rsidRPr="003700AD" w:rsidRDefault="00230E01" w:rsidP="00230E01">
            <w:pPr>
              <w:pStyle w:val="AppendixBodyText"/>
              <w:spacing w:after="0"/>
              <w:ind w:right="720"/>
              <w:rPr>
                <w:rFonts w:ascii="Tahoma" w:hAnsi="Tahoma" w:cs="Tahoma"/>
                <w:color w:val="000000"/>
                <w:sz w:val="18"/>
                <w:szCs w:val="18"/>
                <w:lang w:eastAsia="ja-JP"/>
              </w:rPr>
            </w:pPr>
          </w:p>
        </w:tc>
      </w:tr>
      <w:tr w:rsidR="00456002" w:rsidRPr="000A1C8E" w:rsidTr="003700AD">
        <w:trPr>
          <w:gridAfter w:val="1"/>
          <w:wAfter w:w="7" w:type="dxa"/>
        </w:trPr>
        <w:tc>
          <w:tcPr>
            <w:tcW w:w="2257" w:type="dxa"/>
            <w:gridSpan w:val="2"/>
            <w:shd w:val="clear" w:color="auto" w:fill="auto"/>
          </w:tcPr>
          <w:p w:rsidR="00456002" w:rsidRPr="000A1C8E" w:rsidRDefault="00456002" w:rsidP="00A70464">
            <w:pPr>
              <w:pStyle w:val="AppendixBodyText"/>
              <w:spacing w:before="60"/>
              <w:ind w:right="720"/>
              <w:rPr>
                <w:rFonts w:ascii="Tahoma" w:hAnsi="Tahoma" w:cs="Tahoma"/>
                <w:b/>
                <w:color w:val="000000"/>
                <w:szCs w:val="18"/>
                <w:lang w:eastAsia="ja-JP"/>
              </w:rPr>
            </w:pPr>
            <w:r w:rsidRPr="000A1C8E">
              <w:rPr>
                <w:rFonts w:ascii="Tahoma" w:hAnsi="Tahoma" w:cs="Tahoma"/>
                <w:b/>
                <w:color w:val="000000"/>
                <w:szCs w:val="18"/>
              </w:rPr>
              <w:t>Select Plus</w:t>
            </w:r>
          </w:p>
        </w:tc>
        <w:tc>
          <w:tcPr>
            <w:tcW w:w="6959" w:type="dxa"/>
            <w:shd w:val="clear" w:color="auto" w:fill="auto"/>
          </w:tcPr>
          <w:p w:rsidR="00456002" w:rsidRPr="003700AD" w:rsidRDefault="00456002" w:rsidP="003A2AEE">
            <w:pPr>
              <w:pStyle w:val="AppendixBodyText"/>
              <w:spacing w:before="60"/>
              <w:ind w:right="349"/>
              <w:rPr>
                <w:rFonts w:ascii="Tahoma" w:hAnsi="Tahoma" w:cs="Tahoma"/>
                <w:sz w:val="18"/>
                <w:szCs w:val="18"/>
              </w:rPr>
            </w:pPr>
            <w:r w:rsidRPr="000A1C8E">
              <w:rPr>
                <w:rFonts w:ascii="Tahoma" w:hAnsi="Tahoma" w:cs="Tahoma"/>
                <w:color w:val="000000"/>
                <w:sz w:val="18"/>
                <w:szCs w:val="18"/>
              </w:rPr>
              <w:t xml:space="preserve">O Select </w:t>
            </w:r>
            <w:r w:rsidRPr="003700AD">
              <w:rPr>
                <w:rFonts w:ascii="Tahoma" w:hAnsi="Tahoma" w:cs="Tahoma"/>
                <w:color w:val="000000"/>
                <w:sz w:val="18"/>
                <w:szCs w:val="18"/>
              </w:rPr>
              <w:t>Plus requer um pedido mínimo inicial de 500 pontos por pool durante o primeiro ano.</w:t>
            </w:r>
            <w:r w:rsidR="00DC6D8B" w:rsidRPr="003700AD">
              <w:rPr>
                <w:rFonts w:ascii="Tahoma" w:hAnsi="Tahoma" w:cs="Tahoma"/>
                <w:color w:val="000000"/>
                <w:sz w:val="18"/>
                <w:szCs w:val="18"/>
              </w:rPr>
              <w:t xml:space="preserve"> </w:t>
            </w:r>
            <w:r w:rsidRPr="003700AD">
              <w:rPr>
                <w:rFonts w:ascii="Tahoma" w:hAnsi="Tahoma" w:cs="Tahoma"/>
                <w:color w:val="000000"/>
                <w:sz w:val="18"/>
                <w:szCs w:val="18"/>
              </w:rPr>
              <w:t>Esse requisito de quantidade no pedido poderá ser dispensado caso seja fornecido um contrato qualificado.</w:t>
            </w:r>
          </w:p>
          <w:p w:rsidR="00456002" w:rsidRPr="003700AD" w:rsidRDefault="00456002" w:rsidP="00A70464">
            <w:pPr>
              <w:pStyle w:val="AppendixBodyText"/>
              <w:spacing w:after="0"/>
              <w:ind w:right="720"/>
              <w:rPr>
                <w:rFonts w:ascii="Tahoma" w:hAnsi="Tahoma" w:cs="Tahoma"/>
                <w:sz w:val="18"/>
                <w:szCs w:val="18"/>
              </w:rPr>
            </w:pPr>
          </w:p>
          <w:p w:rsidR="00456002" w:rsidRPr="003700AD" w:rsidRDefault="00456002" w:rsidP="004B6D8C">
            <w:pPr>
              <w:spacing w:after="60"/>
              <w:rPr>
                <w:rFonts w:cs="Tahoma"/>
                <w:szCs w:val="18"/>
              </w:rPr>
            </w:pPr>
            <w:bookmarkStart w:id="619" w:name="_Toc323159727"/>
            <w:r w:rsidRPr="003700AD">
              <w:rPr>
                <w:rFonts w:cs="Tahoma"/>
                <w:b/>
                <w:szCs w:val="18"/>
              </w:rPr>
              <w:t>Categorias de preços no Select Plus</w:t>
            </w:r>
            <w:bookmarkEnd w:id="619"/>
          </w:p>
          <w:p w:rsidR="00456002" w:rsidRPr="000A1C8E" w:rsidRDefault="00456002" w:rsidP="005C647E">
            <w:pPr>
              <w:rPr>
                <w:rFonts w:cs="Tahoma"/>
              </w:rPr>
            </w:pPr>
            <w:r w:rsidRPr="003700AD">
              <w:rPr>
                <w:rFonts w:cs="Tahoma"/>
                <w:szCs w:val="18"/>
              </w:rPr>
              <w:t>Os clientes estarão qualificados para o Programa Select Plus se c</w:t>
            </w:r>
            <w:r w:rsidRPr="000A1C8E">
              <w:rPr>
                <w:rFonts w:cs="Tahoma"/>
                <w:szCs w:val="18"/>
              </w:rPr>
              <w:t xml:space="preserve">orresponderem a um desses critérios: </w:t>
            </w:r>
          </w:p>
          <w:p w:rsidR="00406CB0" w:rsidRPr="000A1C8E" w:rsidRDefault="00406CB0" w:rsidP="00A70464">
            <w:pPr>
              <w:rPr>
                <w:rFonts w:cs="Tahoma"/>
                <w:sz w:val="14"/>
                <w:szCs w:val="14"/>
              </w:rPr>
            </w:pPr>
          </w:p>
          <w:p w:rsidR="00456002" w:rsidRPr="000A1C8E" w:rsidRDefault="00456002" w:rsidP="00346F4B">
            <w:pPr>
              <w:numPr>
                <w:ilvl w:val="0"/>
                <w:numId w:val="64"/>
              </w:numPr>
              <w:spacing w:after="60"/>
              <w:rPr>
                <w:rFonts w:cs="Tahoma"/>
              </w:rPr>
            </w:pPr>
            <w:r w:rsidRPr="000A1C8E">
              <w:rPr>
                <w:rFonts w:cs="Tahoma"/>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rsidR="00456002" w:rsidRPr="000A1C8E" w:rsidRDefault="00456002" w:rsidP="00346F4B">
            <w:pPr>
              <w:numPr>
                <w:ilvl w:val="0"/>
                <w:numId w:val="64"/>
              </w:numPr>
              <w:spacing w:after="60"/>
              <w:rPr>
                <w:rFonts w:cs="Tahoma"/>
              </w:rPr>
            </w:pPr>
            <w:r w:rsidRPr="000A1C8E">
              <w:rPr>
                <w:rFonts w:cs="Tahoma"/>
              </w:rPr>
              <w:t xml:space="preserve">Envio de um pedido que cumpra um mínimo de 500 pontos para cada pool de produtos selecionado pelo Cliente durante o primeiro ano; </w:t>
            </w:r>
          </w:p>
          <w:p w:rsidR="00456002" w:rsidRPr="000A1C8E" w:rsidRDefault="00456002" w:rsidP="00346F4B">
            <w:pPr>
              <w:numPr>
                <w:ilvl w:val="0"/>
                <w:numId w:val="64"/>
              </w:numPr>
              <w:spacing w:after="60"/>
              <w:rPr>
                <w:rFonts w:cs="Tahoma"/>
              </w:rPr>
            </w:pPr>
            <w:r w:rsidRPr="000A1C8E">
              <w:rPr>
                <w:rFonts w:cs="Tahoma"/>
              </w:rPr>
              <w:t xml:space="preserve">Identificação de um contrato em que a quantidade do pedido mínimo tenha sido comprada durante os 12 meses anteriores à data de início de vigência do Contrato Select Plus do cliente; e </w:t>
            </w:r>
          </w:p>
          <w:p w:rsidR="00456002" w:rsidRPr="000A1C8E" w:rsidRDefault="00456002" w:rsidP="00A70464">
            <w:pPr>
              <w:rPr>
                <w:rFonts w:cs="Tahoma"/>
                <w:sz w:val="14"/>
                <w:szCs w:val="14"/>
              </w:rPr>
            </w:pPr>
          </w:p>
          <w:p w:rsidR="00456002" w:rsidRPr="000A1C8E" w:rsidRDefault="00456002" w:rsidP="005C647E">
            <w:pPr>
              <w:rPr>
                <w:rFonts w:cs="Tahoma"/>
              </w:rPr>
            </w:pPr>
            <w:r w:rsidRPr="000A1C8E">
              <w:rPr>
                <w:rFonts w:cs="Tahoma"/>
                <w:szCs w:val="18"/>
              </w:rPr>
              <w:t xml:space="preserve">Para as opções 2 e 3 acima, o Cliente terá que manter um mínimo de 500 pontos em cada pool de produtos que selecionar por ocasião da verificação de conformidade. </w:t>
            </w:r>
          </w:p>
          <w:p w:rsidR="00456002" w:rsidRDefault="00456002" w:rsidP="005C647E">
            <w:pPr>
              <w:rPr>
                <w:rFonts w:cs="Tahoma"/>
                <w:sz w:val="14"/>
                <w:szCs w:val="14"/>
              </w:rPr>
            </w:pPr>
          </w:p>
          <w:p w:rsidR="003700AD" w:rsidRDefault="003700AD" w:rsidP="005C647E">
            <w:pPr>
              <w:rPr>
                <w:rFonts w:cs="Tahoma"/>
                <w:sz w:val="14"/>
                <w:szCs w:val="14"/>
              </w:rPr>
            </w:pPr>
          </w:p>
          <w:p w:rsidR="003700AD" w:rsidRDefault="003700AD" w:rsidP="005C647E">
            <w:pPr>
              <w:rPr>
                <w:rFonts w:cs="Tahoma"/>
                <w:sz w:val="14"/>
                <w:szCs w:val="14"/>
              </w:rPr>
            </w:pPr>
          </w:p>
          <w:p w:rsidR="003700AD" w:rsidRDefault="003700AD" w:rsidP="005C647E">
            <w:pPr>
              <w:rPr>
                <w:rFonts w:cs="Tahoma"/>
                <w:sz w:val="14"/>
                <w:szCs w:val="14"/>
              </w:rPr>
            </w:pPr>
          </w:p>
          <w:p w:rsidR="003700AD" w:rsidRDefault="003700AD" w:rsidP="005C647E">
            <w:pPr>
              <w:rPr>
                <w:rFonts w:cs="Tahoma"/>
                <w:sz w:val="14"/>
                <w:szCs w:val="14"/>
              </w:rPr>
            </w:pPr>
          </w:p>
          <w:p w:rsidR="003700AD" w:rsidRDefault="003700AD" w:rsidP="005C647E">
            <w:pPr>
              <w:rPr>
                <w:rFonts w:cs="Tahoma"/>
                <w:sz w:val="14"/>
                <w:szCs w:val="14"/>
              </w:rPr>
            </w:pPr>
          </w:p>
          <w:p w:rsidR="003700AD" w:rsidRDefault="003700AD" w:rsidP="005C647E">
            <w:pPr>
              <w:rPr>
                <w:rFonts w:cs="Tahoma"/>
                <w:sz w:val="14"/>
                <w:szCs w:val="14"/>
              </w:rPr>
            </w:pPr>
          </w:p>
          <w:p w:rsidR="003700AD" w:rsidRDefault="003700AD" w:rsidP="005C647E">
            <w:pPr>
              <w:rPr>
                <w:rFonts w:cs="Tahoma"/>
                <w:sz w:val="14"/>
                <w:szCs w:val="14"/>
              </w:rPr>
            </w:pPr>
          </w:p>
          <w:p w:rsidR="003700AD" w:rsidRDefault="003700AD" w:rsidP="005C647E">
            <w:pPr>
              <w:rPr>
                <w:rFonts w:cs="Tahoma"/>
                <w:sz w:val="14"/>
                <w:szCs w:val="14"/>
              </w:rPr>
            </w:pPr>
          </w:p>
          <w:p w:rsidR="00456002" w:rsidRDefault="00456002" w:rsidP="005C647E">
            <w:pPr>
              <w:rPr>
                <w:rFonts w:cs="Tahoma"/>
                <w:szCs w:val="18"/>
              </w:rPr>
            </w:pPr>
            <w:r w:rsidRPr="000A1C8E">
              <w:rPr>
                <w:rFonts w:cs="Tahoma"/>
                <w:szCs w:val="18"/>
              </w:rPr>
              <w:lastRenderedPageBreak/>
              <w:t>Os preços do Cliente baseiam-se no contrato entre o Cliente e seu revendedor.</w:t>
            </w:r>
            <w:r w:rsidR="00DC6D8B" w:rsidRPr="000A1C8E">
              <w:rPr>
                <w:rFonts w:cs="Tahoma"/>
                <w:szCs w:val="18"/>
              </w:rPr>
              <w:t xml:space="preserve"> </w:t>
            </w:r>
            <w:r w:rsidRPr="000A1C8E">
              <w:rPr>
                <w:rFonts w:cs="Tahoma"/>
                <w:szCs w:val="18"/>
              </w:rPr>
              <w:t>Porém, a Microsoft sugere ao revendedor os seguintes critérios de preços e pontos para orientá-lo quanto ao preço final para o consumidor:</w:t>
            </w:r>
            <w:r w:rsidR="00DC6D8B" w:rsidRPr="000A1C8E">
              <w:rPr>
                <w:rFonts w:cs="Tahoma"/>
                <w:szCs w:val="18"/>
              </w:rPr>
              <w:t xml:space="preserve"> </w:t>
            </w:r>
          </w:p>
          <w:p w:rsidR="003700AD" w:rsidRPr="003700AD" w:rsidRDefault="003700AD" w:rsidP="005C647E">
            <w:pPr>
              <w:rPr>
                <w:rFonts w:cs="Tahoma"/>
                <w:sz w:val="12"/>
                <w:szCs w:val="18"/>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3700AD" w:rsidRPr="00736863" w:rsidTr="006B095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700AD" w:rsidRPr="00442B9E" w:rsidRDefault="003700AD" w:rsidP="006B0950">
                  <w:pPr>
                    <w:jc w:val="center"/>
                    <w:rPr>
                      <w:rFonts w:cs="Tahoma"/>
                      <w:b/>
                      <w:sz w:val="20"/>
                      <w:szCs w:val="18"/>
                    </w:rPr>
                  </w:pPr>
                  <w:r>
                    <w:rPr>
                      <w:rFonts w:cs="Tahoma"/>
                      <w:b/>
                      <w:sz w:val="20"/>
                      <w:szCs w:val="18"/>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700AD" w:rsidRPr="00442B9E" w:rsidRDefault="003700AD" w:rsidP="006B0950">
                  <w:pPr>
                    <w:jc w:val="center"/>
                    <w:rPr>
                      <w:rFonts w:cs="Tahoma"/>
                      <w:b/>
                      <w:sz w:val="20"/>
                      <w:szCs w:val="18"/>
                    </w:rPr>
                  </w:pPr>
                  <w:r>
                    <w:rPr>
                      <w:rFonts w:cs="Tahoma"/>
                      <w:b/>
                      <w:sz w:val="20"/>
                      <w:szCs w:val="18"/>
                    </w:rPr>
                    <w:t>Mínimo de Pontos Anuais por Pool</w:t>
                  </w:r>
                </w:p>
              </w:tc>
            </w:tr>
            <w:tr w:rsidR="003700AD" w:rsidRPr="00736863" w:rsidTr="006B095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00AD" w:rsidRPr="00736863" w:rsidRDefault="003700AD" w:rsidP="006B0950">
                  <w:pPr>
                    <w:jc w:val="center"/>
                    <w:rPr>
                      <w:rFonts w:cs="Tahoma"/>
                      <w:szCs w:val="18"/>
                    </w:rPr>
                  </w:pPr>
                  <w:r>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00AD" w:rsidRPr="00736863" w:rsidRDefault="003700AD" w:rsidP="006B0950">
                  <w:pPr>
                    <w:jc w:val="center"/>
                    <w:rPr>
                      <w:rFonts w:cs="Tahoma"/>
                      <w:szCs w:val="18"/>
                    </w:rPr>
                  </w:pPr>
                  <w:r>
                    <w:rPr>
                      <w:rFonts w:cs="Tahoma"/>
                      <w:szCs w:val="18"/>
                    </w:rPr>
                    <w:t>500</w:t>
                  </w:r>
                </w:p>
              </w:tc>
            </w:tr>
            <w:tr w:rsidR="003700AD" w:rsidRPr="00736863" w:rsidTr="006B095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00AD" w:rsidRPr="00736863" w:rsidRDefault="003700AD" w:rsidP="006B0950">
                  <w:pPr>
                    <w:jc w:val="center"/>
                    <w:rPr>
                      <w:rFonts w:cs="Tahoma"/>
                      <w:szCs w:val="18"/>
                    </w:rPr>
                  </w:pPr>
                  <w:r>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00AD" w:rsidRPr="00736863" w:rsidRDefault="003700AD" w:rsidP="00BD3A67">
                  <w:pPr>
                    <w:jc w:val="center"/>
                    <w:rPr>
                      <w:rFonts w:cs="Tahoma"/>
                      <w:szCs w:val="18"/>
                    </w:rPr>
                  </w:pPr>
                  <w:r>
                    <w:rPr>
                      <w:rFonts w:cs="Tahoma"/>
                      <w:szCs w:val="18"/>
                    </w:rPr>
                    <w:t>4</w:t>
                  </w:r>
                  <w:r w:rsidR="00BD3A67">
                    <w:rPr>
                      <w:rFonts w:cs="Tahoma"/>
                      <w:szCs w:val="18"/>
                    </w:rPr>
                    <w:t>.</w:t>
                  </w:r>
                  <w:r>
                    <w:rPr>
                      <w:rFonts w:cs="Tahoma"/>
                      <w:szCs w:val="18"/>
                    </w:rPr>
                    <w:t>000</w:t>
                  </w:r>
                </w:p>
              </w:tc>
            </w:tr>
            <w:tr w:rsidR="003700AD" w:rsidRPr="00736863" w:rsidTr="006B095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00AD" w:rsidRPr="00736863" w:rsidRDefault="003700AD" w:rsidP="006B0950">
                  <w:pPr>
                    <w:jc w:val="center"/>
                    <w:rPr>
                      <w:rFonts w:cs="Tahoma"/>
                      <w:szCs w:val="18"/>
                    </w:rPr>
                  </w:pPr>
                  <w:r>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00AD" w:rsidRPr="00736863" w:rsidRDefault="003700AD" w:rsidP="00BD3A67">
                  <w:pPr>
                    <w:jc w:val="center"/>
                    <w:rPr>
                      <w:rFonts w:cs="Tahoma"/>
                      <w:szCs w:val="18"/>
                    </w:rPr>
                  </w:pPr>
                  <w:r>
                    <w:rPr>
                      <w:rFonts w:cs="Tahoma"/>
                      <w:szCs w:val="18"/>
                    </w:rPr>
                    <w:t>10</w:t>
                  </w:r>
                  <w:r w:rsidR="00BD3A67">
                    <w:rPr>
                      <w:rFonts w:cs="Tahoma"/>
                      <w:szCs w:val="18"/>
                    </w:rPr>
                    <w:t>.</w:t>
                  </w:r>
                  <w:r>
                    <w:rPr>
                      <w:rFonts w:cs="Tahoma"/>
                      <w:szCs w:val="18"/>
                    </w:rPr>
                    <w:t>000</w:t>
                  </w:r>
                </w:p>
              </w:tc>
            </w:tr>
            <w:tr w:rsidR="003700AD" w:rsidRPr="00736863" w:rsidTr="006B095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00AD" w:rsidRPr="00736863" w:rsidRDefault="003700AD" w:rsidP="006B0950">
                  <w:pPr>
                    <w:jc w:val="center"/>
                    <w:rPr>
                      <w:rFonts w:cs="Tahoma"/>
                      <w:szCs w:val="18"/>
                    </w:rPr>
                  </w:pPr>
                  <w:r>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00AD" w:rsidRPr="00736863" w:rsidRDefault="003700AD" w:rsidP="00BD3A67">
                  <w:pPr>
                    <w:jc w:val="center"/>
                    <w:rPr>
                      <w:rFonts w:cs="Tahoma"/>
                      <w:szCs w:val="18"/>
                    </w:rPr>
                  </w:pPr>
                  <w:r>
                    <w:rPr>
                      <w:rFonts w:cs="Tahoma"/>
                      <w:szCs w:val="18"/>
                    </w:rPr>
                    <w:t>25</w:t>
                  </w:r>
                  <w:r w:rsidR="00BD3A67">
                    <w:rPr>
                      <w:rFonts w:cs="Tahoma"/>
                      <w:szCs w:val="18"/>
                    </w:rPr>
                    <w:t>.</w:t>
                  </w:r>
                  <w:r>
                    <w:rPr>
                      <w:rFonts w:cs="Tahoma"/>
                      <w:szCs w:val="18"/>
                    </w:rPr>
                    <w:t>000</w:t>
                  </w:r>
                </w:p>
              </w:tc>
            </w:tr>
          </w:tbl>
          <w:p w:rsidR="00456002" w:rsidRPr="000A1C8E" w:rsidRDefault="00456002" w:rsidP="005C647E">
            <w:pPr>
              <w:rPr>
                <w:rFonts w:cs="Tahoma"/>
                <w:sz w:val="14"/>
                <w:szCs w:val="14"/>
              </w:rPr>
            </w:pPr>
          </w:p>
          <w:p w:rsidR="00230E01" w:rsidRPr="000A1C8E" w:rsidRDefault="00000330" w:rsidP="003700AD">
            <w:pPr>
              <w:pStyle w:val="AppendixBodyText"/>
              <w:spacing w:after="0"/>
              <w:ind w:left="605" w:right="331"/>
              <w:rPr>
                <w:rFonts w:ascii="Tahoma" w:hAnsi="Tahoma" w:cs="Tahoma"/>
                <w:color w:val="000000"/>
                <w:sz w:val="18"/>
                <w:szCs w:val="18"/>
                <w:lang w:eastAsia="ja-JP"/>
              </w:rPr>
            </w:pPr>
            <w:r w:rsidRPr="000A1C8E">
              <w:rPr>
                <w:rFonts w:ascii="Tahoma" w:hAnsi="Tahoma" w:cs="Tahoma"/>
                <w:i/>
                <w:sz w:val="16"/>
              </w:rPr>
              <w:t>Observação: Quaisquer pontos que o cliente tenha em excesso na categoria de preços mínima serão transportados para o próximo ano para verificação de conformidade desses anos. Por exemplo, se o cliente tiver 4.500</w:t>
            </w:r>
            <w:r w:rsidR="003A2AEE" w:rsidRPr="000A1C8E">
              <w:rPr>
                <w:rFonts w:ascii="Tahoma" w:hAnsi="Tahoma" w:cs="Tahoma"/>
                <w:i/>
                <w:sz w:val="16"/>
              </w:rPr>
              <w:t> </w:t>
            </w:r>
            <w:r w:rsidRPr="000A1C8E">
              <w:rPr>
                <w:rFonts w:ascii="Tahoma" w:hAnsi="Tahoma" w:cs="Tahoma"/>
                <w:i/>
                <w:sz w:val="16"/>
              </w:rPr>
              <w:t>pontos na verificação de conformidade anual, 500 pontos serão transportados para o ano</w:t>
            </w:r>
            <w:r w:rsidR="003700AD">
              <w:rPr>
                <w:rFonts w:ascii="Tahoma" w:hAnsi="Tahoma" w:cs="Tahoma"/>
                <w:i/>
                <w:sz w:val="16"/>
              </w:rPr>
              <w:t> </w:t>
            </w:r>
            <w:r w:rsidRPr="000A1C8E">
              <w:rPr>
                <w:rFonts w:ascii="Tahoma" w:hAnsi="Tahoma" w:cs="Tahoma"/>
                <w:i/>
                <w:sz w:val="16"/>
              </w:rPr>
              <w:t>seguinte para serem usados em relação à conformidade desses anos.</w:t>
            </w:r>
            <w:r w:rsidR="002464F4" w:rsidRPr="000A1C8E">
              <w:rPr>
                <w:rFonts w:ascii="Tahoma" w:hAnsi="Tahoma" w:cs="Tahoma"/>
                <w:color w:val="000000"/>
                <w:sz w:val="18"/>
                <w:szCs w:val="18"/>
                <w:lang w:eastAsia="ja-JP"/>
              </w:rPr>
              <w:t xml:space="preserve"> </w:t>
            </w:r>
          </w:p>
        </w:tc>
      </w:tr>
      <w:tr w:rsidR="00456002" w:rsidRPr="000A1C8E" w:rsidTr="003700AD">
        <w:tblPrEx>
          <w:tblCellMar>
            <w:left w:w="108" w:type="dxa"/>
            <w:right w:w="108" w:type="dxa"/>
          </w:tblCellMar>
        </w:tblPrEx>
        <w:trPr>
          <w:gridBefore w:val="1"/>
          <w:wBefore w:w="7" w:type="dxa"/>
        </w:trPr>
        <w:tc>
          <w:tcPr>
            <w:tcW w:w="2250" w:type="dxa"/>
            <w:shd w:val="clear" w:color="auto" w:fill="auto"/>
          </w:tcPr>
          <w:p w:rsidR="00456002" w:rsidRPr="000A1C8E" w:rsidRDefault="00456002" w:rsidP="00A70464">
            <w:pPr>
              <w:pStyle w:val="AppendixBodyText"/>
              <w:spacing w:before="60"/>
              <w:ind w:right="720"/>
              <w:rPr>
                <w:rFonts w:ascii="Tahoma" w:hAnsi="Tahoma" w:cs="Tahoma"/>
                <w:b/>
                <w:color w:val="000000"/>
                <w:szCs w:val="18"/>
                <w:lang w:eastAsia="ja-JP"/>
              </w:rPr>
            </w:pPr>
            <w:r w:rsidRPr="000A1C8E">
              <w:rPr>
                <w:rFonts w:ascii="Tahoma" w:hAnsi="Tahoma" w:cs="Tahoma"/>
                <w:b/>
                <w:color w:val="000000"/>
                <w:szCs w:val="18"/>
              </w:rPr>
              <w:lastRenderedPageBreak/>
              <w:t>Contrato School</w:t>
            </w:r>
          </w:p>
        </w:tc>
        <w:tc>
          <w:tcPr>
            <w:tcW w:w="6966" w:type="dxa"/>
            <w:gridSpan w:val="2"/>
            <w:shd w:val="clear" w:color="auto" w:fill="auto"/>
          </w:tcPr>
          <w:p w:rsidR="00456002" w:rsidRPr="003700AD" w:rsidRDefault="00456002" w:rsidP="003700AD">
            <w:pPr>
              <w:pStyle w:val="AppendixBodyText"/>
              <w:spacing w:before="60"/>
              <w:ind w:right="522"/>
              <w:rPr>
                <w:rFonts w:ascii="Tahoma" w:hAnsi="Tahoma" w:cs="Tahoma"/>
                <w:sz w:val="18"/>
                <w:szCs w:val="18"/>
              </w:rPr>
            </w:pPr>
            <w:r w:rsidRPr="003700AD">
              <w:rPr>
                <w:rFonts w:ascii="Tahoma" w:hAnsi="Tahoma" w:cs="Tahoma"/>
                <w:sz w:val="18"/>
                <w:szCs w:val="18"/>
              </w:rPr>
              <w:t>O Contrato School</w:t>
            </w:r>
            <w:r w:rsidRPr="003700AD">
              <w:rPr>
                <w:rFonts w:ascii="Tahoma" w:hAnsi="Tahoma" w:cs="Tahoma"/>
                <w:b/>
                <w:sz w:val="18"/>
                <w:szCs w:val="18"/>
              </w:rPr>
              <w:t xml:space="preserve"> </w:t>
            </w:r>
            <w:r w:rsidRPr="003700AD">
              <w:rPr>
                <w:rFonts w:ascii="Tahoma" w:hAnsi="Tahoma" w:cs="Tahoma"/>
                <w:sz w:val="18"/>
                <w:szCs w:val="18"/>
              </w:rPr>
              <w:t>requer um pedido mínimo de 300 unidades.</w:t>
            </w:r>
            <w:r w:rsidR="00DC6D8B" w:rsidRPr="003700AD">
              <w:rPr>
                <w:rFonts w:ascii="Tahoma" w:hAnsi="Tahoma" w:cs="Tahoma"/>
                <w:sz w:val="18"/>
                <w:szCs w:val="18"/>
              </w:rPr>
              <w:t xml:space="preserve"> </w:t>
            </w:r>
            <w:r w:rsidRPr="003700AD">
              <w:rPr>
                <w:rFonts w:ascii="Tahoma" w:hAnsi="Tahoma" w:cs="Tahoma"/>
                <w:sz w:val="18"/>
                <w:szCs w:val="18"/>
              </w:rPr>
              <w:t>As unidades são determinadas multiplicando-se o número total de produtos de aplicativo, sistema e CAL selecionados pelo número total de PCs qualificados ou FTEs/Funcionários qualificados. Observe que o requisito de pedido mínimo pode</w:t>
            </w:r>
            <w:r w:rsidR="003700AD">
              <w:rPr>
                <w:rFonts w:ascii="Tahoma" w:hAnsi="Tahoma" w:cs="Tahoma"/>
                <w:sz w:val="18"/>
                <w:szCs w:val="18"/>
              </w:rPr>
              <w:t> </w:t>
            </w:r>
            <w:r w:rsidRPr="003700AD">
              <w:rPr>
                <w:rFonts w:ascii="Tahoma" w:hAnsi="Tahoma" w:cs="Tahoma"/>
                <w:sz w:val="18"/>
                <w:szCs w:val="18"/>
              </w:rPr>
              <w:t>variar conforme a região geográfica.</w:t>
            </w:r>
          </w:p>
          <w:p w:rsidR="00406CB0" w:rsidRPr="003700AD" w:rsidRDefault="00406CB0" w:rsidP="00A70464">
            <w:pPr>
              <w:pStyle w:val="AppendixBodyText"/>
              <w:spacing w:after="0"/>
              <w:ind w:right="720"/>
              <w:rPr>
                <w:rFonts w:ascii="Tahoma" w:hAnsi="Tahoma" w:cs="Tahoma"/>
                <w:sz w:val="18"/>
                <w:szCs w:val="18"/>
              </w:rPr>
            </w:pPr>
          </w:p>
          <w:p w:rsidR="00456002" w:rsidRPr="000A1C8E" w:rsidRDefault="00456002" w:rsidP="00C94C31">
            <w:pPr>
              <w:tabs>
                <w:tab w:val="left" w:pos="8640"/>
              </w:tabs>
              <w:ind w:right="387"/>
              <w:rPr>
                <w:rFonts w:cs="Tahoma"/>
              </w:rPr>
            </w:pPr>
            <w:r w:rsidRPr="000A1C8E">
              <w:rPr>
                <w:rFonts w:cs="Tahoma"/>
                <w:b/>
                <w:bCs/>
                <w:color w:val="000000"/>
                <w:szCs w:val="20"/>
              </w:rPr>
              <w:t>Observação:</w:t>
            </w:r>
            <w:r w:rsidRPr="000A1C8E">
              <w:rPr>
                <w:rFonts w:cs="Tahoma"/>
                <w:color w:val="000000"/>
                <w:szCs w:val="20"/>
              </w:rPr>
              <w:t xml:space="preserve"> Os clientes de Contrato School não estão qualificados para</w:t>
            </w:r>
            <w:r w:rsidR="00C31ABF" w:rsidRPr="000A1C8E">
              <w:rPr>
                <w:rFonts w:cs="Tahoma"/>
                <w:color w:val="000000"/>
                <w:szCs w:val="20"/>
              </w:rPr>
              <w:t> </w:t>
            </w:r>
            <w:r w:rsidRPr="000A1C8E">
              <w:rPr>
                <w:rFonts w:cs="Tahoma"/>
                <w:color w:val="000000"/>
                <w:szCs w:val="20"/>
              </w:rPr>
              <w:t>escolher produtos de aplicativo, sistema, Licença de Assinatura (usuário/dispositivo) e CAL para apenas uma parte dos PCs incluídos na assinatura</w:t>
            </w:r>
            <w:r w:rsidRPr="000A1C8E">
              <w:rPr>
                <w:rFonts w:cs="Tahoma"/>
                <w:color w:val="000000"/>
                <w:szCs w:val="18"/>
              </w:rPr>
              <w:t>, salvo se explicitamente disposto nas Notas de Condições do Produto na Lista de Produtos</w:t>
            </w:r>
            <w:r w:rsidRPr="000A1C8E">
              <w:rPr>
                <w:rFonts w:cs="Tahoma"/>
                <w:color w:val="000000"/>
                <w:szCs w:val="20"/>
              </w:rPr>
              <w:t>. Por exemplo, se a assinatura for para um total</w:t>
            </w:r>
            <w:r w:rsidR="00C31ABF" w:rsidRPr="000A1C8E">
              <w:rPr>
                <w:rFonts w:cs="Tahoma"/>
                <w:color w:val="000000"/>
                <w:szCs w:val="20"/>
              </w:rPr>
              <w:t> </w:t>
            </w:r>
            <w:r w:rsidRPr="000A1C8E">
              <w:rPr>
                <w:rFonts w:cs="Tahoma"/>
                <w:color w:val="000000"/>
                <w:szCs w:val="20"/>
              </w:rPr>
              <w:t>de 100</w:t>
            </w:r>
            <w:r w:rsidR="00C94C31">
              <w:rPr>
                <w:rFonts w:cs="Tahoma"/>
                <w:color w:val="000000"/>
                <w:szCs w:val="20"/>
              </w:rPr>
              <w:t xml:space="preserve">  </w:t>
            </w:r>
            <w:r w:rsidRPr="000A1C8E">
              <w:rPr>
                <w:rFonts w:cs="Tahoma"/>
                <w:color w:val="000000"/>
                <w:szCs w:val="20"/>
              </w:rPr>
              <w:t>PCs, os produtos de aplicativo, sistema, Licença de Assinatura (usuário/dispositivo) e CAL selecionados serão para todos os 100 PCs, ainda que apenas uma parte desses PCs venha a executar um produto específico.</w:t>
            </w:r>
          </w:p>
          <w:p w:rsidR="00230E01" w:rsidRPr="000A1C8E" w:rsidRDefault="00230E01" w:rsidP="00230E01">
            <w:pPr>
              <w:tabs>
                <w:tab w:val="left" w:pos="8640"/>
              </w:tabs>
              <w:ind w:right="720"/>
              <w:rPr>
                <w:rFonts w:cs="Tahoma"/>
                <w:color w:val="000000"/>
                <w:szCs w:val="20"/>
                <w:lang w:eastAsia="ja-JP"/>
              </w:rPr>
            </w:pPr>
          </w:p>
        </w:tc>
      </w:tr>
      <w:tr w:rsidR="00456002" w:rsidRPr="000A1C8E" w:rsidTr="003700AD">
        <w:tblPrEx>
          <w:tblCellMar>
            <w:left w:w="108" w:type="dxa"/>
            <w:right w:w="108" w:type="dxa"/>
          </w:tblCellMar>
        </w:tblPrEx>
        <w:trPr>
          <w:gridBefore w:val="1"/>
          <w:wBefore w:w="7" w:type="dxa"/>
        </w:trPr>
        <w:tc>
          <w:tcPr>
            <w:tcW w:w="2250" w:type="dxa"/>
            <w:shd w:val="clear" w:color="auto" w:fill="auto"/>
          </w:tcPr>
          <w:p w:rsidR="00456002" w:rsidRPr="000A1C8E" w:rsidRDefault="00456002" w:rsidP="003700AD">
            <w:pPr>
              <w:pStyle w:val="AppendixBodyText"/>
              <w:spacing w:before="60"/>
              <w:ind w:right="720"/>
              <w:rPr>
                <w:rFonts w:ascii="Tahoma" w:hAnsi="Tahoma" w:cs="Tahoma"/>
                <w:b/>
                <w:color w:val="000000"/>
                <w:sz w:val="18"/>
                <w:szCs w:val="18"/>
                <w:lang w:eastAsia="ja-JP"/>
              </w:rPr>
            </w:pPr>
            <w:r w:rsidRPr="000A1C8E">
              <w:rPr>
                <w:rFonts w:ascii="Tahoma" w:hAnsi="Tahoma" w:cs="Tahoma"/>
                <w:b/>
              </w:rPr>
              <w:t>Contrato Enterprise e</w:t>
            </w:r>
            <w:r w:rsidR="003700AD">
              <w:rPr>
                <w:rFonts w:ascii="Tahoma" w:hAnsi="Tahoma" w:cs="Tahoma"/>
                <w:b/>
              </w:rPr>
              <w:t> </w:t>
            </w:r>
            <w:r w:rsidRPr="000A1C8E">
              <w:rPr>
                <w:rFonts w:ascii="Tahoma" w:hAnsi="Tahoma" w:cs="Tahoma"/>
                <w:b/>
              </w:rPr>
              <w:t>Contrato Enterprise Subscription</w:t>
            </w:r>
          </w:p>
        </w:tc>
        <w:tc>
          <w:tcPr>
            <w:tcW w:w="6966" w:type="dxa"/>
            <w:gridSpan w:val="2"/>
            <w:shd w:val="clear" w:color="auto" w:fill="auto"/>
          </w:tcPr>
          <w:p w:rsidR="00456002" w:rsidRPr="000A1C8E" w:rsidRDefault="00456002" w:rsidP="00A70464">
            <w:pPr>
              <w:spacing w:before="60"/>
              <w:rPr>
                <w:rFonts w:cs="Tahoma"/>
              </w:rPr>
            </w:pPr>
            <w:r w:rsidRPr="000A1C8E">
              <w:rPr>
                <w:rFonts w:cs="Tahoma"/>
              </w:rPr>
              <w:t>Contrato Enterprise (EA) e Contrato Enterprise Subscription (ESA) exige um mínimo de 250 Dispositivos Qualificados/Desktops ou Usuários Qualificados.</w:t>
            </w:r>
          </w:p>
          <w:p w:rsidR="00456002" w:rsidRPr="000A1C8E" w:rsidRDefault="00456002" w:rsidP="00A70464">
            <w:pPr>
              <w:rPr>
                <w:rFonts w:cs="Tahoma"/>
                <w:sz w:val="14"/>
                <w:szCs w:val="14"/>
              </w:rPr>
            </w:pPr>
          </w:p>
          <w:p w:rsidR="0091793D" w:rsidRPr="000A1C8E" w:rsidRDefault="0091793D" w:rsidP="004B6D8C">
            <w:pPr>
              <w:spacing w:after="60"/>
              <w:rPr>
                <w:rFonts w:cs="Tahoma"/>
              </w:rPr>
            </w:pPr>
            <w:r w:rsidRPr="000A1C8E">
              <w:rPr>
                <w:rFonts w:cs="Tahoma"/>
                <w:b/>
              </w:rPr>
              <w:t>Desktop Qualificado/Desktop</w:t>
            </w:r>
          </w:p>
          <w:p w:rsidR="0091793D" w:rsidRPr="000A1C8E" w:rsidRDefault="0091793D" w:rsidP="00003D41">
            <w:pPr>
              <w:rPr>
                <w:rFonts w:cs="Tahoma"/>
              </w:rPr>
            </w:pPr>
            <w:bookmarkStart w:id="620" w:name="_Toc323159729"/>
            <w:bookmarkStart w:id="621" w:name="_Toc325313134"/>
            <w:bookmarkStart w:id="622" w:name="_Toc325609169"/>
            <w:r w:rsidRPr="000A1C8E">
              <w:rPr>
                <w:rFonts w:cs="Tahoma"/>
              </w:rPr>
              <w:t xml:space="preserve">Apesar de qualquer disposição em contrário no contrato de licenciamento por volume, os Dispositivos Qualificados/Desktops não incluem nenhum </w:t>
            </w:r>
            <w:r w:rsidRPr="000A1C8E">
              <w:rPr>
                <w:rFonts w:cs="Tahoma"/>
                <w:iCs/>
              </w:rPr>
              <w:t>dispositivo de</w:t>
            </w:r>
            <w:r w:rsidR="00C31ABF" w:rsidRPr="000A1C8E">
              <w:rPr>
                <w:rFonts w:cs="Tahoma"/>
                <w:iCs/>
              </w:rPr>
              <w:t> </w:t>
            </w:r>
            <w:r w:rsidRPr="000A1C8E">
              <w:rPr>
                <w:rFonts w:cs="Tahoma"/>
                <w:iCs/>
              </w:rPr>
              <w:t>terceiros qualificado</w:t>
            </w:r>
            <w:r w:rsidRPr="000A1C8E">
              <w:rPr>
                <w:rFonts w:cs="Tahoma"/>
              </w:rPr>
              <w:t xml:space="preserve"> a partir do qual seus usuários acessam e usam somente o</w:t>
            </w:r>
            <w:r w:rsidR="00C31ABF" w:rsidRPr="000A1C8E">
              <w:rPr>
                <w:rFonts w:cs="Tahoma"/>
              </w:rPr>
              <w:t> </w:t>
            </w:r>
            <w:r w:rsidRPr="000A1C8E">
              <w:rPr>
                <w:rFonts w:cs="Tahoma"/>
              </w:rPr>
              <w:t>software sob os Direitos de Uso de Roaming para o seguinte:</w:t>
            </w:r>
            <w:bookmarkEnd w:id="620"/>
            <w:bookmarkEnd w:id="621"/>
            <w:bookmarkEnd w:id="622"/>
          </w:p>
          <w:p w:rsidR="00456002" w:rsidRPr="000A1C8E" w:rsidRDefault="00456002" w:rsidP="00A70464">
            <w:pPr>
              <w:rPr>
                <w:rFonts w:cs="Tahoma"/>
                <w:sz w:val="14"/>
                <w:szCs w:val="14"/>
              </w:rPr>
            </w:pPr>
          </w:p>
          <w:p w:rsidR="00406CB0" w:rsidRPr="000A1C8E" w:rsidRDefault="00456002" w:rsidP="00346F4B">
            <w:pPr>
              <w:numPr>
                <w:ilvl w:val="0"/>
                <w:numId w:val="64"/>
              </w:numPr>
              <w:spacing w:after="60"/>
              <w:rPr>
                <w:rFonts w:cs="Tahoma"/>
              </w:rPr>
            </w:pPr>
            <w:r w:rsidRPr="000A1C8E">
              <w:rPr>
                <w:rFonts w:cs="Tahoma"/>
              </w:rPr>
              <w:t xml:space="preserve">Software Assurance do Windows, </w:t>
            </w:r>
          </w:p>
          <w:p w:rsidR="00456002" w:rsidRPr="000A1C8E" w:rsidRDefault="00456002" w:rsidP="00346F4B">
            <w:pPr>
              <w:numPr>
                <w:ilvl w:val="0"/>
                <w:numId w:val="64"/>
              </w:numPr>
              <w:spacing w:after="60"/>
              <w:rPr>
                <w:rFonts w:cs="Tahoma"/>
              </w:rPr>
            </w:pPr>
            <w:r w:rsidRPr="000A1C8E">
              <w:rPr>
                <w:rFonts w:cs="Tahoma"/>
              </w:rPr>
              <w:t xml:space="preserve">Windows Virtual Desktop Access (VECD), </w:t>
            </w:r>
          </w:p>
          <w:p w:rsidR="00456002" w:rsidRPr="000A1C8E" w:rsidRDefault="00456002" w:rsidP="00346F4B">
            <w:pPr>
              <w:numPr>
                <w:ilvl w:val="0"/>
                <w:numId w:val="64"/>
              </w:numPr>
              <w:spacing w:after="60"/>
              <w:rPr>
                <w:rFonts w:cs="Tahoma"/>
              </w:rPr>
            </w:pPr>
            <w:r w:rsidRPr="000A1C8E">
              <w:rPr>
                <w:rFonts w:cs="Tahoma"/>
              </w:rPr>
              <w:t xml:space="preserve">Pacotes do Virtual Desktop Infrastructure, </w:t>
            </w:r>
          </w:p>
          <w:p w:rsidR="00456002" w:rsidRPr="000A1C8E" w:rsidRDefault="00456002" w:rsidP="00346F4B">
            <w:pPr>
              <w:numPr>
                <w:ilvl w:val="0"/>
                <w:numId w:val="64"/>
              </w:numPr>
              <w:spacing w:after="60"/>
              <w:rPr>
                <w:rFonts w:cs="Tahoma"/>
              </w:rPr>
            </w:pPr>
            <w:r w:rsidRPr="000A1C8E">
              <w:rPr>
                <w:rFonts w:cs="Tahoma"/>
              </w:rPr>
              <w:t xml:space="preserve">MDOP para Software Assurance e </w:t>
            </w:r>
          </w:p>
          <w:p w:rsidR="00456002" w:rsidRPr="000A1C8E" w:rsidRDefault="00456002" w:rsidP="00346F4B">
            <w:pPr>
              <w:numPr>
                <w:ilvl w:val="0"/>
                <w:numId w:val="64"/>
              </w:numPr>
              <w:spacing w:after="60"/>
              <w:rPr>
                <w:rFonts w:cs="Tahoma"/>
              </w:rPr>
            </w:pPr>
            <w:r w:rsidRPr="000A1C8E">
              <w:rPr>
                <w:rFonts w:cs="Tahoma"/>
              </w:rPr>
              <w:t>Software Assurance para todas as edições do Office, Project e Visio que incluem os Direitos de Uso de Roaming.</w:t>
            </w:r>
            <w:r w:rsidR="00DC6D8B" w:rsidRPr="000A1C8E">
              <w:rPr>
                <w:rFonts w:cs="Tahoma"/>
              </w:rPr>
              <w:t xml:space="preserve"> </w:t>
            </w:r>
          </w:p>
          <w:p w:rsidR="00456002" w:rsidRPr="000A1C8E" w:rsidRDefault="00456002" w:rsidP="00A70464">
            <w:pPr>
              <w:rPr>
                <w:rFonts w:cs="Tahoma"/>
                <w:sz w:val="14"/>
                <w:szCs w:val="14"/>
              </w:rPr>
            </w:pPr>
          </w:p>
          <w:p w:rsidR="00456002" w:rsidRPr="000A1C8E" w:rsidRDefault="00456002" w:rsidP="00003D41">
            <w:pPr>
              <w:rPr>
                <w:rFonts w:cs="Tahoma"/>
              </w:rPr>
            </w:pPr>
            <w:bookmarkStart w:id="623" w:name="_Toc323159730"/>
            <w:bookmarkStart w:id="624" w:name="_Toc325313135"/>
            <w:bookmarkStart w:id="625" w:name="_Toc325609170"/>
            <w:r w:rsidRPr="000A1C8E">
              <w:rPr>
                <w:rFonts w:cs="Tahoma"/>
              </w:rPr>
              <w:t>“Dispositivo de terceiros qualificado” é um dispositivo não controlado, direta ou indiretamente, por você nem por suas afiliadas (por exemplo, um quiosque público de terceiros). Para obter mais informações sobre esse produto, consulte os Direitos de Uso de Produto.</w:t>
            </w:r>
            <w:bookmarkEnd w:id="623"/>
            <w:bookmarkEnd w:id="624"/>
            <w:bookmarkEnd w:id="625"/>
          </w:p>
          <w:p w:rsidR="00456002" w:rsidRPr="003700AD" w:rsidRDefault="00456002" w:rsidP="00E64551">
            <w:pPr>
              <w:pStyle w:val="Heading3"/>
              <w:ind w:left="70"/>
              <w:rPr>
                <w:rFonts w:ascii="Tahoma" w:hAnsi="Tahoma" w:cs="Tahoma"/>
                <w:sz w:val="18"/>
                <w:szCs w:val="18"/>
              </w:rPr>
            </w:pPr>
          </w:p>
          <w:p w:rsidR="0091793D" w:rsidRPr="000A1C8E" w:rsidRDefault="0091793D" w:rsidP="004B6D8C">
            <w:pPr>
              <w:spacing w:after="60"/>
              <w:rPr>
                <w:rFonts w:cs="Tahoma"/>
              </w:rPr>
            </w:pPr>
            <w:r w:rsidRPr="000A1C8E">
              <w:rPr>
                <w:rFonts w:cs="Tahoma"/>
                <w:b/>
              </w:rPr>
              <w:lastRenderedPageBreak/>
              <w:t xml:space="preserve">Isenções de Usuários Qualificados </w:t>
            </w:r>
          </w:p>
          <w:p w:rsidR="00456002" w:rsidRPr="003700AD" w:rsidRDefault="00456002" w:rsidP="00C31ABF">
            <w:pPr>
              <w:pStyle w:val="AppendixBodyText"/>
              <w:ind w:right="378"/>
              <w:rPr>
                <w:rFonts w:ascii="Tahoma" w:hAnsi="Tahoma" w:cs="Tahoma"/>
                <w:sz w:val="18"/>
                <w:szCs w:val="18"/>
              </w:rPr>
            </w:pPr>
            <w:r w:rsidRPr="003700AD">
              <w:rPr>
                <w:rFonts w:ascii="Tahoma" w:hAnsi="Tahoma" w:cs="Tahoma"/>
                <w:sz w:val="18"/>
                <w:szCs w:val="18"/>
              </w:rPr>
              <w:t>Uma pessoa que acesse software de servidor ou serviços online exclusivamente sob as licenças identificadas na lista a seguir está isenta de ser contada como um Usuário Qualificado:</w:t>
            </w:r>
          </w:p>
          <w:p w:rsidR="00456002" w:rsidRPr="003700AD" w:rsidRDefault="00456002" w:rsidP="00A70464">
            <w:pPr>
              <w:pStyle w:val="AppendixBodyText"/>
              <w:spacing w:after="0"/>
              <w:ind w:right="720"/>
              <w:rPr>
                <w:rFonts w:ascii="Tahoma" w:hAnsi="Tahoma" w:cs="Tahoma"/>
                <w:sz w:val="18"/>
                <w:szCs w:val="18"/>
              </w:rPr>
            </w:pPr>
          </w:p>
          <w:p w:rsidR="00456002" w:rsidRPr="000A1C8E" w:rsidRDefault="00456002" w:rsidP="00346F4B">
            <w:pPr>
              <w:numPr>
                <w:ilvl w:val="0"/>
                <w:numId w:val="64"/>
              </w:numPr>
              <w:spacing w:after="60"/>
              <w:rPr>
                <w:rFonts w:cs="Tahoma"/>
              </w:rPr>
            </w:pPr>
            <w:r w:rsidRPr="000A1C8E">
              <w:rPr>
                <w:rFonts w:cs="Tahoma"/>
              </w:rPr>
              <w:t>Licença de Assinatura do Usuário do Office 365 Enterprise K1 ou K2 (USL)</w:t>
            </w:r>
          </w:p>
          <w:p w:rsidR="00456002" w:rsidRPr="000A1C8E" w:rsidRDefault="00456002" w:rsidP="00346F4B">
            <w:pPr>
              <w:numPr>
                <w:ilvl w:val="0"/>
                <w:numId w:val="64"/>
              </w:numPr>
              <w:spacing w:after="60"/>
              <w:rPr>
                <w:rFonts w:cs="Tahoma"/>
              </w:rPr>
            </w:pPr>
            <w:r w:rsidRPr="000A1C8E">
              <w:rPr>
                <w:rFonts w:cs="Tahoma"/>
              </w:rPr>
              <w:t>USL do Quiosque do SharePoint Online</w:t>
            </w:r>
          </w:p>
          <w:p w:rsidR="00456002" w:rsidRPr="000A1C8E" w:rsidRDefault="00456002" w:rsidP="00346F4B">
            <w:pPr>
              <w:numPr>
                <w:ilvl w:val="0"/>
                <w:numId w:val="64"/>
              </w:numPr>
              <w:spacing w:after="60"/>
              <w:rPr>
                <w:rFonts w:cs="Tahoma"/>
              </w:rPr>
            </w:pPr>
            <w:r w:rsidRPr="000A1C8E">
              <w:rPr>
                <w:rFonts w:cs="Tahoma"/>
              </w:rPr>
              <w:t>USL do Quiosque do Exchange Online</w:t>
            </w:r>
          </w:p>
          <w:p w:rsidR="00456002" w:rsidRPr="000A1C8E" w:rsidRDefault="00456002" w:rsidP="00346F4B">
            <w:pPr>
              <w:numPr>
                <w:ilvl w:val="0"/>
                <w:numId w:val="64"/>
              </w:numPr>
              <w:spacing w:after="60"/>
              <w:rPr>
                <w:rFonts w:cs="Tahoma"/>
              </w:rPr>
            </w:pPr>
            <w:r w:rsidRPr="000A1C8E">
              <w:rPr>
                <w:rFonts w:cs="Tahoma"/>
              </w:rPr>
              <w:t>Licenças para produtos de software de servidor ou serviços online que não</w:t>
            </w:r>
            <w:r w:rsidR="00C31ABF" w:rsidRPr="000A1C8E">
              <w:rPr>
                <w:rFonts w:cs="Tahoma"/>
              </w:rPr>
              <w:t> </w:t>
            </w:r>
            <w:r w:rsidRPr="000A1C8E">
              <w:rPr>
                <w:rFonts w:cs="Tahoma"/>
              </w:rPr>
              <w:t>requeiram licenças individuais para os usuários ou dispositivos que acessem esses produtos ou serviços online (como Licenças de Acesso para</w:t>
            </w:r>
            <w:r w:rsidR="00C31ABF" w:rsidRPr="000A1C8E">
              <w:rPr>
                <w:rFonts w:cs="Tahoma"/>
              </w:rPr>
              <w:t> </w:t>
            </w:r>
            <w:r w:rsidRPr="000A1C8E">
              <w:rPr>
                <w:rFonts w:cs="Tahoma"/>
              </w:rPr>
              <w:t>Cliente, Licenças de Gerenciamento de Cliente, USLs e DSLs)</w:t>
            </w:r>
          </w:p>
          <w:p w:rsidR="00456002" w:rsidRPr="000A1C8E" w:rsidRDefault="00456002" w:rsidP="00346F4B">
            <w:pPr>
              <w:numPr>
                <w:ilvl w:val="0"/>
                <w:numId w:val="64"/>
              </w:numPr>
              <w:spacing w:after="60"/>
              <w:rPr>
                <w:rFonts w:cs="Tahoma"/>
              </w:rPr>
            </w:pPr>
            <w:r w:rsidRPr="000A1C8E">
              <w:rPr>
                <w:rFonts w:cs="Tahoma"/>
              </w:rPr>
              <w:t>Qualquer External Connector License</w:t>
            </w:r>
          </w:p>
          <w:p w:rsidR="00456002" w:rsidRPr="003700AD" w:rsidRDefault="00456002" w:rsidP="00A70464">
            <w:pPr>
              <w:pStyle w:val="AppendixBodyText"/>
              <w:spacing w:after="0"/>
              <w:ind w:right="720"/>
              <w:rPr>
                <w:rFonts w:ascii="Tahoma" w:hAnsi="Tahoma" w:cs="Tahoma"/>
                <w:sz w:val="18"/>
                <w:szCs w:val="18"/>
              </w:rPr>
            </w:pPr>
          </w:p>
          <w:p w:rsidR="00230E01" w:rsidRPr="000A1C8E" w:rsidRDefault="00456002" w:rsidP="006D642E">
            <w:pPr>
              <w:pStyle w:val="AppendixBodyText"/>
              <w:spacing w:after="0"/>
              <w:ind w:right="144"/>
              <w:rPr>
                <w:rFonts w:ascii="Tahoma" w:hAnsi="Tahoma" w:cs="Tahoma"/>
                <w:sz w:val="18"/>
                <w:lang w:eastAsia="ja-JP"/>
              </w:rPr>
            </w:pPr>
            <w:r w:rsidRPr="000A1C8E">
              <w:rPr>
                <w:rFonts w:ascii="Tahoma" w:hAnsi="Tahoma" w:cs="Tahoma"/>
                <w:sz w:val="18"/>
              </w:rPr>
              <w:t>Essas isenções de Usuários Qualificados aplicam-se a todos os clientes de EA e ESA, sem levar em conta se isenções de Usuários Qualificados estão contempladas especificamente nos termos e condições dos contratos dos clientes.</w:t>
            </w:r>
            <w:r w:rsidR="006D642E" w:rsidRPr="000A1C8E">
              <w:rPr>
                <w:rFonts w:ascii="Tahoma" w:hAnsi="Tahoma" w:cs="Tahoma"/>
                <w:sz w:val="18"/>
                <w:lang w:eastAsia="ja-JP"/>
              </w:rPr>
              <w:t xml:space="preserve"> </w:t>
            </w:r>
          </w:p>
        </w:tc>
      </w:tr>
      <w:tr w:rsidR="00456002" w:rsidRPr="000A1C8E" w:rsidTr="003700AD">
        <w:tblPrEx>
          <w:tblCellMar>
            <w:left w:w="108" w:type="dxa"/>
            <w:right w:w="108" w:type="dxa"/>
          </w:tblCellMar>
        </w:tblPrEx>
        <w:trPr>
          <w:gridBefore w:val="1"/>
          <w:wBefore w:w="7" w:type="dxa"/>
        </w:trPr>
        <w:tc>
          <w:tcPr>
            <w:tcW w:w="2250" w:type="dxa"/>
            <w:shd w:val="clear" w:color="auto" w:fill="auto"/>
          </w:tcPr>
          <w:p w:rsidR="00456002" w:rsidRPr="000A1C8E" w:rsidRDefault="00456002" w:rsidP="00A70464">
            <w:pPr>
              <w:pStyle w:val="AppendixBodyText"/>
              <w:spacing w:before="60"/>
              <w:ind w:right="720"/>
              <w:rPr>
                <w:rFonts w:ascii="Tahoma" w:hAnsi="Tahoma" w:cs="Tahoma"/>
                <w:b/>
                <w:lang w:eastAsia="ja-JP"/>
              </w:rPr>
            </w:pPr>
            <w:r w:rsidRPr="000A1C8E">
              <w:rPr>
                <w:rFonts w:ascii="Tahoma" w:hAnsi="Tahoma" w:cs="Tahoma"/>
                <w:b/>
                <w:color w:val="000000"/>
                <w:szCs w:val="18"/>
              </w:rPr>
              <w:lastRenderedPageBreak/>
              <w:t>EES</w:t>
            </w:r>
          </w:p>
        </w:tc>
        <w:tc>
          <w:tcPr>
            <w:tcW w:w="6966" w:type="dxa"/>
            <w:gridSpan w:val="2"/>
            <w:shd w:val="clear" w:color="auto" w:fill="auto"/>
          </w:tcPr>
          <w:p w:rsidR="00456002" w:rsidRPr="003700AD" w:rsidRDefault="00456002" w:rsidP="00A70464">
            <w:pPr>
              <w:pStyle w:val="ListParagraph"/>
              <w:spacing w:before="60"/>
              <w:ind w:left="0"/>
              <w:contextualSpacing w:val="0"/>
              <w:rPr>
                <w:rFonts w:ascii="Tahoma" w:hAnsi="Tahoma" w:cs="Tahoma"/>
                <w:sz w:val="18"/>
                <w:szCs w:val="18"/>
              </w:rPr>
            </w:pPr>
            <w:r w:rsidRPr="003700AD">
              <w:rPr>
                <w:rFonts w:ascii="Tahoma" w:hAnsi="Tahoma" w:cs="Tahoma"/>
                <w:sz w:val="18"/>
                <w:szCs w:val="18"/>
              </w:rPr>
              <w:t>O EES requer um pedido mínimo conforme especificado a seguir:</w:t>
            </w:r>
            <w:r w:rsidR="00DC6D8B" w:rsidRPr="003700AD">
              <w:rPr>
                <w:rFonts w:ascii="Tahoma" w:hAnsi="Tahoma" w:cs="Tahoma"/>
                <w:sz w:val="18"/>
                <w:szCs w:val="18"/>
              </w:rPr>
              <w:t xml:space="preserve"> </w:t>
            </w:r>
          </w:p>
          <w:p w:rsidR="00406CB0" w:rsidRPr="000A1C8E" w:rsidRDefault="00406CB0" w:rsidP="00A70464">
            <w:pPr>
              <w:pStyle w:val="ListParagraph"/>
              <w:ind w:left="0"/>
              <w:contextualSpacing w:val="0"/>
              <w:rPr>
                <w:rFonts w:ascii="Tahoma" w:eastAsia="Meiryo" w:hAnsi="Tahoma" w:cs="Tahoma"/>
                <w:color w:val="1F497D"/>
                <w:sz w:val="18"/>
                <w:szCs w:val="18"/>
              </w:rPr>
            </w:pPr>
          </w:p>
          <w:p w:rsidR="00456002" w:rsidRPr="000A1C8E" w:rsidRDefault="00456002" w:rsidP="00346F4B">
            <w:pPr>
              <w:numPr>
                <w:ilvl w:val="0"/>
                <w:numId w:val="64"/>
              </w:numPr>
              <w:spacing w:after="60"/>
              <w:rPr>
                <w:rFonts w:cs="Tahoma"/>
              </w:rPr>
            </w:pPr>
            <w:r w:rsidRPr="000A1C8E">
              <w:rPr>
                <w:rFonts w:cs="Tahoma"/>
              </w:rPr>
              <w:t>pelo menos um Produto da Plataforma Desktop para a Contagem de toda a</w:t>
            </w:r>
            <w:r w:rsidR="00C31ABF" w:rsidRPr="000A1C8E">
              <w:rPr>
                <w:rFonts w:cs="Tahoma"/>
              </w:rPr>
              <w:t> </w:t>
            </w:r>
            <w:r w:rsidRPr="000A1C8E">
              <w:rPr>
                <w:rFonts w:cs="Tahoma"/>
              </w:rPr>
              <w:t>Organização de, pelo menos, 1.000 OU</w:t>
            </w:r>
          </w:p>
          <w:p w:rsidR="00456002" w:rsidRPr="000A1C8E" w:rsidRDefault="00456002" w:rsidP="00346F4B">
            <w:pPr>
              <w:numPr>
                <w:ilvl w:val="0"/>
                <w:numId w:val="64"/>
              </w:numPr>
              <w:spacing w:after="60"/>
              <w:rPr>
                <w:rFonts w:cs="Tahoma"/>
              </w:rPr>
            </w:pPr>
            <w:r w:rsidRPr="000A1C8E">
              <w:rPr>
                <w:rFonts w:cs="Tahoma"/>
              </w:rPr>
              <w:t>pelo menos um Serviço Online da Plataforma para o Corpo Docente/Funcionários na quantidade de 1.000 OU</w:t>
            </w:r>
          </w:p>
          <w:p w:rsidR="00456002" w:rsidRPr="000A1C8E" w:rsidRDefault="00456002" w:rsidP="00346F4B">
            <w:pPr>
              <w:numPr>
                <w:ilvl w:val="0"/>
                <w:numId w:val="64"/>
              </w:numPr>
              <w:spacing w:after="60"/>
              <w:rPr>
                <w:rFonts w:cs="Tahoma"/>
              </w:rPr>
            </w:pPr>
            <w:r w:rsidRPr="000A1C8E">
              <w:rPr>
                <w:rFonts w:cs="Tahoma"/>
              </w:rPr>
              <w:t>pelo menos um Produto da Plataforma Desktop para a Contagem de Estudantes de, pelo menos, 1.000 OU</w:t>
            </w:r>
          </w:p>
          <w:p w:rsidR="00456002" w:rsidRPr="000A1C8E" w:rsidRDefault="00456002" w:rsidP="00346F4B">
            <w:pPr>
              <w:numPr>
                <w:ilvl w:val="0"/>
                <w:numId w:val="64"/>
              </w:numPr>
              <w:spacing w:after="60"/>
              <w:rPr>
                <w:rFonts w:cs="Tahoma"/>
              </w:rPr>
            </w:pPr>
            <w:r w:rsidRPr="000A1C8E">
              <w:rPr>
                <w:rFonts w:cs="Tahoma"/>
              </w:rPr>
              <w:t xml:space="preserve">pelo menos um Serviço Online da Plataforma para Estudantes na quantidade de 1.000 </w:t>
            </w:r>
          </w:p>
          <w:p w:rsidR="00456002" w:rsidRPr="000A1C8E" w:rsidRDefault="00456002" w:rsidP="00A70464">
            <w:pPr>
              <w:rPr>
                <w:rFonts w:cs="Tahoma"/>
                <w:sz w:val="14"/>
                <w:szCs w:val="14"/>
              </w:rPr>
            </w:pPr>
            <w:r w:rsidRPr="000A1C8E">
              <w:rPr>
                <w:rFonts w:cs="Tahoma"/>
                <w:bCs/>
                <w:color w:val="000000"/>
                <w:sz w:val="14"/>
                <w:szCs w:val="14"/>
              </w:rPr>
              <w:t xml:space="preserve"> </w:t>
            </w:r>
          </w:p>
          <w:p w:rsidR="00A9013C" w:rsidRPr="000A1C8E" w:rsidRDefault="00456002" w:rsidP="005C647E">
            <w:pPr>
              <w:rPr>
                <w:rFonts w:cs="Tahoma"/>
              </w:rPr>
            </w:pPr>
            <w:r w:rsidRPr="000A1C8E">
              <w:rPr>
                <w:rFonts w:cs="Tahoma"/>
                <w:b/>
                <w:color w:val="000000"/>
                <w:szCs w:val="18"/>
              </w:rPr>
              <w:t>Observação:</w:t>
            </w:r>
            <w:r w:rsidRPr="000A1C8E">
              <w:rPr>
                <w:rFonts w:cs="Tahoma"/>
                <w:color w:val="000000"/>
                <w:szCs w:val="18"/>
              </w:rPr>
              <w:t xml:space="preserve"> Esse requisito de quantidade no pedido poderá ser dispensado caso seja fornecido um registro qualificado.</w:t>
            </w:r>
          </w:p>
          <w:p w:rsidR="00406CB0" w:rsidRPr="000A1C8E" w:rsidRDefault="00406CB0" w:rsidP="005C647E">
            <w:pPr>
              <w:rPr>
                <w:rFonts w:cs="Tahoma"/>
                <w:sz w:val="14"/>
                <w:szCs w:val="14"/>
              </w:rPr>
            </w:pPr>
          </w:p>
          <w:p w:rsidR="00822871" w:rsidRPr="000A1C8E" w:rsidRDefault="00A9013C" w:rsidP="00230E01">
            <w:pPr>
              <w:rPr>
                <w:rFonts w:cs="Tahoma"/>
              </w:rPr>
            </w:pPr>
            <w:r w:rsidRPr="000A1C8E">
              <w:rPr>
                <w:rFonts w:cs="Tahoma"/>
                <w:b/>
                <w:color w:val="000000"/>
                <w:szCs w:val="18"/>
              </w:rPr>
              <w:t xml:space="preserve">Observação: </w:t>
            </w:r>
            <w:r w:rsidRPr="000A1C8E">
              <w:rPr>
                <w:rFonts w:cs="Tahoma"/>
                <w:color w:val="000000"/>
                <w:szCs w:val="18"/>
              </w:rPr>
              <w:t>As CALs (Licenças de acesso para cliente) compradas em razão do Enrollment for Education Solutions (EES) que podem ser licenciadas não para toda a</w:t>
            </w:r>
            <w:r w:rsidR="00C31ABF" w:rsidRPr="000A1C8E">
              <w:rPr>
                <w:rFonts w:cs="Tahoma"/>
                <w:color w:val="000000"/>
                <w:szCs w:val="18"/>
              </w:rPr>
              <w:t> </w:t>
            </w:r>
            <w:r w:rsidRPr="000A1C8E">
              <w:rPr>
                <w:rFonts w:cs="Tahoma"/>
                <w:color w:val="000000"/>
                <w:szCs w:val="18"/>
              </w:rPr>
              <w:t>organização podem ser designadas e usadas como CALs de dispositivo ou CALs de</w:t>
            </w:r>
            <w:r w:rsidR="00C31ABF" w:rsidRPr="000A1C8E">
              <w:rPr>
                <w:rFonts w:cs="Tahoma"/>
                <w:color w:val="000000"/>
                <w:szCs w:val="18"/>
              </w:rPr>
              <w:t> </w:t>
            </w:r>
            <w:r w:rsidRPr="000A1C8E">
              <w:rPr>
                <w:rFonts w:cs="Tahoma"/>
                <w:color w:val="000000"/>
                <w:szCs w:val="18"/>
              </w:rPr>
              <w:t>usuário, a critério da Instituição.</w:t>
            </w:r>
            <w:r w:rsidR="00DC6D8B" w:rsidRPr="000A1C8E">
              <w:rPr>
                <w:rFonts w:cs="Tahoma"/>
                <w:color w:val="000000"/>
                <w:szCs w:val="18"/>
              </w:rPr>
              <w:t xml:space="preserve"> </w:t>
            </w:r>
            <w:r w:rsidRPr="000A1C8E">
              <w:rPr>
                <w:rFonts w:cs="Tahoma"/>
                <w:color w:val="000000"/>
                <w:szCs w:val="18"/>
              </w:rPr>
              <w:t>As CALs de usuário não podem ser reatribuídas como CALs de dispositivo, e CALs de dispositivo não podem ser reatribuídas como CALs de usuário, exceto como pode ser visto a seguir.</w:t>
            </w:r>
            <w:r w:rsidR="00DC6D8B" w:rsidRPr="000A1C8E">
              <w:rPr>
                <w:rFonts w:cs="Tahoma"/>
                <w:color w:val="000000"/>
                <w:szCs w:val="18"/>
              </w:rPr>
              <w:t xml:space="preserve"> </w:t>
            </w:r>
            <w:r w:rsidRPr="000A1C8E">
              <w:rPr>
                <w:rFonts w:cs="Tahoma"/>
                <w:color w:val="000000"/>
                <w:szCs w:val="18"/>
              </w:rPr>
              <w:t>Qualquer CAL solicitada não para toda a empresa pode ser reatribuída e usada como uma CAL de dispositivo ou usuário mediante a renovação da assinatura por meio de um novo Contrato.</w:t>
            </w:r>
          </w:p>
          <w:p w:rsidR="00230E01" w:rsidRPr="000A1C8E" w:rsidRDefault="00230E01" w:rsidP="00230E01">
            <w:pPr>
              <w:rPr>
                <w:rFonts w:cs="Tahoma"/>
                <w:color w:val="000000"/>
                <w:sz w:val="12"/>
                <w:szCs w:val="12"/>
              </w:rPr>
            </w:pPr>
          </w:p>
        </w:tc>
      </w:tr>
    </w:tbl>
    <w:p w:rsidR="00366502" w:rsidRPr="000A1C8E" w:rsidRDefault="00366502" w:rsidP="00456002">
      <w:pPr>
        <w:pStyle w:val="Heading3"/>
        <w:ind w:right="720"/>
        <w:rPr>
          <w:rFonts w:ascii="Tahoma" w:hAnsi="Tahoma" w:cs="Tahoma"/>
          <w:sz w:val="18"/>
          <w:szCs w:val="22"/>
        </w:rPr>
      </w:pPr>
      <w:bookmarkStart w:id="626" w:name="_Toc323159731"/>
      <w:bookmarkStart w:id="627" w:name="_Toc325609171"/>
      <w:bookmarkStart w:id="628" w:name="_Toc336338192"/>
    </w:p>
    <w:p w:rsidR="00456002" w:rsidRPr="000A1C8E" w:rsidRDefault="00456002" w:rsidP="00456002">
      <w:pPr>
        <w:pStyle w:val="Heading3"/>
        <w:ind w:right="720"/>
        <w:rPr>
          <w:rFonts w:ascii="Tahoma" w:hAnsi="Tahoma" w:cs="Tahoma"/>
        </w:rPr>
      </w:pPr>
      <w:bookmarkStart w:id="629" w:name="_Toc361829275"/>
      <w:r w:rsidRPr="000A1C8E">
        <w:rPr>
          <w:rFonts w:ascii="Tahoma" w:hAnsi="Tahoma" w:cs="Tahoma"/>
          <w:sz w:val="24"/>
          <w:szCs w:val="22"/>
        </w:rPr>
        <w:t>Plataformas</w:t>
      </w:r>
      <w:bookmarkEnd w:id="626"/>
      <w:bookmarkEnd w:id="627"/>
      <w:bookmarkEnd w:id="628"/>
      <w:bookmarkEnd w:id="629"/>
    </w:p>
    <w:p w:rsidR="00456002" w:rsidRPr="000A1C8E"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0A1C8E" w:rsidTr="006D642E">
        <w:trPr>
          <w:tblHeader/>
        </w:trPr>
        <w:tc>
          <w:tcPr>
            <w:tcW w:w="1890" w:type="dxa"/>
            <w:shd w:val="clear" w:color="auto" w:fill="FABF8F"/>
          </w:tcPr>
          <w:p w:rsidR="00456002" w:rsidRPr="000A1C8E" w:rsidRDefault="00456002" w:rsidP="00E64551">
            <w:pPr>
              <w:rPr>
                <w:rFonts w:cs="Tahoma"/>
                <w:b/>
                <w:sz w:val="22"/>
                <w:lang w:eastAsia="ja-JP"/>
              </w:rPr>
            </w:pPr>
            <w:r w:rsidRPr="000A1C8E">
              <w:rPr>
                <w:rFonts w:cs="Tahoma"/>
                <w:b/>
                <w:sz w:val="22"/>
              </w:rPr>
              <w:t>Programas</w:t>
            </w:r>
          </w:p>
        </w:tc>
        <w:tc>
          <w:tcPr>
            <w:tcW w:w="7308" w:type="dxa"/>
            <w:shd w:val="clear" w:color="auto" w:fill="FABF8F"/>
          </w:tcPr>
          <w:p w:rsidR="00456002" w:rsidRPr="000A1C8E" w:rsidRDefault="00456002" w:rsidP="005C647E">
            <w:pPr>
              <w:jc w:val="center"/>
              <w:rPr>
                <w:rFonts w:cs="Tahoma"/>
                <w:b/>
                <w:sz w:val="22"/>
                <w:lang w:eastAsia="ja-JP"/>
              </w:rPr>
            </w:pPr>
            <w:r w:rsidRPr="000A1C8E">
              <w:rPr>
                <w:rFonts w:cs="Tahoma"/>
                <w:b/>
                <w:sz w:val="22"/>
              </w:rPr>
              <w:t>Plataformas</w:t>
            </w:r>
          </w:p>
        </w:tc>
      </w:tr>
      <w:tr w:rsidR="00456002" w:rsidRPr="000A1C8E" w:rsidTr="00E72B9D">
        <w:tc>
          <w:tcPr>
            <w:tcW w:w="1890" w:type="dxa"/>
            <w:shd w:val="clear" w:color="auto" w:fill="auto"/>
          </w:tcPr>
          <w:p w:rsidR="00456002" w:rsidRPr="000A1C8E" w:rsidRDefault="00DD367D" w:rsidP="00A51838">
            <w:pPr>
              <w:spacing w:before="60"/>
              <w:rPr>
                <w:rFonts w:cs="Tahoma"/>
                <w:b/>
                <w:lang w:eastAsia="ja-JP"/>
              </w:rPr>
            </w:pPr>
            <w:r w:rsidRPr="000A1C8E">
              <w:rPr>
                <w:rFonts w:cs="Tahoma"/>
                <w:b/>
              </w:rPr>
              <w:t>Contrato Enterprise e Contrato Enterprise Subscription</w:t>
            </w:r>
          </w:p>
        </w:tc>
        <w:tc>
          <w:tcPr>
            <w:tcW w:w="7308" w:type="dxa"/>
            <w:shd w:val="clear" w:color="auto" w:fill="auto"/>
          </w:tcPr>
          <w:p w:rsidR="00456002" w:rsidRPr="003700AD" w:rsidRDefault="00456002" w:rsidP="00346F4B">
            <w:pPr>
              <w:pStyle w:val="ListParagraph"/>
              <w:numPr>
                <w:ilvl w:val="0"/>
                <w:numId w:val="123"/>
              </w:numPr>
              <w:spacing w:before="60" w:after="60"/>
              <w:ind w:left="245"/>
              <w:rPr>
                <w:rFonts w:ascii="Tahoma" w:hAnsi="Tahoma" w:cs="Tahoma"/>
                <w:sz w:val="18"/>
                <w:szCs w:val="18"/>
              </w:rPr>
            </w:pPr>
            <w:r w:rsidRPr="003700AD">
              <w:rPr>
                <w:rFonts w:ascii="Tahoma" w:hAnsi="Tahoma" w:cs="Tahoma"/>
                <w:b/>
                <w:sz w:val="18"/>
                <w:szCs w:val="18"/>
              </w:rPr>
              <w:t>Produtos da Plataforma de Desktop Empresarial</w:t>
            </w:r>
          </w:p>
          <w:p w:rsidR="00456002" w:rsidRPr="003700AD" w:rsidRDefault="00456002" w:rsidP="004B6D8C">
            <w:pPr>
              <w:rPr>
                <w:rFonts w:cs="Tahoma"/>
                <w:szCs w:val="18"/>
              </w:rPr>
            </w:pPr>
            <w:r w:rsidRPr="003700AD">
              <w:rPr>
                <w:rFonts w:cs="Tahoma"/>
                <w:color w:val="000000"/>
                <w:szCs w:val="18"/>
              </w:rPr>
              <w:t>Os produtos da plataforma Enterprise Desktop estão disponíveis para os clientes do Contrato Enterprise. A Plataforma de Desktop Enterprise inclui a versão mais atual do</w:t>
            </w:r>
            <w:r w:rsidR="00C31ABF" w:rsidRPr="003700AD">
              <w:rPr>
                <w:rFonts w:cs="Tahoma"/>
                <w:color w:val="000000"/>
                <w:szCs w:val="18"/>
              </w:rPr>
              <w:t> </w:t>
            </w:r>
            <w:r w:rsidRPr="003700AD">
              <w:rPr>
                <w:rFonts w:cs="Tahoma"/>
                <w:color w:val="000000"/>
                <w:szCs w:val="18"/>
              </w:rPr>
              <w:t xml:space="preserve">Office </w:t>
            </w:r>
            <w:r w:rsidRPr="003700AD">
              <w:rPr>
                <w:rFonts w:cs="Tahoma"/>
                <w:szCs w:val="18"/>
              </w:rPr>
              <w:t>Professional Plus</w:t>
            </w:r>
            <w:r w:rsidRPr="003700AD">
              <w:rPr>
                <w:rFonts w:cs="Tahoma"/>
                <w:color w:val="000000"/>
                <w:szCs w:val="18"/>
              </w:rPr>
              <w:t>, a Atualização de Sistema Operacional Windows 8 Pro ou Windows Virtual Desktop Access (VDA) e a licença de acesso para cliente do Pacote de CAL Empresarial. Os produtos da Plataforma de Desktop Empresarial são identificados por um “E” na coluna Contrato Enterprise.</w:t>
            </w:r>
            <w:r w:rsidR="00DC6D8B" w:rsidRPr="003700AD">
              <w:rPr>
                <w:rFonts w:cs="Tahoma"/>
                <w:color w:val="000000"/>
                <w:szCs w:val="18"/>
              </w:rPr>
              <w:t xml:space="preserve"> </w:t>
            </w:r>
            <w:r w:rsidRPr="003700AD">
              <w:rPr>
                <w:rFonts w:cs="Tahoma"/>
                <w:color w:val="000000"/>
                <w:szCs w:val="18"/>
              </w:rPr>
              <w:t>Para os clientes de Contratos Enterprise e</w:t>
            </w:r>
            <w:r w:rsidR="00C31ABF" w:rsidRPr="003700AD">
              <w:rPr>
                <w:rFonts w:cs="Tahoma"/>
                <w:color w:val="000000"/>
                <w:szCs w:val="18"/>
              </w:rPr>
              <w:t> </w:t>
            </w:r>
            <w:r w:rsidRPr="003700AD">
              <w:rPr>
                <w:rFonts w:cs="Tahoma"/>
                <w:color w:val="000000"/>
                <w:szCs w:val="18"/>
              </w:rPr>
              <w:t>Enterprise Subscription, a Plataforma de Desktop Empresarial também pode ser adquirida com o MDOP.</w:t>
            </w:r>
          </w:p>
          <w:p w:rsidR="00456002" w:rsidRPr="003700AD" w:rsidRDefault="00456002" w:rsidP="00346F4B">
            <w:pPr>
              <w:pStyle w:val="ListParagraph"/>
              <w:numPr>
                <w:ilvl w:val="0"/>
                <w:numId w:val="123"/>
              </w:numPr>
              <w:spacing w:after="60"/>
              <w:ind w:left="252"/>
              <w:rPr>
                <w:rFonts w:ascii="Tahoma" w:hAnsi="Tahoma" w:cs="Tahoma"/>
                <w:sz w:val="18"/>
                <w:szCs w:val="18"/>
              </w:rPr>
            </w:pPr>
            <w:r w:rsidRPr="003700AD">
              <w:rPr>
                <w:rFonts w:ascii="Tahoma" w:hAnsi="Tahoma" w:cs="Tahoma"/>
                <w:b/>
                <w:sz w:val="18"/>
                <w:szCs w:val="18"/>
              </w:rPr>
              <w:lastRenderedPageBreak/>
              <w:t>Produtos da Plataforma de Desktop Profissional</w:t>
            </w:r>
          </w:p>
          <w:p w:rsidR="00456002" w:rsidRPr="003700AD" w:rsidRDefault="00456002" w:rsidP="004B6D8C">
            <w:pPr>
              <w:rPr>
                <w:rFonts w:cs="Tahoma"/>
                <w:szCs w:val="18"/>
              </w:rPr>
            </w:pPr>
            <w:r w:rsidRPr="003700AD">
              <w:rPr>
                <w:rFonts w:cs="Tahoma"/>
                <w:color w:val="000000"/>
                <w:szCs w:val="18"/>
              </w:rPr>
              <w:t>Os produtos da Plataforma de Desktop Profissional estão disponíveis para os clientes de Contratos Enterprise. A Plataforma de Desktop Profissional inclui a versão mais atual do</w:t>
            </w:r>
            <w:r w:rsidR="00C31ABF" w:rsidRPr="003700AD">
              <w:rPr>
                <w:rFonts w:cs="Tahoma"/>
                <w:color w:val="000000"/>
                <w:szCs w:val="18"/>
              </w:rPr>
              <w:t> </w:t>
            </w:r>
            <w:r w:rsidRPr="003700AD">
              <w:rPr>
                <w:rFonts w:cs="Tahoma"/>
                <w:color w:val="000000"/>
                <w:szCs w:val="18"/>
              </w:rPr>
              <w:t>Office Professional Plus, a Atualização de Sistema Operacional Windows 8 Pro ou o</w:t>
            </w:r>
            <w:r w:rsidR="00C31ABF" w:rsidRPr="003700AD">
              <w:rPr>
                <w:rFonts w:cs="Tahoma"/>
                <w:color w:val="000000"/>
                <w:szCs w:val="18"/>
              </w:rPr>
              <w:t> </w:t>
            </w:r>
            <w:r w:rsidRPr="003700AD">
              <w:rPr>
                <w:rFonts w:cs="Tahoma"/>
                <w:color w:val="000000"/>
                <w:szCs w:val="18"/>
              </w:rPr>
              <w:t>Windows Virtual Desktop Access (VDA) (somente para contratos EA) e a licença de acesso para cliente do Pacote de CAL Principal. Os produtos da Plataforma de Desktop Profissional são identificados por um “E” na coluna Contrato Enterprise. Para os clientes de Contratos Enterprise e Enterprise Subscription, a Plataforma de Desktop Profissional também pode ser adquirida com o MDOP.</w:t>
            </w:r>
          </w:p>
          <w:p w:rsidR="00456002" w:rsidRPr="003700AD" w:rsidRDefault="00456002" w:rsidP="005C647E">
            <w:pPr>
              <w:rPr>
                <w:rFonts w:cs="Tahoma"/>
                <w:szCs w:val="18"/>
                <w:lang w:eastAsia="ja-JP"/>
              </w:rPr>
            </w:pPr>
          </w:p>
        </w:tc>
      </w:tr>
      <w:tr w:rsidR="00456002" w:rsidRPr="000A1C8E" w:rsidTr="006D642E">
        <w:trPr>
          <w:cantSplit/>
          <w:trHeight w:val="278"/>
        </w:trPr>
        <w:tc>
          <w:tcPr>
            <w:tcW w:w="1890" w:type="dxa"/>
            <w:shd w:val="clear" w:color="auto" w:fill="auto"/>
          </w:tcPr>
          <w:p w:rsidR="00456002" w:rsidRPr="000A1C8E" w:rsidRDefault="00456002" w:rsidP="00230E01">
            <w:pPr>
              <w:spacing w:before="60"/>
              <w:rPr>
                <w:rFonts w:cs="Tahoma"/>
                <w:b/>
                <w:lang w:eastAsia="ja-JP"/>
              </w:rPr>
            </w:pPr>
            <w:r w:rsidRPr="000A1C8E">
              <w:rPr>
                <w:rFonts w:cs="Tahoma"/>
                <w:b/>
                <w:sz w:val="20"/>
              </w:rPr>
              <w:lastRenderedPageBreak/>
              <w:t>Open Value e Open Value Subscription (Commercial e Government)</w:t>
            </w:r>
          </w:p>
        </w:tc>
        <w:tc>
          <w:tcPr>
            <w:tcW w:w="7308" w:type="dxa"/>
            <w:shd w:val="clear" w:color="auto" w:fill="auto"/>
          </w:tcPr>
          <w:p w:rsidR="00456002" w:rsidRPr="003700AD" w:rsidRDefault="00456002" w:rsidP="00346F4B">
            <w:pPr>
              <w:pStyle w:val="ListParagraph"/>
              <w:numPr>
                <w:ilvl w:val="0"/>
                <w:numId w:val="123"/>
              </w:numPr>
              <w:spacing w:before="60" w:after="60"/>
              <w:ind w:left="245"/>
              <w:rPr>
                <w:rFonts w:ascii="Tahoma" w:hAnsi="Tahoma" w:cs="Tahoma"/>
                <w:sz w:val="18"/>
                <w:szCs w:val="18"/>
              </w:rPr>
            </w:pPr>
            <w:r w:rsidRPr="003700AD">
              <w:rPr>
                <w:rFonts w:ascii="Tahoma" w:hAnsi="Tahoma" w:cs="Tahoma"/>
                <w:b/>
                <w:sz w:val="18"/>
                <w:szCs w:val="18"/>
              </w:rPr>
              <w:t>Produtos da Plataforma de Desktop Personalizado</w:t>
            </w:r>
          </w:p>
          <w:p w:rsidR="00456002" w:rsidRPr="003700AD" w:rsidRDefault="00456002" w:rsidP="004B6D8C">
            <w:pPr>
              <w:rPr>
                <w:rFonts w:cs="Tahoma"/>
                <w:szCs w:val="18"/>
              </w:rPr>
            </w:pPr>
            <w:r w:rsidRPr="003700AD">
              <w:rPr>
                <w:rFonts w:cs="Tahoma"/>
                <w:color w:val="000000"/>
                <w:szCs w:val="18"/>
              </w:rPr>
              <w:t xml:space="preserve">Os produtos da Plataforma Desktop Personalizados estão disponíveis para os clientes Open Value e Open Value Subscription quando selecionam a opção </w:t>
            </w:r>
            <w:r w:rsidRPr="003700AD">
              <w:rPr>
                <w:rFonts w:cs="Tahoma"/>
                <w:szCs w:val="18"/>
              </w:rPr>
              <w:t>para toda a Organização/Empresa</w:t>
            </w:r>
            <w:r w:rsidRPr="003700AD">
              <w:rPr>
                <w:rFonts w:cs="Tahoma"/>
                <w:color w:val="000000"/>
                <w:szCs w:val="18"/>
              </w:rPr>
              <w:t>. 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 Os produtos da Plataforma de Desktop Personalizado são identificados por um “E” nas colunas Open Value.</w:t>
            </w:r>
            <w:r w:rsidR="00DC6D8B" w:rsidRPr="003700AD">
              <w:rPr>
                <w:rFonts w:cs="Tahoma"/>
                <w:color w:val="000000"/>
                <w:szCs w:val="18"/>
              </w:rPr>
              <w:t xml:space="preserve"> </w:t>
            </w:r>
          </w:p>
          <w:p w:rsidR="00456002" w:rsidRPr="003700AD" w:rsidRDefault="00456002" w:rsidP="005C647E">
            <w:pPr>
              <w:rPr>
                <w:rFonts w:cs="Tahoma"/>
                <w:szCs w:val="18"/>
                <w:lang w:eastAsia="ja-JP"/>
              </w:rPr>
            </w:pPr>
          </w:p>
        </w:tc>
      </w:tr>
      <w:tr w:rsidR="00456002" w:rsidRPr="000A1C8E" w:rsidTr="00E72B9D">
        <w:trPr>
          <w:trHeight w:val="278"/>
        </w:trPr>
        <w:tc>
          <w:tcPr>
            <w:tcW w:w="1890" w:type="dxa"/>
            <w:shd w:val="clear" w:color="auto" w:fill="auto"/>
          </w:tcPr>
          <w:p w:rsidR="00456002" w:rsidRPr="000A1C8E" w:rsidRDefault="00456002" w:rsidP="00230E01">
            <w:pPr>
              <w:spacing w:before="60"/>
              <w:rPr>
                <w:rFonts w:cs="Tahoma"/>
                <w:b/>
                <w:lang w:eastAsia="ja-JP"/>
              </w:rPr>
            </w:pPr>
            <w:r w:rsidRPr="000A1C8E">
              <w:rPr>
                <w:rFonts w:cs="Tahoma"/>
                <w:b/>
                <w:sz w:val="20"/>
              </w:rPr>
              <w:t>Academic Platforms (EES, OVS-ES e School Agreement)</w:t>
            </w:r>
          </w:p>
        </w:tc>
        <w:tc>
          <w:tcPr>
            <w:tcW w:w="7308" w:type="dxa"/>
            <w:shd w:val="clear" w:color="auto" w:fill="auto"/>
          </w:tcPr>
          <w:p w:rsidR="00821966" w:rsidRPr="003700AD" w:rsidRDefault="00456002" w:rsidP="00346F4B">
            <w:pPr>
              <w:pStyle w:val="ListParagraph"/>
              <w:numPr>
                <w:ilvl w:val="0"/>
                <w:numId w:val="123"/>
              </w:numPr>
              <w:spacing w:before="60" w:after="60"/>
              <w:ind w:left="245"/>
              <w:contextualSpacing w:val="0"/>
              <w:rPr>
                <w:rFonts w:ascii="Tahoma" w:hAnsi="Tahoma" w:cs="Tahoma"/>
                <w:sz w:val="18"/>
                <w:szCs w:val="18"/>
              </w:rPr>
            </w:pPr>
            <w:r w:rsidRPr="003700AD">
              <w:rPr>
                <w:rFonts w:ascii="Tahoma" w:hAnsi="Tahoma" w:cs="Tahoma"/>
                <w:b/>
                <w:sz w:val="18"/>
                <w:szCs w:val="18"/>
              </w:rPr>
              <w:t>Produtos da Plataforma Desktop Educacional e da Plataforma Desktop School com Enterprise CAL Suite</w:t>
            </w:r>
          </w:p>
          <w:p w:rsidR="00456002" w:rsidRPr="003700AD" w:rsidRDefault="00456002" w:rsidP="00346F4B">
            <w:pPr>
              <w:pStyle w:val="ListParagraph"/>
              <w:numPr>
                <w:ilvl w:val="0"/>
                <w:numId w:val="123"/>
              </w:numPr>
              <w:spacing w:after="60"/>
              <w:ind w:left="252"/>
              <w:rPr>
                <w:rFonts w:ascii="Tahoma" w:hAnsi="Tahoma" w:cs="Tahoma"/>
                <w:sz w:val="18"/>
                <w:szCs w:val="18"/>
              </w:rPr>
            </w:pPr>
            <w:r w:rsidRPr="003700AD">
              <w:rPr>
                <w:rFonts w:ascii="Tahoma" w:hAnsi="Tahoma" w:cs="Tahoma"/>
                <w:b/>
                <w:sz w:val="18"/>
                <w:szCs w:val="18"/>
              </w:rPr>
              <w:t>Produtos da Plataforma Desktop Educacional e da Plataforma Desktop School com Core CAL Suite</w:t>
            </w:r>
          </w:p>
          <w:p w:rsidR="00456002" w:rsidRPr="003700AD" w:rsidRDefault="00456002" w:rsidP="00821966">
            <w:pPr>
              <w:rPr>
                <w:rFonts w:cs="Tahoma"/>
                <w:szCs w:val="18"/>
              </w:rPr>
            </w:pPr>
            <w:r w:rsidRPr="003700AD">
              <w:rPr>
                <w:rFonts w:cs="Tahoma"/>
                <w:szCs w:val="18"/>
              </w:rPr>
              <w:t>Os Produtos da Plataforma Desktop Educacional estão disponíveis para os clientes das</w:t>
            </w:r>
            <w:r w:rsidR="00C31ABF" w:rsidRPr="003700AD">
              <w:rPr>
                <w:rFonts w:cs="Tahoma"/>
                <w:szCs w:val="18"/>
              </w:rPr>
              <w:t> </w:t>
            </w:r>
            <w:r w:rsidRPr="003700AD">
              <w:rPr>
                <w:rFonts w:cs="Tahoma"/>
                <w:szCs w:val="18"/>
              </w:rPr>
              <w:t>Soluções Educacionais do Registro (EES) e Open Value Subscription – Soluções Educacionais (OVS-ES). Os Produtos da Plataforma Desktop School estão disponíveis para os clientes de Contratos School. A Plataforma de Desktop Educacional com Enterprise CAL Suite e a Plataforma de Desktop School com Enterprise CAL Suite incluem</w:t>
            </w:r>
            <w:r w:rsidR="00C31ABF" w:rsidRPr="003700AD">
              <w:rPr>
                <w:rFonts w:cs="Tahoma"/>
                <w:szCs w:val="18"/>
              </w:rPr>
              <w:t> </w:t>
            </w:r>
            <w:r w:rsidRPr="003700AD">
              <w:rPr>
                <w:rFonts w:cs="Tahoma"/>
                <w:szCs w:val="18"/>
              </w:rPr>
              <w:t>a versão mais atual do Office Professional Plus ou Office para Mac, a Atualização de Sistema Operacional Windows 8 Pro e a licença de acesso para cliente Enterprise CAL</w:t>
            </w:r>
            <w:r w:rsidR="00C31ABF" w:rsidRPr="003700AD">
              <w:rPr>
                <w:rFonts w:cs="Tahoma"/>
                <w:szCs w:val="18"/>
              </w:rPr>
              <w:t> </w:t>
            </w:r>
            <w:r w:rsidRPr="003700AD">
              <w:rPr>
                <w:rFonts w:cs="Tahoma"/>
                <w:szCs w:val="18"/>
              </w:rPr>
              <w:t xml:space="preserve">Suite. </w:t>
            </w:r>
          </w:p>
          <w:p w:rsidR="00456002" w:rsidRPr="003700AD" w:rsidRDefault="00456002" w:rsidP="00E64551">
            <w:pPr>
              <w:ind w:left="360"/>
              <w:rPr>
                <w:rFonts w:cs="Tahoma"/>
                <w:szCs w:val="18"/>
              </w:rPr>
            </w:pPr>
          </w:p>
          <w:p w:rsidR="00456002" w:rsidRPr="003700AD" w:rsidRDefault="00456002" w:rsidP="00821966">
            <w:pPr>
              <w:rPr>
                <w:rFonts w:cs="Tahoma"/>
                <w:szCs w:val="18"/>
              </w:rPr>
            </w:pPr>
            <w:r w:rsidRPr="003700AD">
              <w:rPr>
                <w:rFonts w:cs="Tahoma"/>
                <w:iCs/>
                <w:szCs w:val="18"/>
              </w:rPr>
              <w:t>O Produto de Plataforma Desktop School na lista de preços conta como 3 unidades.</w:t>
            </w:r>
          </w:p>
          <w:p w:rsidR="00456002" w:rsidRPr="003700AD" w:rsidRDefault="00456002" w:rsidP="00821966">
            <w:pPr>
              <w:rPr>
                <w:rFonts w:cs="Tahoma"/>
                <w:szCs w:val="18"/>
              </w:rPr>
            </w:pPr>
          </w:p>
          <w:p w:rsidR="00456002" w:rsidRPr="003700AD" w:rsidRDefault="00456002" w:rsidP="00821966">
            <w:pPr>
              <w:tabs>
                <w:tab w:val="left" w:pos="8640"/>
              </w:tabs>
              <w:ind w:right="720"/>
              <w:rPr>
                <w:rFonts w:cs="Tahoma"/>
                <w:szCs w:val="18"/>
              </w:rPr>
            </w:pPr>
            <w:r w:rsidRPr="003700AD">
              <w:rPr>
                <w:rFonts w:cs="Tahoma"/>
                <w:b/>
                <w:bCs/>
                <w:color w:val="000000"/>
                <w:szCs w:val="18"/>
              </w:rPr>
              <w:t xml:space="preserve">Observação: </w:t>
            </w:r>
            <w:r w:rsidRPr="003700AD">
              <w:rPr>
                <w:rFonts w:cs="Tahoma"/>
                <w:bCs/>
                <w:color w:val="000000"/>
                <w:szCs w:val="18"/>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p>
          <w:p w:rsidR="00456002" w:rsidRPr="003700AD" w:rsidRDefault="00456002" w:rsidP="005C647E">
            <w:pPr>
              <w:rPr>
                <w:rFonts w:cs="Tahoma"/>
                <w:szCs w:val="18"/>
                <w:lang w:eastAsia="ja-JP"/>
              </w:rPr>
            </w:pPr>
          </w:p>
        </w:tc>
      </w:tr>
    </w:tbl>
    <w:p w:rsidR="00406CB0" w:rsidRPr="000A1C8E" w:rsidRDefault="00406CB0" w:rsidP="00406CB0">
      <w:pPr>
        <w:rPr>
          <w:rFonts w:cs="Tahoma"/>
        </w:rPr>
      </w:pPr>
      <w:bookmarkStart w:id="630" w:name="_Toc336338193"/>
    </w:p>
    <w:p w:rsidR="004641FD" w:rsidRPr="000A1C8E" w:rsidRDefault="00755633" w:rsidP="004641FD">
      <w:pPr>
        <w:pStyle w:val="Heading3"/>
        <w:ind w:right="720"/>
        <w:rPr>
          <w:rFonts w:ascii="Tahoma" w:hAnsi="Tahoma" w:cs="Tahoma"/>
        </w:rPr>
      </w:pPr>
      <w:bookmarkStart w:id="631" w:name="_Toc361829276"/>
      <w:r w:rsidRPr="000A1C8E">
        <w:rPr>
          <w:rFonts w:ascii="Tahoma" w:hAnsi="Tahoma" w:cs="Tahoma"/>
          <w:sz w:val="24"/>
          <w:szCs w:val="22"/>
        </w:rPr>
        <w:t>Definição de Gerenciamento para Dispositivos Qualificados</w:t>
      </w:r>
      <w:bookmarkEnd w:id="630"/>
      <w:bookmarkEnd w:id="631"/>
    </w:p>
    <w:p w:rsidR="00406CB0" w:rsidRPr="000A1C8E" w:rsidRDefault="00406CB0" w:rsidP="00406CB0">
      <w:pPr>
        <w:rPr>
          <w:rFonts w:cs="Tahoma"/>
        </w:rPr>
      </w:pPr>
    </w:p>
    <w:p w:rsidR="004641FD" w:rsidRPr="000A1C8E" w:rsidRDefault="004641FD" w:rsidP="004641FD">
      <w:pPr>
        <w:rPr>
          <w:rFonts w:cs="Tahoma"/>
        </w:rPr>
      </w:pPr>
      <w:r w:rsidRPr="000A1C8E">
        <w:rPr>
          <w:rFonts w:cs="Tahoma"/>
        </w:rPr>
        <w:t>Um cliente de Licenciamento por Volume “gerencia” qualquer dispositivo no qual ele controla direta ou indiretamente um ou mais ambientes de sistema operacional.</w:t>
      </w:r>
      <w:r w:rsidR="00DC6D8B" w:rsidRPr="000A1C8E">
        <w:rPr>
          <w:rFonts w:cs="Tahoma"/>
        </w:rPr>
        <w:t xml:space="preserve"> </w:t>
      </w:r>
      <w:r w:rsidRPr="000A1C8E">
        <w:rPr>
          <w:rFonts w:cs="Tahoma"/>
        </w:rPr>
        <w:t>Por exemplo, um cliente de Licenciamento por Volume gerencia qualquer dispositivo</w:t>
      </w:r>
    </w:p>
    <w:p w:rsidR="00406CB0" w:rsidRPr="000A1C8E" w:rsidRDefault="00406CB0" w:rsidP="00822871">
      <w:pPr>
        <w:spacing w:after="60"/>
        <w:rPr>
          <w:rFonts w:cs="Tahoma"/>
        </w:rPr>
      </w:pPr>
    </w:p>
    <w:p w:rsidR="004641FD" w:rsidRPr="000A1C8E" w:rsidRDefault="004641FD" w:rsidP="00822871">
      <w:pPr>
        <w:numPr>
          <w:ilvl w:val="0"/>
          <w:numId w:val="19"/>
        </w:numPr>
        <w:spacing w:after="60"/>
        <w:rPr>
          <w:rFonts w:cs="Tahoma"/>
        </w:rPr>
      </w:pPr>
      <w:r w:rsidRPr="000A1C8E">
        <w:rPr>
          <w:rFonts w:cs="Tahoma"/>
        </w:rPr>
        <w:t>que ele permite ingressar em seu domínio OU</w:t>
      </w:r>
    </w:p>
    <w:p w:rsidR="004641FD" w:rsidRPr="000A1C8E" w:rsidRDefault="004641FD" w:rsidP="00822871">
      <w:pPr>
        <w:numPr>
          <w:ilvl w:val="0"/>
          <w:numId w:val="19"/>
        </w:numPr>
        <w:spacing w:after="60"/>
        <w:rPr>
          <w:rFonts w:cs="Tahoma"/>
        </w:rPr>
      </w:pPr>
      <w:r w:rsidRPr="000A1C8E">
        <w:rPr>
          <w:rFonts w:cs="Tahoma"/>
        </w:rPr>
        <w:t>que ele autentica como um requisito para usar aplicativos enquanto ele está em suas instalações</w:t>
      </w:r>
      <w:r w:rsidR="00C31ABF" w:rsidRPr="000A1C8E">
        <w:rPr>
          <w:rFonts w:cs="Tahoma"/>
        </w:rPr>
        <w:t> </w:t>
      </w:r>
      <w:r w:rsidRPr="000A1C8E">
        <w:rPr>
          <w:rFonts w:cs="Tahoma"/>
        </w:rPr>
        <w:t>OU</w:t>
      </w:r>
    </w:p>
    <w:p w:rsidR="004641FD" w:rsidRPr="000A1C8E" w:rsidRDefault="004641FD" w:rsidP="00822871">
      <w:pPr>
        <w:numPr>
          <w:ilvl w:val="0"/>
          <w:numId w:val="19"/>
        </w:numPr>
        <w:spacing w:after="60"/>
        <w:rPr>
          <w:rFonts w:cs="Tahoma"/>
        </w:rPr>
      </w:pPr>
      <w:r w:rsidRPr="000A1C8E">
        <w:rPr>
          <w:rFonts w:cs="Tahoma"/>
        </w:rPr>
        <w:lastRenderedPageBreak/>
        <w:t>no qual que ele instala agentes (por exemplo, antivírus, antimalware ou outros agentes autorizados pela política do cliente) OU</w:t>
      </w:r>
    </w:p>
    <w:p w:rsidR="004641FD" w:rsidRPr="000A1C8E" w:rsidRDefault="004641FD" w:rsidP="00822871">
      <w:pPr>
        <w:numPr>
          <w:ilvl w:val="0"/>
          <w:numId w:val="19"/>
        </w:numPr>
        <w:spacing w:after="60"/>
        <w:rPr>
          <w:rFonts w:cs="Tahoma"/>
        </w:rPr>
      </w:pPr>
      <w:r w:rsidRPr="000A1C8E">
        <w:rPr>
          <w:rFonts w:cs="Tahoma"/>
        </w:rPr>
        <w:t>ao qual ele se aplica direta ou indiretamente e impõe* políticas de grupo OU</w:t>
      </w:r>
    </w:p>
    <w:p w:rsidR="004641FD" w:rsidRPr="000A1C8E" w:rsidRDefault="004641FD" w:rsidP="00822871">
      <w:pPr>
        <w:numPr>
          <w:ilvl w:val="0"/>
          <w:numId w:val="19"/>
        </w:numPr>
        <w:spacing w:after="60"/>
        <w:rPr>
          <w:rFonts w:cs="Tahoma"/>
        </w:rPr>
      </w:pPr>
      <w:r w:rsidRPr="000A1C8E">
        <w:rPr>
          <w:rFonts w:cs="Tahoma"/>
        </w:rPr>
        <w:t>no qual ele solicita ou recebe dados e configura ou fornece instruções sobre o hardware ou software direta ou indiretamente associado ao ambiente de sistema operacional OU</w:t>
      </w:r>
    </w:p>
    <w:p w:rsidR="004641FD" w:rsidRPr="003700AD" w:rsidRDefault="004641FD" w:rsidP="00822871">
      <w:pPr>
        <w:numPr>
          <w:ilvl w:val="0"/>
          <w:numId w:val="19"/>
        </w:numPr>
        <w:spacing w:after="60"/>
        <w:rPr>
          <w:rFonts w:cs="Tahoma"/>
          <w:spacing w:val="-6"/>
        </w:rPr>
      </w:pPr>
      <w:r w:rsidRPr="003700AD">
        <w:rPr>
          <w:rFonts w:cs="Tahoma"/>
          <w:spacing w:val="-6"/>
        </w:rPr>
        <w:t>que ele permite acessar uma infraestrutura de desktop virtual (VDI) fora do Windows Software Assurance, Windows Intune (Por Dispositivo) ou Direitos de Roaming do Windows Virtual Desktop Access.</w:t>
      </w:r>
    </w:p>
    <w:p w:rsidR="00755633" w:rsidRPr="000A1C8E" w:rsidRDefault="00755633" w:rsidP="00755633">
      <w:pPr>
        <w:ind w:left="1440"/>
        <w:rPr>
          <w:rFonts w:cs="Tahoma"/>
        </w:rPr>
      </w:pPr>
    </w:p>
    <w:p w:rsidR="004641FD" w:rsidRPr="000A1C8E" w:rsidRDefault="004641FD" w:rsidP="004641FD">
      <w:pPr>
        <w:rPr>
          <w:rFonts w:cs="Tahoma"/>
        </w:rPr>
      </w:pPr>
      <w:r w:rsidRPr="000A1C8E">
        <w:rPr>
          <w:rFonts w:cs="Tahoma"/>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755633" w:rsidRPr="000A1C8E" w:rsidRDefault="00755633" w:rsidP="004641FD">
      <w:pPr>
        <w:rPr>
          <w:rFonts w:cs="Tahoma"/>
        </w:rPr>
      </w:pPr>
    </w:p>
    <w:p w:rsidR="00371299" w:rsidRPr="000A1C8E" w:rsidRDefault="004641FD" w:rsidP="00510F6B">
      <w:pPr>
        <w:rPr>
          <w:rFonts w:cs="Tahoma"/>
        </w:rPr>
      </w:pPr>
      <w:r w:rsidRPr="000A1C8E">
        <w:rPr>
          <w:rFonts w:cs="Tahoma"/>
        </w:rPr>
        <w:t>*Um cliente de Licenciamento por Volume que procura por atualizações de segurança/vírus ou software de sistema operacional atualizado e só notifica o usuário se eles não estiverem atualizados, não é uma “política de grupo imposta” para fins deste exemplo.</w:t>
      </w:r>
      <w:r w:rsidR="00DC6D8B" w:rsidRPr="000A1C8E">
        <w:rPr>
          <w:rFonts w:cs="Tahoma"/>
        </w:rPr>
        <w:t xml:space="preserve"> </w:t>
      </w:r>
    </w:p>
    <w:p w:rsidR="00991DD4" w:rsidRPr="000A1C8E" w:rsidRDefault="00991DD4" w:rsidP="00510F6B">
      <w:pPr>
        <w:rPr>
          <w:rFonts w:cs="Tahoma"/>
        </w:rPr>
      </w:pPr>
    </w:p>
    <w:p w:rsidR="00406CB0" w:rsidRPr="000A1C8E" w:rsidRDefault="00023FE7" w:rsidP="006D642E">
      <w:pPr>
        <w:pStyle w:val="Heading3"/>
        <w:rPr>
          <w:rFonts w:ascii="Tahoma" w:hAnsi="Tahoma" w:cs="Tahoma"/>
        </w:rPr>
      </w:pPr>
      <w:bookmarkStart w:id="632" w:name="_Toc243157227"/>
      <w:bookmarkStart w:id="633" w:name="_Toc336338194"/>
      <w:bookmarkStart w:id="634" w:name="_Toc361829277"/>
      <w:r w:rsidRPr="000A1C8E">
        <w:rPr>
          <w:rFonts w:ascii="Tahoma" w:hAnsi="Tahoma" w:cs="Tahoma"/>
          <w:sz w:val="24"/>
        </w:rPr>
        <w:t>Produtos qualificados para o Desconto de Atualização (UTD)</w:t>
      </w:r>
      <w:bookmarkEnd w:id="632"/>
      <w:bookmarkEnd w:id="633"/>
      <w:bookmarkEnd w:id="634"/>
    </w:p>
    <w:p w:rsidR="00406CB0" w:rsidRPr="000A1C8E" w:rsidRDefault="00406CB0" w:rsidP="006D642E">
      <w:pPr>
        <w:pStyle w:val="Heading3"/>
        <w:rPr>
          <w:rFonts w:ascii="Tahoma" w:hAnsi="Tahoma" w:cs="Tahoma"/>
          <w:b w:val="0"/>
          <w:sz w:val="18"/>
        </w:rPr>
      </w:pPr>
    </w:p>
    <w:p w:rsidR="00023FE7" w:rsidRPr="000A1C8E" w:rsidRDefault="00023FE7" w:rsidP="006D642E">
      <w:pPr>
        <w:rPr>
          <w:rFonts w:cs="Tahoma"/>
        </w:rPr>
      </w:pPr>
      <w:r w:rsidRPr="000A1C8E">
        <w:rPr>
          <w:rFonts w:cs="Tahoma"/>
        </w:rPr>
        <w:t>Os clientes Open Value Subscription estão qualificados para o Desconto UTD durante o primeiro ano do contrato da assinatura.</w:t>
      </w:r>
      <w:r w:rsidR="00DC6D8B" w:rsidRPr="000A1C8E">
        <w:rPr>
          <w:rFonts w:cs="Tahoma"/>
        </w:rPr>
        <w:t xml:space="preserve"> </w:t>
      </w:r>
      <w:r w:rsidRPr="000A1C8E">
        <w:rPr>
          <w:rFonts w:cs="Tahoma"/>
        </w:rPr>
        <w:t>Os clientes qualificados podem adquirir qualquer Licença UTD identificada abaixo se estiverem licenciados para uma das versões qualificadas correspondentes, anteriores ou atuais, por meio de OEM, FPP ou Licenciamento por Volume.</w:t>
      </w:r>
      <w:r w:rsidR="00DC6D8B" w:rsidRPr="000A1C8E">
        <w:rPr>
          <w:rFonts w:cs="Tahoma"/>
        </w:rPr>
        <w:t xml:space="preserve"> </w:t>
      </w:r>
      <w:r w:rsidRPr="000A1C8E">
        <w:rPr>
          <w:rFonts w:cs="Tahoma"/>
          <w:color w:val="000000"/>
        </w:rPr>
        <w:t>Em geral, esse desconto só é dado para a versão atual ou a imediatamente anterior do produto. O</w:t>
      </w:r>
      <w:r w:rsidR="00C31ABF" w:rsidRPr="000A1C8E">
        <w:rPr>
          <w:rFonts w:cs="Tahoma"/>
          <w:color w:val="000000"/>
        </w:rPr>
        <w:t> </w:t>
      </w:r>
      <w:r w:rsidRPr="000A1C8E">
        <w:rPr>
          <w:rFonts w:cs="Tahoma"/>
          <w:color w:val="000000"/>
        </w:rPr>
        <w:t>Desconto UTD é independente da plataforma, de modo que usuários de Mac também estão qualificados.</w:t>
      </w:r>
    </w:p>
    <w:p w:rsidR="00C353DE" w:rsidRPr="003700AD" w:rsidRDefault="00C353DE">
      <w:pPr>
        <w:pStyle w:val="FootnoteBulletLevel1"/>
        <w:ind w:left="360" w:right="720" w:firstLine="0"/>
        <w:rPr>
          <w:rFonts w:ascii="Tahoma"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4050"/>
        <w:gridCol w:w="4057"/>
      </w:tblGrid>
      <w:tr w:rsidR="00023FE7" w:rsidRPr="000A1C8E" w:rsidTr="003700AD">
        <w:trPr>
          <w:tblHeader/>
        </w:trPr>
        <w:tc>
          <w:tcPr>
            <w:tcW w:w="4050" w:type="dxa"/>
            <w:tcBorders>
              <w:top w:val="single" w:sz="8" w:space="0" w:color="auto"/>
              <w:left w:val="single" w:sz="8" w:space="0" w:color="auto"/>
              <w:bottom w:val="single" w:sz="8" w:space="0" w:color="auto"/>
              <w:right w:val="single" w:sz="8" w:space="0" w:color="auto"/>
            </w:tcBorders>
            <w:shd w:val="clear" w:color="auto" w:fill="FFCC99"/>
          </w:tcPr>
          <w:p w:rsidR="00023FE7" w:rsidRPr="000A1C8E" w:rsidRDefault="00023FE7">
            <w:pPr>
              <w:ind w:right="720"/>
              <w:jc w:val="center"/>
              <w:rPr>
                <w:rFonts w:eastAsia="Calibri" w:cs="Tahoma"/>
                <w:b/>
                <w:bCs/>
                <w:color w:val="404040"/>
              </w:rPr>
            </w:pPr>
            <w:r w:rsidRPr="000A1C8E">
              <w:rPr>
                <w:rFonts w:cs="Tahoma"/>
                <w:b/>
                <w:bCs/>
              </w:rPr>
              <w:t>Licença UTD</w:t>
            </w:r>
          </w:p>
        </w:tc>
        <w:tc>
          <w:tcPr>
            <w:tcW w:w="4057" w:type="dxa"/>
            <w:tcBorders>
              <w:top w:val="single" w:sz="8" w:space="0" w:color="auto"/>
              <w:left w:val="nil"/>
              <w:bottom w:val="single" w:sz="8" w:space="0" w:color="auto"/>
              <w:right w:val="single" w:sz="8" w:space="0" w:color="auto"/>
            </w:tcBorders>
            <w:shd w:val="clear" w:color="auto" w:fill="FFCC99"/>
          </w:tcPr>
          <w:p w:rsidR="00023FE7" w:rsidRPr="000A1C8E" w:rsidRDefault="00023FE7">
            <w:pPr>
              <w:ind w:right="720"/>
              <w:jc w:val="center"/>
              <w:rPr>
                <w:rFonts w:eastAsia="Calibri" w:cs="Tahoma"/>
                <w:b/>
                <w:bCs/>
                <w:color w:val="404040"/>
              </w:rPr>
            </w:pPr>
            <w:r w:rsidRPr="000A1C8E">
              <w:rPr>
                <w:rFonts w:cs="Tahoma"/>
                <w:b/>
                <w:bCs/>
              </w:rPr>
              <w:t>Versão qualificada</w:t>
            </w:r>
          </w:p>
        </w:tc>
      </w:tr>
      <w:tr w:rsidR="00023FE7" w:rsidRPr="000A1C8E" w:rsidTr="003700AD">
        <w:trPr>
          <w:trHeight w:val="576"/>
        </w:trPr>
        <w:tc>
          <w:tcPr>
            <w:tcW w:w="4050" w:type="dxa"/>
            <w:tcBorders>
              <w:top w:val="nil"/>
              <w:left w:val="single" w:sz="8" w:space="0" w:color="auto"/>
              <w:bottom w:val="single" w:sz="8" w:space="0" w:color="auto"/>
              <w:right w:val="single" w:sz="8" w:space="0" w:color="auto"/>
            </w:tcBorders>
          </w:tcPr>
          <w:p w:rsidR="00023FE7" w:rsidRPr="000A1C8E" w:rsidRDefault="00023FE7" w:rsidP="00C31ABF">
            <w:pPr>
              <w:spacing w:before="60"/>
              <w:ind w:left="180" w:right="299"/>
              <w:jc w:val="center"/>
              <w:rPr>
                <w:rFonts w:eastAsia="Calibri" w:cs="Tahoma"/>
                <w:szCs w:val="18"/>
              </w:rPr>
            </w:pPr>
            <w:r w:rsidRPr="000A1C8E">
              <w:rPr>
                <w:rFonts w:cs="Tahoma"/>
                <w:szCs w:val="18"/>
              </w:rPr>
              <w:t>CAL Principal (Dispositivo ou Usuário)</w:t>
            </w:r>
          </w:p>
        </w:tc>
        <w:tc>
          <w:tcPr>
            <w:tcW w:w="4057" w:type="dxa"/>
            <w:tcBorders>
              <w:top w:val="nil"/>
              <w:left w:val="nil"/>
              <w:bottom w:val="single" w:sz="8" w:space="0" w:color="auto"/>
              <w:right w:val="single" w:sz="8" w:space="0" w:color="auto"/>
            </w:tcBorders>
          </w:tcPr>
          <w:p w:rsidR="00023FE7" w:rsidRPr="003700AD" w:rsidRDefault="00023FE7" w:rsidP="00230E01">
            <w:pPr>
              <w:pStyle w:val="Bulletedlistflush"/>
              <w:spacing w:before="60"/>
              <w:ind w:left="576" w:right="720" w:firstLine="0"/>
              <w:jc w:val="center"/>
              <w:rPr>
                <w:rFonts w:ascii="Tahoma" w:hAnsi="Tahoma" w:cs="Tahoma"/>
                <w:sz w:val="18"/>
                <w:szCs w:val="18"/>
              </w:rPr>
            </w:pPr>
            <w:r w:rsidRPr="003700AD">
              <w:rPr>
                <w:rFonts w:ascii="Tahoma" w:hAnsi="Tahoma" w:cs="Tahoma"/>
                <w:sz w:val="18"/>
                <w:szCs w:val="18"/>
              </w:rPr>
              <w:t>Qualquer CAL Principal</w:t>
            </w:r>
          </w:p>
          <w:p w:rsidR="00023FE7" w:rsidRPr="003700AD" w:rsidRDefault="00023FE7" w:rsidP="00230E01">
            <w:pPr>
              <w:pStyle w:val="Bulletedlistflush"/>
              <w:ind w:left="576" w:right="720" w:firstLine="0"/>
              <w:jc w:val="center"/>
              <w:rPr>
                <w:rFonts w:ascii="Tahoma" w:hAnsi="Tahoma" w:cs="Tahoma"/>
                <w:sz w:val="18"/>
                <w:szCs w:val="18"/>
              </w:rPr>
            </w:pPr>
          </w:p>
        </w:tc>
      </w:tr>
      <w:tr w:rsidR="00023FE7" w:rsidRPr="000A1C8E" w:rsidTr="003700AD">
        <w:trPr>
          <w:trHeight w:val="576"/>
        </w:trPr>
        <w:tc>
          <w:tcPr>
            <w:tcW w:w="4050" w:type="dxa"/>
            <w:tcBorders>
              <w:top w:val="nil"/>
              <w:left w:val="single" w:sz="8" w:space="0" w:color="auto"/>
              <w:bottom w:val="single" w:sz="8" w:space="0" w:color="auto"/>
              <w:right w:val="single" w:sz="8" w:space="0" w:color="auto"/>
            </w:tcBorders>
          </w:tcPr>
          <w:p w:rsidR="00023FE7" w:rsidRPr="000A1C8E" w:rsidRDefault="00023FE7" w:rsidP="00C31ABF">
            <w:pPr>
              <w:spacing w:before="60"/>
              <w:ind w:left="180" w:right="299"/>
              <w:jc w:val="center"/>
              <w:rPr>
                <w:rFonts w:eastAsia="Calibri" w:cs="Tahoma"/>
                <w:szCs w:val="18"/>
              </w:rPr>
            </w:pPr>
            <w:r w:rsidRPr="000A1C8E">
              <w:rPr>
                <w:rFonts w:cs="Tahoma"/>
                <w:szCs w:val="18"/>
              </w:rPr>
              <w:t>CAL Empresarial (Dispositivo ou Usuário)</w:t>
            </w:r>
          </w:p>
        </w:tc>
        <w:tc>
          <w:tcPr>
            <w:tcW w:w="4057" w:type="dxa"/>
            <w:tcBorders>
              <w:top w:val="nil"/>
              <w:left w:val="nil"/>
              <w:bottom w:val="single" w:sz="8" w:space="0" w:color="auto"/>
              <w:right w:val="single" w:sz="8" w:space="0" w:color="auto"/>
            </w:tcBorders>
          </w:tcPr>
          <w:p w:rsidR="00023FE7" w:rsidRPr="003700AD" w:rsidRDefault="00023FE7" w:rsidP="00230E01">
            <w:pPr>
              <w:pStyle w:val="Bulletedlistflush"/>
              <w:spacing w:before="60"/>
              <w:ind w:left="576" w:right="720" w:firstLine="0"/>
              <w:jc w:val="center"/>
              <w:rPr>
                <w:rFonts w:ascii="Tahoma" w:hAnsi="Tahoma" w:cs="Tahoma"/>
                <w:sz w:val="18"/>
                <w:szCs w:val="18"/>
              </w:rPr>
            </w:pPr>
            <w:r w:rsidRPr="003700AD">
              <w:rPr>
                <w:rFonts w:ascii="Tahoma" w:hAnsi="Tahoma" w:cs="Tahoma"/>
                <w:sz w:val="18"/>
                <w:szCs w:val="18"/>
              </w:rPr>
              <w:t>Qualquer CAL Empresarial</w:t>
            </w:r>
          </w:p>
        </w:tc>
      </w:tr>
      <w:tr w:rsidR="0000615E" w:rsidRPr="000A1C8E" w:rsidTr="003700AD">
        <w:trPr>
          <w:trHeight w:val="576"/>
        </w:trPr>
        <w:tc>
          <w:tcPr>
            <w:tcW w:w="4050" w:type="dxa"/>
            <w:tcBorders>
              <w:top w:val="nil"/>
              <w:left w:val="single" w:sz="8" w:space="0" w:color="auto"/>
              <w:bottom w:val="single" w:sz="8" w:space="0" w:color="auto"/>
              <w:right w:val="single" w:sz="8" w:space="0" w:color="auto"/>
            </w:tcBorders>
          </w:tcPr>
          <w:p w:rsidR="0000615E" w:rsidRPr="000A1C8E" w:rsidRDefault="0000615E" w:rsidP="00C31ABF">
            <w:pPr>
              <w:spacing w:before="60"/>
              <w:ind w:left="180" w:right="299"/>
              <w:jc w:val="center"/>
              <w:rPr>
                <w:rFonts w:eastAsia="Calibri" w:cs="Tahoma"/>
                <w:szCs w:val="18"/>
              </w:rPr>
            </w:pPr>
            <w:r w:rsidRPr="000A1C8E">
              <w:rPr>
                <w:rFonts w:cs="Tahoma"/>
                <w:szCs w:val="18"/>
              </w:rPr>
              <w:t>Office Professional Plus 2013</w:t>
            </w:r>
          </w:p>
        </w:tc>
        <w:tc>
          <w:tcPr>
            <w:tcW w:w="4057" w:type="dxa"/>
            <w:tcBorders>
              <w:top w:val="nil"/>
              <w:left w:val="nil"/>
              <w:bottom w:val="single" w:sz="8" w:space="0" w:color="auto"/>
              <w:right w:val="single" w:sz="8" w:space="0" w:color="auto"/>
            </w:tcBorders>
          </w:tcPr>
          <w:p w:rsidR="008B2AA7" w:rsidRPr="003700AD" w:rsidRDefault="008B2AA7" w:rsidP="00230E01">
            <w:pPr>
              <w:pStyle w:val="Bulletedlistflush"/>
              <w:spacing w:before="60"/>
              <w:ind w:left="576" w:right="720" w:firstLine="0"/>
              <w:jc w:val="center"/>
              <w:rPr>
                <w:rFonts w:ascii="Tahoma" w:hAnsi="Tahoma" w:cs="Tahoma"/>
                <w:sz w:val="18"/>
                <w:szCs w:val="18"/>
              </w:rPr>
            </w:pPr>
            <w:r w:rsidRPr="003700AD">
              <w:rPr>
                <w:rFonts w:ascii="Tahoma" w:hAnsi="Tahoma" w:cs="Tahoma"/>
                <w:sz w:val="18"/>
                <w:szCs w:val="18"/>
              </w:rPr>
              <w:t>Office Professional Plus 2013</w:t>
            </w:r>
          </w:p>
          <w:p w:rsidR="0000615E" w:rsidRPr="003700AD" w:rsidRDefault="0000615E" w:rsidP="00230E01">
            <w:pPr>
              <w:pStyle w:val="Bulletedlistflush"/>
              <w:ind w:left="576" w:right="720" w:firstLine="0"/>
              <w:jc w:val="center"/>
              <w:rPr>
                <w:rFonts w:ascii="Tahoma" w:hAnsi="Tahoma" w:cs="Tahoma"/>
                <w:sz w:val="18"/>
                <w:szCs w:val="18"/>
              </w:rPr>
            </w:pPr>
            <w:r w:rsidRPr="003700AD">
              <w:rPr>
                <w:rFonts w:ascii="Tahoma" w:hAnsi="Tahoma" w:cs="Tahoma"/>
                <w:sz w:val="18"/>
                <w:szCs w:val="18"/>
              </w:rPr>
              <w:t>Office Professional Plus 2010</w:t>
            </w:r>
          </w:p>
          <w:p w:rsidR="002D0FAC" w:rsidRPr="003700AD" w:rsidRDefault="002D0FAC" w:rsidP="00230E01">
            <w:pPr>
              <w:pStyle w:val="Bulletedlistflush"/>
              <w:ind w:left="576" w:right="720" w:firstLine="0"/>
              <w:jc w:val="center"/>
              <w:rPr>
                <w:rFonts w:ascii="Tahoma" w:hAnsi="Tahoma" w:cs="Tahoma"/>
                <w:sz w:val="18"/>
                <w:szCs w:val="18"/>
              </w:rPr>
            </w:pPr>
            <w:r w:rsidRPr="003700AD">
              <w:rPr>
                <w:rFonts w:ascii="Tahoma" w:hAnsi="Tahoma" w:cs="Tahoma"/>
                <w:sz w:val="18"/>
                <w:szCs w:val="18"/>
              </w:rPr>
              <w:t>Office 2013 Professional</w:t>
            </w:r>
          </w:p>
          <w:p w:rsidR="0000615E" w:rsidRPr="003700AD" w:rsidRDefault="0000615E" w:rsidP="00230E01">
            <w:pPr>
              <w:pStyle w:val="Bulletedlistflush"/>
              <w:ind w:left="576" w:right="720" w:firstLine="0"/>
              <w:jc w:val="center"/>
              <w:rPr>
                <w:rFonts w:ascii="Tahoma" w:hAnsi="Tahoma" w:cs="Tahoma"/>
                <w:sz w:val="18"/>
                <w:szCs w:val="18"/>
              </w:rPr>
            </w:pPr>
            <w:r w:rsidRPr="003700AD">
              <w:rPr>
                <w:rFonts w:ascii="Tahoma" w:hAnsi="Tahoma" w:cs="Tahoma"/>
                <w:sz w:val="18"/>
                <w:szCs w:val="18"/>
              </w:rPr>
              <w:t>Office 2010 Professional</w:t>
            </w:r>
          </w:p>
          <w:p w:rsidR="0000615E" w:rsidRPr="003700AD" w:rsidRDefault="0000615E" w:rsidP="008B2AA7">
            <w:pPr>
              <w:pStyle w:val="Bulletedlistflush"/>
              <w:ind w:left="576" w:right="720" w:firstLine="0"/>
              <w:jc w:val="center"/>
              <w:rPr>
                <w:rFonts w:ascii="Tahoma" w:hAnsi="Tahoma" w:cs="Tahoma"/>
                <w:sz w:val="18"/>
                <w:szCs w:val="18"/>
              </w:rPr>
            </w:pPr>
          </w:p>
        </w:tc>
      </w:tr>
      <w:tr w:rsidR="00023FE7" w:rsidRPr="000A1C8E" w:rsidTr="003700AD">
        <w:trPr>
          <w:trHeight w:val="576"/>
        </w:trPr>
        <w:tc>
          <w:tcPr>
            <w:tcW w:w="4050" w:type="dxa"/>
            <w:tcBorders>
              <w:top w:val="nil"/>
              <w:left w:val="single" w:sz="8" w:space="0" w:color="auto"/>
              <w:bottom w:val="single" w:sz="8" w:space="0" w:color="auto"/>
              <w:right w:val="single" w:sz="8" w:space="0" w:color="auto"/>
            </w:tcBorders>
          </w:tcPr>
          <w:p w:rsidR="00023FE7" w:rsidRPr="000A1C8E" w:rsidRDefault="00023FE7" w:rsidP="00C31ABF">
            <w:pPr>
              <w:spacing w:before="60"/>
              <w:ind w:left="180" w:right="299"/>
              <w:jc w:val="center"/>
              <w:rPr>
                <w:rFonts w:eastAsia="Calibri" w:cs="Tahoma"/>
                <w:color w:val="000000"/>
                <w:szCs w:val="18"/>
              </w:rPr>
            </w:pPr>
            <w:r w:rsidRPr="000A1C8E">
              <w:rPr>
                <w:rFonts w:cs="Tahoma"/>
                <w:color w:val="000000"/>
                <w:szCs w:val="18"/>
              </w:rPr>
              <w:t>CAL do Small Business Server Standard 2011 (Dispositivo ou Usuário)</w:t>
            </w:r>
          </w:p>
        </w:tc>
        <w:tc>
          <w:tcPr>
            <w:tcW w:w="4057" w:type="dxa"/>
            <w:tcBorders>
              <w:top w:val="nil"/>
              <w:left w:val="nil"/>
              <w:bottom w:val="single" w:sz="8" w:space="0" w:color="auto"/>
              <w:right w:val="single" w:sz="8" w:space="0" w:color="auto"/>
            </w:tcBorders>
          </w:tcPr>
          <w:p w:rsidR="00684C4D" w:rsidRPr="003700AD" w:rsidRDefault="00684C4D" w:rsidP="00230E01">
            <w:pPr>
              <w:spacing w:before="60"/>
              <w:ind w:left="576" w:right="720"/>
              <w:jc w:val="center"/>
              <w:rPr>
                <w:rFonts w:cs="Tahoma"/>
                <w:szCs w:val="18"/>
              </w:rPr>
            </w:pPr>
            <w:r w:rsidRPr="003700AD">
              <w:rPr>
                <w:rFonts w:eastAsia="Calibri" w:cs="Tahoma"/>
                <w:color w:val="000000"/>
                <w:szCs w:val="18"/>
              </w:rPr>
              <w:t>CAL do Windows Small Business Server 2011</w:t>
            </w:r>
          </w:p>
          <w:p w:rsidR="00023FE7" w:rsidRPr="003700AD" w:rsidRDefault="00023FE7">
            <w:pPr>
              <w:pStyle w:val="Bulletedlistflush"/>
              <w:ind w:left="576" w:right="720" w:firstLine="0"/>
              <w:jc w:val="center"/>
              <w:rPr>
                <w:rFonts w:ascii="Tahoma" w:hAnsi="Tahoma" w:cs="Tahoma"/>
                <w:sz w:val="18"/>
                <w:szCs w:val="18"/>
              </w:rPr>
            </w:pPr>
            <w:r w:rsidRPr="003700AD">
              <w:rPr>
                <w:rFonts w:ascii="Tahoma" w:hAnsi="Tahoma" w:cs="Tahoma"/>
                <w:color w:val="000000"/>
                <w:sz w:val="18"/>
                <w:szCs w:val="18"/>
              </w:rPr>
              <w:t>CAL do Windows Small Business Server Standard 2008</w:t>
            </w:r>
          </w:p>
          <w:p w:rsidR="00023FE7" w:rsidRPr="003700AD" w:rsidRDefault="00023FE7" w:rsidP="00230E01">
            <w:pPr>
              <w:pStyle w:val="Bulletedlistflush"/>
              <w:ind w:left="576" w:right="720" w:firstLine="0"/>
              <w:jc w:val="center"/>
              <w:rPr>
                <w:rFonts w:ascii="Tahoma" w:hAnsi="Tahoma" w:cs="Tahoma"/>
                <w:color w:val="000000"/>
                <w:sz w:val="18"/>
                <w:szCs w:val="18"/>
              </w:rPr>
            </w:pPr>
          </w:p>
        </w:tc>
      </w:tr>
      <w:tr w:rsidR="00023FE7" w:rsidRPr="000A1C8E" w:rsidTr="003700AD">
        <w:trPr>
          <w:trHeight w:val="576"/>
        </w:trPr>
        <w:tc>
          <w:tcPr>
            <w:tcW w:w="4050" w:type="dxa"/>
            <w:tcBorders>
              <w:top w:val="nil"/>
              <w:left w:val="single" w:sz="8" w:space="0" w:color="auto"/>
              <w:bottom w:val="single" w:sz="8" w:space="0" w:color="auto"/>
              <w:right w:val="single" w:sz="8" w:space="0" w:color="auto"/>
            </w:tcBorders>
          </w:tcPr>
          <w:p w:rsidR="00023FE7" w:rsidRPr="000A1C8E" w:rsidRDefault="00023FE7" w:rsidP="00C31ABF">
            <w:pPr>
              <w:spacing w:before="60"/>
              <w:ind w:left="180" w:right="299"/>
              <w:jc w:val="center"/>
              <w:rPr>
                <w:rFonts w:eastAsia="Calibri" w:cs="Tahoma"/>
                <w:szCs w:val="18"/>
              </w:rPr>
            </w:pPr>
            <w:r w:rsidRPr="000A1C8E">
              <w:rPr>
                <w:rFonts w:cs="Tahoma"/>
                <w:szCs w:val="18"/>
              </w:rPr>
              <w:t>CAL do Small Business Server Premium 2011 (Dispositivo ou Usuário)</w:t>
            </w:r>
          </w:p>
        </w:tc>
        <w:tc>
          <w:tcPr>
            <w:tcW w:w="4057" w:type="dxa"/>
            <w:tcBorders>
              <w:top w:val="nil"/>
              <w:left w:val="nil"/>
              <w:bottom w:val="single" w:sz="8" w:space="0" w:color="auto"/>
              <w:right w:val="single" w:sz="8" w:space="0" w:color="auto"/>
            </w:tcBorders>
          </w:tcPr>
          <w:p w:rsidR="00684C4D" w:rsidRPr="003700AD" w:rsidRDefault="00684C4D" w:rsidP="00230E01">
            <w:pPr>
              <w:spacing w:before="60"/>
              <w:ind w:left="576" w:right="720"/>
              <w:jc w:val="center"/>
              <w:rPr>
                <w:rFonts w:cs="Tahoma"/>
                <w:szCs w:val="18"/>
              </w:rPr>
            </w:pPr>
            <w:r w:rsidRPr="003700AD">
              <w:rPr>
                <w:rFonts w:eastAsia="Calibri" w:cs="Tahoma"/>
                <w:color w:val="000000"/>
                <w:szCs w:val="18"/>
              </w:rPr>
              <w:t>CAL do Windows Small Business Server Premium 2011</w:t>
            </w:r>
          </w:p>
          <w:p w:rsidR="00023FE7" w:rsidRPr="003700AD" w:rsidRDefault="00023FE7">
            <w:pPr>
              <w:pStyle w:val="Bulletedlistflush"/>
              <w:ind w:left="576" w:right="720" w:firstLine="0"/>
              <w:jc w:val="center"/>
              <w:rPr>
                <w:rFonts w:ascii="Tahoma" w:hAnsi="Tahoma" w:cs="Tahoma"/>
                <w:sz w:val="18"/>
                <w:szCs w:val="18"/>
              </w:rPr>
            </w:pPr>
            <w:r w:rsidRPr="003700AD">
              <w:rPr>
                <w:rFonts w:ascii="Tahoma" w:hAnsi="Tahoma" w:cs="Tahoma"/>
                <w:color w:val="000000"/>
                <w:sz w:val="18"/>
                <w:szCs w:val="18"/>
              </w:rPr>
              <w:t>CAL do Windows Small Business Server Premium 2008</w:t>
            </w:r>
          </w:p>
          <w:p w:rsidR="00023FE7" w:rsidRPr="003700AD" w:rsidRDefault="00023FE7" w:rsidP="00230E01">
            <w:pPr>
              <w:pStyle w:val="Bulletedlistflush"/>
              <w:ind w:left="576" w:right="720" w:firstLine="0"/>
              <w:jc w:val="center"/>
              <w:rPr>
                <w:rFonts w:ascii="Tahoma" w:hAnsi="Tahoma" w:cs="Tahoma"/>
                <w:sz w:val="18"/>
                <w:szCs w:val="18"/>
              </w:rPr>
            </w:pPr>
          </w:p>
        </w:tc>
      </w:tr>
      <w:tr w:rsidR="00023FE7" w:rsidRPr="000A1C8E" w:rsidTr="003700AD">
        <w:trPr>
          <w:trHeight w:val="576"/>
        </w:trPr>
        <w:tc>
          <w:tcPr>
            <w:tcW w:w="4050" w:type="dxa"/>
            <w:tcBorders>
              <w:top w:val="nil"/>
              <w:left w:val="single" w:sz="8" w:space="0" w:color="auto"/>
              <w:bottom w:val="single" w:sz="8" w:space="0" w:color="auto"/>
              <w:right w:val="single" w:sz="8" w:space="0" w:color="auto"/>
            </w:tcBorders>
          </w:tcPr>
          <w:p w:rsidR="00023FE7" w:rsidRPr="000A1C8E" w:rsidRDefault="00023FE7" w:rsidP="00C31ABF">
            <w:pPr>
              <w:spacing w:before="60"/>
              <w:ind w:left="180" w:right="299"/>
              <w:jc w:val="center"/>
              <w:rPr>
                <w:rFonts w:cs="Tahoma"/>
              </w:rPr>
            </w:pPr>
            <w:r w:rsidRPr="000A1C8E">
              <w:rPr>
                <w:rFonts w:cs="Tahoma"/>
                <w:szCs w:val="18"/>
              </w:rPr>
              <w:t>CAL do Essential Business Server Standard 2008 (Dispositivo ou Usuário)</w:t>
            </w:r>
          </w:p>
          <w:p w:rsidR="00230E01" w:rsidRPr="000A1C8E" w:rsidRDefault="00230E01" w:rsidP="00C31ABF">
            <w:pPr>
              <w:ind w:left="180" w:right="299"/>
              <w:jc w:val="center"/>
              <w:rPr>
                <w:rFonts w:eastAsia="Calibri" w:cs="Tahoma"/>
                <w:szCs w:val="18"/>
              </w:rPr>
            </w:pPr>
          </w:p>
        </w:tc>
        <w:tc>
          <w:tcPr>
            <w:tcW w:w="4057" w:type="dxa"/>
            <w:tcBorders>
              <w:top w:val="nil"/>
              <w:left w:val="nil"/>
              <w:bottom w:val="single" w:sz="8" w:space="0" w:color="auto"/>
              <w:right w:val="single" w:sz="8" w:space="0" w:color="auto"/>
            </w:tcBorders>
          </w:tcPr>
          <w:p w:rsidR="00023FE7" w:rsidRPr="003700AD" w:rsidRDefault="00023FE7" w:rsidP="00230E01">
            <w:pPr>
              <w:pStyle w:val="Bulletedlistflush"/>
              <w:spacing w:before="60"/>
              <w:ind w:left="576" w:right="720" w:firstLine="0"/>
              <w:jc w:val="center"/>
              <w:rPr>
                <w:rFonts w:ascii="Tahoma" w:hAnsi="Tahoma" w:cs="Tahoma"/>
                <w:sz w:val="18"/>
                <w:szCs w:val="18"/>
              </w:rPr>
            </w:pPr>
            <w:r w:rsidRPr="003700AD">
              <w:rPr>
                <w:rFonts w:ascii="Tahoma" w:hAnsi="Tahoma" w:cs="Tahoma"/>
                <w:sz w:val="18"/>
                <w:szCs w:val="18"/>
              </w:rPr>
              <w:t>CAL do Windows Essential Business Server Standard 2008</w:t>
            </w:r>
          </w:p>
        </w:tc>
      </w:tr>
      <w:tr w:rsidR="00023FE7" w:rsidRPr="000A1C8E" w:rsidTr="003700AD">
        <w:trPr>
          <w:trHeight w:val="576"/>
        </w:trPr>
        <w:tc>
          <w:tcPr>
            <w:tcW w:w="4050" w:type="dxa"/>
            <w:tcBorders>
              <w:top w:val="nil"/>
              <w:left w:val="single" w:sz="8" w:space="0" w:color="auto"/>
              <w:bottom w:val="single" w:sz="8" w:space="0" w:color="auto"/>
              <w:right w:val="single" w:sz="8" w:space="0" w:color="auto"/>
            </w:tcBorders>
          </w:tcPr>
          <w:p w:rsidR="00023FE7" w:rsidRPr="000A1C8E" w:rsidRDefault="00023FE7" w:rsidP="00C31ABF">
            <w:pPr>
              <w:spacing w:before="60"/>
              <w:ind w:left="180" w:right="299"/>
              <w:jc w:val="center"/>
              <w:rPr>
                <w:rFonts w:cs="Tahoma"/>
              </w:rPr>
            </w:pPr>
            <w:r w:rsidRPr="000A1C8E">
              <w:rPr>
                <w:rFonts w:cs="Tahoma"/>
                <w:szCs w:val="18"/>
              </w:rPr>
              <w:t>CAL do Essential Business Server Premium 2008 (Dispositivo ou Usuário)</w:t>
            </w:r>
          </w:p>
          <w:p w:rsidR="00230E01" w:rsidRPr="000A1C8E" w:rsidRDefault="00230E01" w:rsidP="00C31ABF">
            <w:pPr>
              <w:ind w:left="180" w:right="299"/>
              <w:jc w:val="center"/>
              <w:rPr>
                <w:rFonts w:eastAsia="Calibri" w:cs="Tahoma"/>
                <w:szCs w:val="18"/>
              </w:rPr>
            </w:pPr>
          </w:p>
        </w:tc>
        <w:tc>
          <w:tcPr>
            <w:tcW w:w="4057" w:type="dxa"/>
            <w:tcBorders>
              <w:top w:val="nil"/>
              <w:left w:val="nil"/>
              <w:bottom w:val="single" w:sz="8" w:space="0" w:color="auto"/>
              <w:right w:val="single" w:sz="8" w:space="0" w:color="auto"/>
            </w:tcBorders>
          </w:tcPr>
          <w:p w:rsidR="00023FE7" w:rsidRPr="003700AD" w:rsidRDefault="00023FE7" w:rsidP="00230E01">
            <w:pPr>
              <w:pStyle w:val="Bulletedlistflush"/>
              <w:spacing w:before="60"/>
              <w:ind w:left="576" w:right="720" w:firstLine="0"/>
              <w:jc w:val="center"/>
              <w:rPr>
                <w:rFonts w:ascii="Tahoma" w:hAnsi="Tahoma" w:cs="Tahoma"/>
                <w:sz w:val="18"/>
                <w:szCs w:val="18"/>
              </w:rPr>
            </w:pPr>
            <w:r w:rsidRPr="003700AD">
              <w:rPr>
                <w:rFonts w:ascii="Tahoma" w:hAnsi="Tahoma" w:cs="Tahoma"/>
                <w:sz w:val="18"/>
                <w:szCs w:val="18"/>
              </w:rPr>
              <w:t>CAL do Windows Essential Business Server Premium 2008</w:t>
            </w:r>
          </w:p>
        </w:tc>
      </w:tr>
      <w:tr w:rsidR="00023FE7" w:rsidRPr="000A1C8E" w:rsidTr="003700AD">
        <w:trPr>
          <w:trHeight w:val="576"/>
        </w:trPr>
        <w:tc>
          <w:tcPr>
            <w:tcW w:w="4050" w:type="dxa"/>
            <w:tcBorders>
              <w:top w:val="nil"/>
              <w:left w:val="single" w:sz="8" w:space="0" w:color="auto"/>
              <w:bottom w:val="single" w:sz="8" w:space="0" w:color="auto"/>
              <w:right w:val="single" w:sz="8" w:space="0" w:color="auto"/>
            </w:tcBorders>
          </w:tcPr>
          <w:p w:rsidR="00023FE7" w:rsidRPr="000A1C8E" w:rsidRDefault="00023FE7" w:rsidP="00281082">
            <w:pPr>
              <w:spacing w:before="60"/>
              <w:ind w:left="360" w:right="720"/>
              <w:jc w:val="center"/>
              <w:rPr>
                <w:rFonts w:eastAsia="Calibri" w:cs="Tahoma"/>
                <w:szCs w:val="18"/>
              </w:rPr>
            </w:pPr>
            <w:r w:rsidRPr="000A1C8E">
              <w:rPr>
                <w:rFonts w:cs="Tahoma"/>
                <w:szCs w:val="18"/>
              </w:rPr>
              <w:t>Atualização do Windows 8 Pro</w:t>
            </w:r>
          </w:p>
        </w:tc>
        <w:tc>
          <w:tcPr>
            <w:tcW w:w="4057" w:type="dxa"/>
            <w:tcBorders>
              <w:top w:val="nil"/>
              <w:left w:val="nil"/>
              <w:bottom w:val="single" w:sz="8" w:space="0" w:color="auto"/>
              <w:right w:val="single" w:sz="8" w:space="0" w:color="auto"/>
            </w:tcBorders>
          </w:tcPr>
          <w:p w:rsidR="008B6EDD" w:rsidRPr="003700AD" w:rsidRDefault="008B6EDD" w:rsidP="00230E01">
            <w:pPr>
              <w:pStyle w:val="Bulletedlistflush"/>
              <w:spacing w:before="60"/>
              <w:ind w:left="576" w:right="720" w:firstLine="0"/>
              <w:jc w:val="center"/>
              <w:rPr>
                <w:rFonts w:ascii="Tahoma" w:hAnsi="Tahoma" w:cs="Tahoma"/>
                <w:sz w:val="18"/>
                <w:szCs w:val="18"/>
              </w:rPr>
            </w:pPr>
            <w:r w:rsidRPr="003700AD">
              <w:rPr>
                <w:rFonts w:ascii="Tahoma" w:hAnsi="Tahoma" w:cs="Tahoma"/>
                <w:sz w:val="18"/>
                <w:szCs w:val="18"/>
              </w:rPr>
              <w:t>Windows 8 Pro</w:t>
            </w:r>
          </w:p>
          <w:p w:rsidR="00023FE7" w:rsidRPr="003700AD" w:rsidRDefault="00023FE7" w:rsidP="008B6EDD">
            <w:pPr>
              <w:pStyle w:val="Bulletedlistflush"/>
              <w:ind w:left="576" w:right="720" w:firstLine="0"/>
              <w:jc w:val="center"/>
              <w:rPr>
                <w:rFonts w:ascii="Tahoma" w:hAnsi="Tahoma" w:cs="Tahoma"/>
                <w:sz w:val="18"/>
                <w:szCs w:val="18"/>
              </w:rPr>
            </w:pPr>
            <w:r w:rsidRPr="003700AD">
              <w:rPr>
                <w:rFonts w:ascii="Tahoma" w:hAnsi="Tahoma" w:cs="Tahoma"/>
                <w:sz w:val="18"/>
                <w:szCs w:val="18"/>
              </w:rPr>
              <w:t>Windows 7 Professional</w:t>
            </w:r>
          </w:p>
        </w:tc>
      </w:tr>
    </w:tbl>
    <w:p w:rsidR="00456002" w:rsidRPr="000A1C8E" w:rsidRDefault="00456002" w:rsidP="00456002">
      <w:pPr>
        <w:pStyle w:val="Heading2"/>
        <w:ind w:left="0"/>
        <w:rPr>
          <w:rFonts w:ascii="Tahoma" w:hAnsi="Tahoma" w:cs="Tahoma"/>
        </w:rPr>
      </w:pPr>
      <w:bookmarkStart w:id="635" w:name="_Toc336338195"/>
      <w:bookmarkStart w:id="636" w:name="_Toc361829278"/>
      <w:r w:rsidRPr="000A1C8E">
        <w:rPr>
          <w:rFonts w:ascii="Tahoma" w:hAnsi="Tahoma" w:cs="Tahoma"/>
        </w:rPr>
        <w:lastRenderedPageBreak/>
        <w:t>Termos de Programa Atualizados dos Contratos Enterprise e Subscription</w:t>
      </w:r>
      <w:bookmarkEnd w:id="635"/>
      <w:bookmarkEnd w:id="636"/>
    </w:p>
    <w:p w:rsidR="00456002" w:rsidRPr="000A1C8E" w:rsidRDefault="00456002" w:rsidP="00456002">
      <w:pPr>
        <w:tabs>
          <w:tab w:val="left" w:pos="360"/>
        </w:tabs>
        <w:rPr>
          <w:rFonts w:cs="Tahoma"/>
        </w:rPr>
      </w:pPr>
    </w:p>
    <w:p w:rsidR="00456002" w:rsidRPr="000A1C8E" w:rsidRDefault="00456002" w:rsidP="00F06EC5">
      <w:pPr>
        <w:keepNext/>
        <w:spacing w:after="60"/>
        <w:outlineLvl w:val="3"/>
        <w:rPr>
          <w:rFonts w:cs="Tahoma"/>
        </w:rPr>
      </w:pPr>
      <w:r w:rsidRPr="000A1C8E">
        <w:rPr>
          <w:rFonts w:cs="Tahoma"/>
          <w:b/>
          <w:szCs w:val="20"/>
        </w:rPr>
        <w:t>Serviços Online Enterprise que satisfazem os requisitos do Produto Enterprise</w:t>
      </w:r>
    </w:p>
    <w:p w:rsidR="00456002" w:rsidRPr="000A1C8E" w:rsidRDefault="00456002" w:rsidP="00366502">
      <w:pPr>
        <w:tabs>
          <w:tab w:val="left" w:pos="360"/>
        </w:tabs>
        <w:rPr>
          <w:rFonts w:cs="Tahoma"/>
        </w:rPr>
      </w:pPr>
      <w:r w:rsidRPr="000A1C8E">
        <w:rPr>
          <w:rFonts w:cs="Tahoma"/>
          <w:b/>
          <w:szCs w:val="20"/>
        </w:rPr>
        <w:t>Observação:</w:t>
      </w:r>
      <w:r w:rsidRPr="000A1C8E">
        <w:rPr>
          <w:rFonts w:cs="Tahoma"/>
          <w:szCs w:val="20"/>
        </w:rPr>
        <w:t xml:space="preserve"> O seguinte se aplica aos clientes do Registro Enterprise e Enterprise Subscription qualificados para comprar os Serviços Online Enterprise.</w:t>
      </w:r>
      <w:r w:rsidR="00DC6D8B" w:rsidRPr="000A1C8E">
        <w:rPr>
          <w:rFonts w:cs="Tahoma"/>
          <w:szCs w:val="20"/>
        </w:rPr>
        <w:t xml:space="preserve"> </w:t>
      </w:r>
      <w:r w:rsidRPr="000A1C8E">
        <w:rPr>
          <w:rFonts w:cs="Tahoma"/>
          <w:szCs w:val="20"/>
        </w:rPr>
        <w:t>Os clientes que tiverem dúvidas sobre sua qualificação para comprar os Serviços Online Enterprise devem entrar em contato com o Consultor de Software, Revendedor ou Gerente de Conta</w:t>
      </w:r>
      <w:r w:rsidR="00C31ABF" w:rsidRPr="000A1C8E">
        <w:rPr>
          <w:rFonts w:cs="Tahoma"/>
          <w:szCs w:val="20"/>
        </w:rPr>
        <w:t> </w:t>
      </w:r>
      <w:r w:rsidRPr="000A1C8E">
        <w:rPr>
          <w:rFonts w:cs="Tahoma"/>
          <w:szCs w:val="20"/>
        </w:rPr>
        <w:t>Microsoft para obter mais informações.</w:t>
      </w:r>
      <w:r w:rsidR="00DC6D8B" w:rsidRPr="000A1C8E">
        <w:rPr>
          <w:rFonts w:cs="Tahoma"/>
          <w:szCs w:val="20"/>
        </w:rPr>
        <w:t xml:space="preserve"> </w:t>
      </w:r>
    </w:p>
    <w:p w:rsidR="00456002" w:rsidRPr="000A1C8E" w:rsidRDefault="00456002" w:rsidP="00366502">
      <w:pPr>
        <w:tabs>
          <w:tab w:val="left" w:pos="360"/>
        </w:tabs>
        <w:rPr>
          <w:rFonts w:cs="Tahoma"/>
        </w:rPr>
      </w:pPr>
    </w:p>
    <w:p w:rsidR="00456002" w:rsidRPr="000A1C8E" w:rsidRDefault="00456002" w:rsidP="00366502">
      <w:pPr>
        <w:tabs>
          <w:tab w:val="left" w:pos="360"/>
        </w:tabs>
        <w:rPr>
          <w:rFonts w:cs="Tahoma"/>
        </w:rPr>
      </w:pPr>
      <w:r w:rsidRPr="000A1C8E">
        <w:rPr>
          <w:rFonts w:cs="Tahoma"/>
          <w:szCs w:val="20"/>
        </w:rPr>
        <w:t>Uma combinação dos Produtos Enterprise e dos Serviços Online Enterprise pode ser usada para atender aos requisitos de toda a Empresa em um Registro Enterprise ou Enterprise Subscription.</w:t>
      </w:r>
    </w:p>
    <w:p w:rsidR="00456002" w:rsidRPr="000A1C8E" w:rsidRDefault="00456002" w:rsidP="00366502">
      <w:pPr>
        <w:tabs>
          <w:tab w:val="left" w:pos="360"/>
        </w:tabs>
        <w:rPr>
          <w:rFonts w:cs="Tahoma"/>
        </w:rPr>
      </w:pPr>
    </w:p>
    <w:p w:rsidR="00456002" w:rsidRPr="000A1C8E" w:rsidRDefault="00456002" w:rsidP="0073369F">
      <w:pPr>
        <w:tabs>
          <w:tab w:val="left" w:pos="360"/>
        </w:tabs>
        <w:rPr>
          <w:rFonts w:cs="Tahoma"/>
        </w:rPr>
      </w:pPr>
      <w:r w:rsidRPr="000A1C8E">
        <w:rPr>
          <w:rFonts w:cs="Tahoma"/>
          <w:szCs w:val="20"/>
        </w:rPr>
        <w:t>A tabela a seguir identifica os Serviços Online Enterprise e as CALs necessárias (se aplicável) que atendem aos requisitos de toda a Empresa para Produtos Enterprise.</w:t>
      </w:r>
      <w:r w:rsidR="00DC6D8B" w:rsidRPr="000A1C8E">
        <w:rPr>
          <w:rFonts w:cs="Tahoma"/>
          <w:szCs w:val="20"/>
        </w:rPr>
        <w:t xml:space="preserve"> </w:t>
      </w:r>
    </w:p>
    <w:p w:rsidR="00456002" w:rsidRPr="000A1C8E" w:rsidRDefault="00456002" w:rsidP="0073369F">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0A1C8E"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0A1C8E" w:rsidRDefault="00456002" w:rsidP="005C647E">
            <w:pPr>
              <w:keepNext/>
              <w:jc w:val="center"/>
              <w:rPr>
                <w:rFonts w:cs="Tahoma"/>
                <w:b/>
              </w:rPr>
            </w:pPr>
            <w:r w:rsidRPr="000A1C8E">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0A1C8E" w:rsidRDefault="00456002" w:rsidP="005C647E">
            <w:pPr>
              <w:keepNext/>
              <w:jc w:val="center"/>
              <w:rPr>
                <w:rFonts w:cs="Tahoma"/>
                <w:b/>
              </w:rPr>
            </w:pPr>
            <w:r w:rsidRPr="000A1C8E">
              <w:rPr>
                <w:rFonts w:cs="Tahoma"/>
                <w:b/>
                <w:bCs/>
              </w:rPr>
              <w:t>Serviços Online Enterprise***</w:t>
            </w:r>
          </w:p>
        </w:tc>
      </w:tr>
      <w:tr w:rsidR="00E71EB9" w:rsidRPr="000A1C8E"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0A1C8E" w:rsidRDefault="00E71EB9" w:rsidP="005C647E">
            <w:pPr>
              <w:ind w:left="144"/>
              <w:rPr>
                <w:rFonts w:cs="Tahoma"/>
                <w:szCs w:val="18"/>
              </w:rPr>
            </w:pPr>
            <w:r w:rsidRPr="000A1C8E">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0A1C8E" w:rsidRDefault="00E71EB9" w:rsidP="00346F4B">
            <w:pPr>
              <w:numPr>
                <w:ilvl w:val="0"/>
                <w:numId w:val="35"/>
              </w:numPr>
              <w:spacing w:before="60" w:after="60"/>
              <w:ind w:left="907"/>
              <w:rPr>
                <w:rFonts w:cs="Tahoma"/>
              </w:rPr>
            </w:pPr>
            <w:r w:rsidRPr="000A1C8E">
              <w:rPr>
                <w:rFonts w:cs="Tahoma"/>
                <w:color w:val="000000"/>
                <w:szCs w:val="18"/>
              </w:rPr>
              <w:t>Office 365 (Enterprise E2)</w:t>
            </w:r>
          </w:p>
          <w:p w:rsidR="00E71EB9" w:rsidRPr="000A1C8E" w:rsidRDefault="00E71EB9" w:rsidP="00346F4B">
            <w:pPr>
              <w:numPr>
                <w:ilvl w:val="0"/>
                <w:numId w:val="35"/>
              </w:numPr>
              <w:spacing w:after="60"/>
              <w:ind w:left="907"/>
              <w:rPr>
                <w:rFonts w:cs="Tahoma"/>
              </w:rPr>
            </w:pPr>
            <w:r w:rsidRPr="000A1C8E">
              <w:rPr>
                <w:rFonts w:cs="Tahoma"/>
                <w:color w:val="000000"/>
                <w:szCs w:val="18"/>
              </w:rPr>
              <w:t>Office 365 (Enterprise E3)</w:t>
            </w:r>
          </w:p>
          <w:p w:rsidR="00E71EB9" w:rsidRPr="000A1C8E" w:rsidRDefault="00E71EB9" w:rsidP="00346F4B">
            <w:pPr>
              <w:numPr>
                <w:ilvl w:val="0"/>
                <w:numId w:val="35"/>
              </w:numPr>
              <w:spacing w:after="60"/>
              <w:ind w:left="907"/>
              <w:rPr>
                <w:rFonts w:cs="Tahoma"/>
              </w:rPr>
            </w:pPr>
            <w:r w:rsidRPr="000A1C8E">
              <w:rPr>
                <w:rFonts w:cs="Tahoma"/>
                <w:color w:val="000000"/>
                <w:szCs w:val="18"/>
              </w:rPr>
              <w:t xml:space="preserve">Office 365 (Enterprise E4) </w:t>
            </w:r>
          </w:p>
          <w:p w:rsidR="00E71EB9" w:rsidRPr="000A1C8E" w:rsidRDefault="00E71EB9" w:rsidP="00346F4B">
            <w:pPr>
              <w:numPr>
                <w:ilvl w:val="0"/>
                <w:numId w:val="35"/>
              </w:numPr>
              <w:spacing w:after="60"/>
              <w:ind w:left="907"/>
              <w:rPr>
                <w:rFonts w:cs="Tahoma"/>
              </w:rPr>
            </w:pPr>
            <w:r w:rsidRPr="000A1C8E">
              <w:rPr>
                <w:rFonts w:cs="Tahoma"/>
                <w:color w:val="000000"/>
                <w:szCs w:val="18"/>
              </w:rPr>
              <w:t>Office 365 (Government G2)</w:t>
            </w:r>
          </w:p>
          <w:p w:rsidR="00E71EB9" w:rsidRPr="000A1C8E" w:rsidRDefault="00E71EB9" w:rsidP="00346F4B">
            <w:pPr>
              <w:numPr>
                <w:ilvl w:val="0"/>
                <w:numId w:val="35"/>
              </w:numPr>
              <w:spacing w:after="60"/>
              <w:ind w:left="907"/>
              <w:rPr>
                <w:rFonts w:cs="Tahoma"/>
              </w:rPr>
            </w:pPr>
            <w:r w:rsidRPr="000A1C8E">
              <w:rPr>
                <w:rFonts w:cs="Tahoma"/>
                <w:color w:val="000000"/>
                <w:szCs w:val="18"/>
              </w:rPr>
              <w:t>Office 365 (Government G3)</w:t>
            </w:r>
          </w:p>
          <w:p w:rsidR="00E71EB9" w:rsidRPr="000A1C8E" w:rsidRDefault="00E71EB9" w:rsidP="00346F4B">
            <w:pPr>
              <w:numPr>
                <w:ilvl w:val="0"/>
                <w:numId w:val="35"/>
              </w:numPr>
              <w:spacing w:after="60"/>
              <w:ind w:left="907"/>
              <w:rPr>
                <w:rFonts w:cs="Tahoma"/>
              </w:rPr>
            </w:pPr>
            <w:r w:rsidRPr="000A1C8E">
              <w:rPr>
                <w:rFonts w:cs="Tahoma"/>
                <w:color w:val="000000"/>
                <w:szCs w:val="18"/>
              </w:rPr>
              <w:t>Office 365 (Government G4)</w:t>
            </w:r>
          </w:p>
          <w:p w:rsidR="00C571BD" w:rsidRPr="000A1C8E" w:rsidRDefault="00C571BD" w:rsidP="00F06EC5">
            <w:pPr>
              <w:ind w:left="907"/>
              <w:rPr>
                <w:rFonts w:cs="Tahoma"/>
                <w:color w:val="000000"/>
                <w:szCs w:val="18"/>
              </w:rPr>
            </w:pPr>
          </w:p>
        </w:tc>
      </w:tr>
      <w:tr w:rsidR="00E71EB9" w:rsidRPr="000A1C8E"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0A1C8E" w:rsidRDefault="00E71EB9" w:rsidP="005C647E">
            <w:pPr>
              <w:ind w:left="144"/>
              <w:rPr>
                <w:rFonts w:cs="Tahoma"/>
                <w:szCs w:val="18"/>
              </w:rPr>
            </w:pPr>
            <w:r w:rsidRPr="000A1C8E">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0A1C8E" w:rsidRDefault="008368B4" w:rsidP="00346F4B">
            <w:pPr>
              <w:numPr>
                <w:ilvl w:val="0"/>
                <w:numId w:val="35"/>
              </w:numPr>
              <w:spacing w:before="60" w:after="60"/>
              <w:ind w:left="907"/>
              <w:rPr>
                <w:rFonts w:cs="Tahoma"/>
              </w:rPr>
            </w:pPr>
            <w:r w:rsidRPr="000A1C8E">
              <w:rPr>
                <w:rFonts w:cs="Tahoma"/>
                <w:color w:val="000000"/>
                <w:szCs w:val="18"/>
              </w:rPr>
              <w:t>Office 365 (Enterprise E1)*</w:t>
            </w:r>
          </w:p>
          <w:p w:rsidR="008368B4" w:rsidRPr="000A1C8E" w:rsidRDefault="008368B4" w:rsidP="00346F4B">
            <w:pPr>
              <w:numPr>
                <w:ilvl w:val="0"/>
                <w:numId w:val="35"/>
              </w:numPr>
              <w:spacing w:after="60"/>
              <w:rPr>
                <w:rFonts w:cs="Tahoma"/>
              </w:rPr>
            </w:pPr>
            <w:r w:rsidRPr="000A1C8E">
              <w:rPr>
                <w:rFonts w:cs="Tahoma"/>
                <w:color w:val="000000"/>
                <w:szCs w:val="18"/>
              </w:rPr>
              <w:t>Office 365 (Enterprise E2)*</w:t>
            </w:r>
          </w:p>
          <w:p w:rsidR="008368B4" w:rsidRPr="000A1C8E" w:rsidRDefault="008368B4" w:rsidP="00346F4B">
            <w:pPr>
              <w:numPr>
                <w:ilvl w:val="0"/>
                <w:numId w:val="35"/>
              </w:numPr>
              <w:spacing w:after="60"/>
              <w:rPr>
                <w:rFonts w:cs="Tahoma"/>
              </w:rPr>
            </w:pPr>
            <w:r w:rsidRPr="000A1C8E">
              <w:rPr>
                <w:rFonts w:cs="Tahoma"/>
                <w:color w:val="000000"/>
                <w:szCs w:val="18"/>
              </w:rPr>
              <w:t>Office 365 (Enterprise E3)*</w:t>
            </w:r>
          </w:p>
          <w:p w:rsidR="008368B4" w:rsidRPr="000A1C8E" w:rsidRDefault="008368B4" w:rsidP="00346F4B">
            <w:pPr>
              <w:numPr>
                <w:ilvl w:val="0"/>
                <w:numId w:val="35"/>
              </w:numPr>
              <w:spacing w:after="60"/>
              <w:rPr>
                <w:rFonts w:cs="Tahoma"/>
              </w:rPr>
            </w:pPr>
            <w:r w:rsidRPr="000A1C8E">
              <w:rPr>
                <w:rFonts w:cs="Tahoma"/>
                <w:color w:val="000000"/>
                <w:szCs w:val="18"/>
              </w:rPr>
              <w:t>Office 365 (Enterprise E4)*</w:t>
            </w:r>
          </w:p>
          <w:p w:rsidR="008368B4" w:rsidRPr="000A1C8E" w:rsidRDefault="008368B4" w:rsidP="00346F4B">
            <w:pPr>
              <w:numPr>
                <w:ilvl w:val="0"/>
                <w:numId w:val="35"/>
              </w:numPr>
              <w:spacing w:after="60"/>
              <w:rPr>
                <w:rFonts w:cs="Tahoma"/>
              </w:rPr>
            </w:pPr>
            <w:r w:rsidRPr="000A1C8E">
              <w:rPr>
                <w:rFonts w:cs="Tahoma"/>
                <w:color w:val="000000"/>
                <w:szCs w:val="18"/>
              </w:rPr>
              <w:t>Office 365 (Government G1)*</w:t>
            </w:r>
          </w:p>
          <w:p w:rsidR="008368B4" w:rsidRPr="000A1C8E" w:rsidRDefault="008368B4" w:rsidP="00346F4B">
            <w:pPr>
              <w:numPr>
                <w:ilvl w:val="0"/>
                <w:numId w:val="35"/>
              </w:numPr>
              <w:spacing w:after="60"/>
              <w:rPr>
                <w:rFonts w:cs="Tahoma"/>
              </w:rPr>
            </w:pPr>
            <w:r w:rsidRPr="000A1C8E">
              <w:rPr>
                <w:rFonts w:cs="Tahoma"/>
                <w:color w:val="000000"/>
                <w:szCs w:val="18"/>
              </w:rPr>
              <w:t>Office 365 (Government G2)*</w:t>
            </w:r>
          </w:p>
          <w:p w:rsidR="008368B4" w:rsidRPr="000A1C8E" w:rsidRDefault="004D2744" w:rsidP="00346F4B">
            <w:pPr>
              <w:numPr>
                <w:ilvl w:val="0"/>
                <w:numId w:val="35"/>
              </w:numPr>
              <w:spacing w:after="60"/>
              <w:rPr>
                <w:rFonts w:cs="Tahoma"/>
              </w:rPr>
            </w:pPr>
            <w:r w:rsidRPr="000A1C8E">
              <w:rPr>
                <w:rFonts w:cs="Tahoma"/>
                <w:color w:val="000000"/>
                <w:szCs w:val="18"/>
              </w:rPr>
              <w:t>Office 365 (Government G3)*</w:t>
            </w:r>
          </w:p>
          <w:p w:rsidR="008368B4" w:rsidRPr="000A1C8E" w:rsidRDefault="008368B4" w:rsidP="00346F4B">
            <w:pPr>
              <w:numPr>
                <w:ilvl w:val="0"/>
                <w:numId w:val="35"/>
              </w:numPr>
              <w:spacing w:after="60"/>
              <w:rPr>
                <w:rFonts w:cs="Tahoma"/>
              </w:rPr>
            </w:pPr>
            <w:r w:rsidRPr="000A1C8E">
              <w:rPr>
                <w:rFonts w:cs="Tahoma"/>
                <w:color w:val="000000"/>
                <w:szCs w:val="18"/>
              </w:rPr>
              <w:t>Office 365 (Government G4)*</w:t>
            </w:r>
          </w:p>
          <w:p w:rsidR="00822871" w:rsidRPr="000A1C8E" w:rsidRDefault="00E71EB9" w:rsidP="00346F4B">
            <w:pPr>
              <w:numPr>
                <w:ilvl w:val="0"/>
                <w:numId w:val="35"/>
              </w:numPr>
              <w:spacing w:after="60"/>
              <w:rPr>
                <w:rFonts w:cs="Tahoma"/>
              </w:rPr>
            </w:pPr>
            <w:r w:rsidRPr="000A1C8E">
              <w:rPr>
                <w:rFonts w:cs="Tahoma"/>
                <w:color w:val="000000"/>
                <w:szCs w:val="18"/>
              </w:rPr>
              <w:t xml:space="preserve">Windows Intune* </w:t>
            </w:r>
          </w:p>
          <w:p w:rsidR="00822871" w:rsidRPr="000A1C8E" w:rsidRDefault="00822871" w:rsidP="00F06EC5">
            <w:pPr>
              <w:ind w:left="907"/>
              <w:rPr>
                <w:rFonts w:cs="Tahoma"/>
                <w:color w:val="000000"/>
                <w:szCs w:val="18"/>
              </w:rPr>
            </w:pPr>
          </w:p>
        </w:tc>
      </w:tr>
      <w:tr w:rsidR="00E71EB9" w:rsidRPr="000A1C8E"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0A1C8E" w:rsidRDefault="00E71EB9" w:rsidP="005C647E">
            <w:pPr>
              <w:ind w:left="144"/>
              <w:rPr>
                <w:rFonts w:cs="Tahoma"/>
                <w:szCs w:val="18"/>
              </w:rPr>
            </w:pPr>
            <w:r w:rsidRPr="000A1C8E">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0A1C8E" w:rsidRDefault="008368B4" w:rsidP="00346F4B">
            <w:pPr>
              <w:numPr>
                <w:ilvl w:val="0"/>
                <w:numId w:val="36"/>
              </w:numPr>
              <w:spacing w:before="60" w:after="60"/>
              <w:ind w:left="907"/>
              <w:rPr>
                <w:rFonts w:cs="Tahoma"/>
              </w:rPr>
            </w:pPr>
            <w:r w:rsidRPr="000A1C8E">
              <w:rPr>
                <w:rFonts w:eastAsia="Calibri" w:cs="Tahoma"/>
                <w:color w:val="000000"/>
                <w:szCs w:val="18"/>
              </w:rPr>
              <w:t xml:space="preserve">Office 365 </w:t>
            </w:r>
            <w:r w:rsidRPr="000A1C8E">
              <w:rPr>
                <w:rFonts w:cs="Tahoma"/>
                <w:color w:val="000000"/>
                <w:szCs w:val="18"/>
              </w:rPr>
              <w:t>(Enterprise E3)*</w:t>
            </w:r>
          </w:p>
          <w:p w:rsidR="008368B4" w:rsidRPr="000A1C8E" w:rsidRDefault="008368B4" w:rsidP="00346F4B">
            <w:pPr>
              <w:numPr>
                <w:ilvl w:val="0"/>
                <w:numId w:val="36"/>
              </w:numPr>
              <w:spacing w:after="60"/>
              <w:rPr>
                <w:rFonts w:cs="Tahoma"/>
              </w:rPr>
            </w:pPr>
            <w:r w:rsidRPr="000A1C8E">
              <w:rPr>
                <w:rFonts w:eastAsia="Calibri" w:cs="Tahoma"/>
                <w:color w:val="000000"/>
                <w:szCs w:val="18"/>
              </w:rPr>
              <w:t xml:space="preserve">Office 365 </w:t>
            </w:r>
            <w:r w:rsidRPr="000A1C8E">
              <w:rPr>
                <w:rFonts w:cs="Tahoma"/>
                <w:color w:val="000000"/>
                <w:szCs w:val="18"/>
              </w:rPr>
              <w:t>(Enterprise E4)*</w:t>
            </w:r>
          </w:p>
          <w:p w:rsidR="008368B4" w:rsidRPr="000A1C8E" w:rsidRDefault="008368B4" w:rsidP="00346F4B">
            <w:pPr>
              <w:numPr>
                <w:ilvl w:val="0"/>
                <w:numId w:val="36"/>
              </w:numPr>
              <w:spacing w:after="60"/>
              <w:rPr>
                <w:rFonts w:cs="Tahoma"/>
              </w:rPr>
            </w:pPr>
            <w:r w:rsidRPr="000A1C8E">
              <w:rPr>
                <w:rFonts w:eastAsia="Calibri" w:cs="Tahoma"/>
                <w:color w:val="000000"/>
                <w:szCs w:val="18"/>
              </w:rPr>
              <w:t xml:space="preserve">Office 365 </w:t>
            </w:r>
            <w:r w:rsidRPr="000A1C8E">
              <w:rPr>
                <w:rFonts w:cs="Tahoma"/>
                <w:color w:val="000000"/>
                <w:szCs w:val="18"/>
              </w:rPr>
              <w:t>(Government G3)*</w:t>
            </w:r>
          </w:p>
          <w:p w:rsidR="008368B4" w:rsidRPr="000A1C8E" w:rsidRDefault="008368B4" w:rsidP="00346F4B">
            <w:pPr>
              <w:numPr>
                <w:ilvl w:val="0"/>
                <w:numId w:val="36"/>
              </w:numPr>
              <w:spacing w:after="60"/>
              <w:rPr>
                <w:rFonts w:cs="Tahoma"/>
              </w:rPr>
            </w:pPr>
            <w:r w:rsidRPr="000A1C8E">
              <w:rPr>
                <w:rFonts w:eastAsia="Calibri" w:cs="Tahoma"/>
                <w:color w:val="000000"/>
                <w:szCs w:val="18"/>
              </w:rPr>
              <w:t xml:space="preserve">Office 365 </w:t>
            </w:r>
            <w:r w:rsidRPr="000A1C8E">
              <w:rPr>
                <w:rFonts w:cs="Tahoma"/>
                <w:color w:val="000000"/>
                <w:szCs w:val="18"/>
              </w:rPr>
              <w:t>(Government G4)*</w:t>
            </w:r>
          </w:p>
          <w:p w:rsidR="00822871" w:rsidRPr="000A1C8E" w:rsidRDefault="00E71EB9" w:rsidP="00346F4B">
            <w:pPr>
              <w:numPr>
                <w:ilvl w:val="0"/>
                <w:numId w:val="36"/>
              </w:numPr>
              <w:spacing w:after="60"/>
              <w:rPr>
                <w:rFonts w:cs="Tahoma"/>
              </w:rPr>
            </w:pPr>
            <w:r w:rsidRPr="000A1C8E">
              <w:rPr>
                <w:rFonts w:cs="Tahoma"/>
                <w:color w:val="000000"/>
                <w:szCs w:val="18"/>
              </w:rPr>
              <w:t>Windows Intune*</w:t>
            </w:r>
          </w:p>
          <w:p w:rsidR="00E71EB9" w:rsidRPr="000A1C8E" w:rsidRDefault="00E71EB9" w:rsidP="0038120B">
            <w:pPr>
              <w:ind w:left="907"/>
              <w:rPr>
                <w:rFonts w:cs="Tahoma"/>
                <w:color w:val="000000"/>
                <w:szCs w:val="18"/>
              </w:rPr>
            </w:pPr>
            <w:r w:rsidRPr="000A1C8E">
              <w:rPr>
                <w:rFonts w:cs="Tahoma"/>
                <w:color w:val="000000"/>
                <w:szCs w:val="18"/>
              </w:rPr>
              <w:t xml:space="preserve"> </w:t>
            </w:r>
          </w:p>
        </w:tc>
      </w:tr>
    </w:tbl>
    <w:p w:rsidR="00456002" w:rsidRPr="000A1C8E" w:rsidRDefault="00456002" w:rsidP="00456002">
      <w:pPr>
        <w:tabs>
          <w:tab w:val="left" w:pos="360"/>
        </w:tabs>
        <w:ind w:left="720"/>
        <w:rPr>
          <w:rFonts w:cs="Tahoma"/>
        </w:rPr>
      </w:pPr>
      <w:r w:rsidRPr="000A1C8E">
        <w:rPr>
          <w:rFonts w:cs="Tahoma"/>
          <w:i/>
          <w:sz w:val="16"/>
          <w:szCs w:val="20"/>
        </w:rPr>
        <w:t>* Requer Bridge do Pacote de CALs adequado. Para obter mais informações sobre o Bridge do Pacote de CALs, consulte a seção de notas do produto neste documento.</w:t>
      </w:r>
    </w:p>
    <w:p w:rsidR="00456002" w:rsidRPr="000A1C8E" w:rsidRDefault="00456002" w:rsidP="00456002">
      <w:pPr>
        <w:tabs>
          <w:tab w:val="left" w:pos="360"/>
        </w:tabs>
        <w:ind w:left="720"/>
        <w:rPr>
          <w:rFonts w:cs="Tahoma"/>
        </w:rPr>
      </w:pPr>
      <w:r w:rsidRPr="000A1C8E">
        <w:rPr>
          <w:rFonts w:cs="Tahoma"/>
          <w:i/>
          <w:sz w:val="16"/>
          <w:szCs w:val="20"/>
        </w:rPr>
        <w:t>**O Office 365 ProPlus e o Windows VDA são Produtos Empresariais e também podem atender aos requisitos para toda a Empresa.</w:t>
      </w:r>
    </w:p>
    <w:p w:rsidR="00456002" w:rsidRPr="000A1C8E" w:rsidRDefault="00456002" w:rsidP="00366502">
      <w:pPr>
        <w:tabs>
          <w:tab w:val="left" w:pos="360"/>
        </w:tabs>
        <w:ind w:left="720"/>
        <w:rPr>
          <w:rFonts w:cs="Tahoma"/>
        </w:rPr>
      </w:pPr>
      <w:r w:rsidRPr="000A1C8E">
        <w:rPr>
          <w:rFonts w:cs="Tahoma"/>
          <w:i/>
          <w:sz w:val="16"/>
          <w:szCs w:val="20"/>
        </w:rPr>
        <w:t>*** Os Serviços Online Enterprise incluem somente USLs completas.</w:t>
      </w:r>
      <w:r w:rsidR="00DC6D8B" w:rsidRPr="000A1C8E">
        <w:rPr>
          <w:rFonts w:cs="Tahoma"/>
          <w:i/>
          <w:sz w:val="16"/>
          <w:szCs w:val="20"/>
        </w:rPr>
        <w:t xml:space="preserve"> </w:t>
      </w:r>
      <w:r w:rsidRPr="000A1C8E">
        <w:rPr>
          <w:rFonts w:cs="Tahoma"/>
          <w:i/>
          <w:sz w:val="16"/>
          <w:szCs w:val="20"/>
        </w:rPr>
        <w:t>As USLs do Software Assurance, que requerem CAL Principal ou CAL Empresarial para compra, não são Serviços Online Enterprise.</w:t>
      </w:r>
    </w:p>
    <w:p w:rsidR="00366502" w:rsidRPr="000A1C8E" w:rsidRDefault="00366502" w:rsidP="00456002">
      <w:pPr>
        <w:tabs>
          <w:tab w:val="left" w:pos="360"/>
        </w:tabs>
        <w:ind w:left="720"/>
        <w:rPr>
          <w:rFonts w:cs="Tahoma"/>
        </w:rPr>
      </w:pPr>
    </w:p>
    <w:p w:rsidR="00456002" w:rsidRPr="000A1C8E" w:rsidRDefault="00456002" w:rsidP="0073369F">
      <w:pPr>
        <w:tabs>
          <w:tab w:val="left" w:pos="360"/>
        </w:tabs>
        <w:spacing w:after="60"/>
        <w:rPr>
          <w:rFonts w:cs="Tahoma"/>
        </w:rPr>
      </w:pPr>
      <w:r w:rsidRPr="000A1C8E">
        <w:rPr>
          <w:rFonts w:cs="Tahoma"/>
          <w:b/>
          <w:szCs w:val="18"/>
        </w:rPr>
        <w:t>Transições Permitidas</w:t>
      </w:r>
    </w:p>
    <w:p w:rsidR="00456002" w:rsidRPr="000A1C8E" w:rsidRDefault="0014632E" w:rsidP="0073369F">
      <w:pPr>
        <w:tabs>
          <w:tab w:val="left" w:pos="360"/>
        </w:tabs>
        <w:rPr>
          <w:rFonts w:cs="Tahoma"/>
        </w:rPr>
      </w:pPr>
      <w:r w:rsidRPr="000A1C8E">
        <w:rPr>
          <w:rFonts w:cs="Tahoma"/>
          <w:b/>
          <w:szCs w:val="20"/>
        </w:rPr>
        <w:t xml:space="preserve">Observação: </w:t>
      </w:r>
      <w:r w:rsidRPr="000A1C8E">
        <w:rPr>
          <w:rFonts w:cs="Tahoma"/>
          <w:szCs w:val="20"/>
        </w:rPr>
        <w:t>O seguinte se aplica aos clientes do Registro Enterprise e Enterprise Subscription que tenham direitos de Transição.</w:t>
      </w:r>
      <w:r w:rsidR="00DC6D8B" w:rsidRPr="000A1C8E">
        <w:rPr>
          <w:rFonts w:cs="Tahoma"/>
          <w:szCs w:val="20"/>
        </w:rPr>
        <w:t xml:space="preserve"> </w:t>
      </w:r>
      <w:r w:rsidRPr="000A1C8E">
        <w:rPr>
          <w:rFonts w:cs="Tahoma"/>
          <w:szCs w:val="20"/>
        </w:rPr>
        <w:t>Os clientes que tiverem dúvidas sobre os direitos de Transição do seu registro devem entrar em contato com o Consultor de Software, Revendedor ou Gerente de Conta Microsoft para obter mais informações.</w:t>
      </w:r>
      <w:r w:rsidR="00DC6D8B" w:rsidRPr="000A1C8E">
        <w:rPr>
          <w:rFonts w:cs="Tahoma"/>
          <w:szCs w:val="20"/>
        </w:rPr>
        <w:t xml:space="preserve"> </w:t>
      </w:r>
    </w:p>
    <w:p w:rsidR="00456002" w:rsidRPr="000A1C8E" w:rsidRDefault="00456002" w:rsidP="0073369F">
      <w:pPr>
        <w:tabs>
          <w:tab w:val="left" w:pos="360"/>
        </w:tabs>
        <w:rPr>
          <w:rFonts w:cs="Tahoma"/>
        </w:rPr>
      </w:pPr>
    </w:p>
    <w:p w:rsidR="00456002" w:rsidRPr="000A1C8E" w:rsidRDefault="00456002" w:rsidP="0073369F">
      <w:pPr>
        <w:tabs>
          <w:tab w:val="left" w:pos="360"/>
        </w:tabs>
        <w:rPr>
          <w:rFonts w:cs="Tahoma"/>
        </w:rPr>
      </w:pPr>
      <w:r w:rsidRPr="000A1C8E">
        <w:rPr>
          <w:rFonts w:cs="Tahoma"/>
          <w:szCs w:val="20"/>
        </w:rPr>
        <w:lastRenderedPageBreak/>
        <w:t>A tabela a seguir identifica os produtos qualificados para a Transição e as Transições permitidas.</w:t>
      </w:r>
      <w:r w:rsidR="00DC6D8B" w:rsidRPr="000A1C8E">
        <w:rPr>
          <w:rFonts w:cs="Tahoma"/>
          <w:szCs w:val="20"/>
        </w:rPr>
        <w:t xml:space="preserve"> </w:t>
      </w:r>
      <w:r w:rsidRPr="000A1C8E">
        <w:rPr>
          <w:rFonts w:cs="Tahoma"/>
          <w:szCs w:val="20"/>
        </w:rPr>
        <w:t>Ela inclui produtos submetidos a transição quando comprados como parte de uma plataforma de desktop.</w:t>
      </w:r>
    </w:p>
    <w:p w:rsidR="00456002" w:rsidRPr="000A1C8E"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0A1C8E" w:rsidTr="0073369F">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0A1C8E" w:rsidRDefault="00456002" w:rsidP="005C647E">
            <w:pPr>
              <w:keepNext/>
              <w:jc w:val="center"/>
              <w:rPr>
                <w:rFonts w:cs="Tahoma"/>
                <w:b/>
              </w:rPr>
            </w:pPr>
            <w:r w:rsidRPr="000A1C8E">
              <w:rPr>
                <w:rFonts w:cs="Tahoma"/>
                <w:b/>
              </w:rPr>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0A1C8E" w:rsidRDefault="00456002" w:rsidP="005C647E">
            <w:pPr>
              <w:keepNext/>
              <w:jc w:val="center"/>
              <w:rPr>
                <w:rFonts w:cs="Tahoma"/>
                <w:b/>
              </w:rPr>
            </w:pPr>
            <w:r w:rsidRPr="000A1C8E">
              <w:rPr>
                <w:rFonts w:cs="Tahoma"/>
                <w:b/>
              </w:rPr>
              <w:t>Opções de Transições Válidas</w:t>
            </w:r>
          </w:p>
        </w:tc>
      </w:tr>
      <w:tr w:rsidR="00A32052" w:rsidRPr="000A1C8E"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0A1C8E" w:rsidRDefault="00A32052" w:rsidP="005C647E">
            <w:pPr>
              <w:spacing w:before="60" w:after="60"/>
              <w:ind w:left="144"/>
              <w:rPr>
                <w:rFonts w:cs="Tahoma"/>
              </w:rPr>
            </w:pPr>
            <w:r w:rsidRPr="000A1C8E">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rsidR="008368B4" w:rsidRPr="000A1C8E" w:rsidRDefault="008368B4" w:rsidP="00346F4B">
            <w:pPr>
              <w:numPr>
                <w:ilvl w:val="0"/>
                <w:numId w:val="37"/>
              </w:numPr>
              <w:spacing w:before="60" w:after="60"/>
              <w:rPr>
                <w:rFonts w:cs="Tahoma"/>
              </w:rPr>
            </w:pPr>
            <w:r w:rsidRPr="000A1C8E">
              <w:rPr>
                <w:rFonts w:cs="Tahoma"/>
                <w:color w:val="000000"/>
                <w:szCs w:val="18"/>
              </w:rPr>
              <w:t>Office 365 (Enterprise E1)*</w:t>
            </w:r>
          </w:p>
          <w:p w:rsidR="008368B4" w:rsidRPr="000A1C8E" w:rsidRDefault="008368B4" w:rsidP="00346F4B">
            <w:pPr>
              <w:numPr>
                <w:ilvl w:val="0"/>
                <w:numId w:val="37"/>
              </w:numPr>
              <w:spacing w:after="60"/>
              <w:rPr>
                <w:rFonts w:cs="Tahoma"/>
              </w:rPr>
            </w:pPr>
            <w:r w:rsidRPr="000A1C8E">
              <w:rPr>
                <w:rFonts w:cs="Tahoma"/>
                <w:color w:val="000000"/>
                <w:szCs w:val="18"/>
              </w:rPr>
              <w:t>Office 365 (Enterprise E2)*</w:t>
            </w:r>
          </w:p>
          <w:p w:rsidR="008368B4" w:rsidRPr="000A1C8E" w:rsidRDefault="008368B4" w:rsidP="00346F4B">
            <w:pPr>
              <w:numPr>
                <w:ilvl w:val="0"/>
                <w:numId w:val="37"/>
              </w:numPr>
              <w:spacing w:after="60"/>
              <w:rPr>
                <w:rFonts w:cs="Tahoma"/>
              </w:rPr>
            </w:pPr>
            <w:r w:rsidRPr="000A1C8E">
              <w:rPr>
                <w:rFonts w:cs="Tahoma"/>
                <w:color w:val="000000"/>
                <w:szCs w:val="18"/>
              </w:rPr>
              <w:t>Office 365 (Enterprise E3)*</w:t>
            </w:r>
          </w:p>
          <w:p w:rsidR="008368B4" w:rsidRPr="000A1C8E" w:rsidRDefault="008368B4" w:rsidP="00346F4B">
            <w:pPr>
              <w:numPr>
                <w:ilvl w:val="0"/>
                <w:numId w:val="37"/>
              </w:numPr>
              <w:spacing w:after="60"/>
              <w:rPr>
                <w:rFonts w:cs="Tahoma"/>
              </w:rPr>
            </w:pPr>
            <w:r w:rsidRPr="000A1C8E">
              <w:rPr>
                <w:rFonts w:cs="Tahoma"/>
                <w:color w:val="000000"/>
                <w:szCs w:val="18"/>
              </w:rPr>
              <w:t>Office 365 (Enterprise E4)*</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G1)*</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G2)*</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G3)*</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G4)*</w:t>
            </w:r>
          </w:p>
          <w:p w:rsidR="00A32052" w:rsidRPr="000A1C8E" w:rsidRDefault="00A32052" w:rsidP="00346F4B">
            <w:pPr>
              <w:numPr>
                <w:ilvl w:val="0"/>
                <w:numId w:val="37"/>
              </w:numPr>
              <w:ind w:right="144"/>
              <w:rPr>
                <w:rFonts w:cs="Tahoma"/>
              </w:rPr>
            </w:pPr>
            <w:r w:rsidRPr="000A1C8E">
              <w:rPr>
                <w:rFonts w:cs="Tahoma"/>
                <w:color w:val="000000"/>
              </w:rPr>
              <w:t>Windows Intune*</w:t>
            </w:r>
          </w:p>
          <w:p w:rsidR="00A32052" w:rsidRPr="000A1C8E" w:rsidRDefault="00A32052" w:rsidP="0055442E">
            <w:pPr>
              <w:ind w:left="720" w:right="144"/>
              <w:rPr>
                <w:rFonts w:cs="Tahoma"/>
                <w:color w:val="000000"/>
              </w:rPr>
            </w:pPr>
          </w:p>
        </w:tc>
      </w:tr>
      <w:tr w:rsidR="00A32052" w:rsidRPr="000A1C8E"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0A1C8E" w:rsidRDefault="00A32052" w:rsidP="005C647E">
            <w:pPr>
              <w:spacing w:before="60" w:after="60"/>
              <w:ind w:left="144"/>
              <w:rPr>
                <w:rFonts w:cs="Tahoma"/>
              </w:rPr>
            </w:pPr>
            <w:r w:rsidRPr="000A1C8E">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0A1C8E" w:rsidRDefault="00A32052" w:rsidP="00346F4B">
            <w:pPr>
              <w:numPr>
                <w:ilvl w:val="0"/>
                <w:numId w:val="37"/>
              </w:numPr>
              <w:spacing w:before="60" w:after="60"/>
              <w:rPr>
                <w:rFonts w:cs="Tahoma"/>
              </w:rPr>
            </w:pPr>
            <w:r w:rsidRPr="000A1C8E">
              <w:rPr>
                <w:rFonts w:cs="Tahoma"/>
                <w:color w:val="000000"/>
                <w:szCs w:val="18"/>
              </w:rPr>
              <w:t>Office 365 (Enterprise E3)*</w:t>
            </w:r>
          </w:p>
          <w:p w:rsidR="00A32052" w:rsidRPr="000A1C8E" w:rsidRDefault="00A32052" w:rsidP="00346F4B">
            <w:pPr>
              <w:numPr>
                <w:ilvl w:val="0"/>
                <w:numId w:val="37"/>
              </w:numPr>
              <w:spacing w:after="60"/>
              <w:rPr>
                <w:rFonts w:cs="Tahoma"/>
              </w:rPr>
            </w:pPr>
            <w:r w:rsidRPr="000A1C8E">
              <w:rPr>
                <w:rFonts w:cs="Tahoma"/>
                <w:color w:val="000000"/>
                <w:szCs w:val="18"/>
              </w:rPr>
              <w:t>Office 365 (Enterprise E4)*</w:t>
            </w:r>
          </w:p>
          <w:p w:rsidR="004D2744" w:rsidRPr="000A1C8E" w:rsidRDefault="004D2744" w:rsidP="00346F4B">
            <w:pPr>
              <w:numPr>
                <w:ilvl w:val="0"/>
                <w:numId w:val="37"/>
              </w:numPr>
              <w:spacing w:after="60"/>
              <w:rPr>
                <w:rFonts w:cs="Tahoma"/>
              </w:rPr>
            </w:pPr>
            <w:r w:rsidRPr="000A1C8E">
              <w:rPr>
                <w:rFonts w:cs="Tahoma"/>
                <w:color w:val="000000"/>
                <w:szCs w:val="18"/>
              </w:rPr>
              <w:t>Office 365 (Enterprise G3)*</w:t>
            </w:r>
          </w:p>
          <w:p w:rsidR="004D2744" w:rsidRPr="000A1C8E" w:rsidRDefault="004D2744" w:rsidP="00346F4B">
            <w:pPr>
              <w:numPr>
                <w:ilvl w:val="0"/>
                <w:numId w:val="37"/>
              </w:numPr>
              <w:spacing w:after="60"/>
              <w:rPr>
                <w:rFonts w:cs="Tahoma"/>
              </w:rPr>
            </w:pPr>
            <w:r w:rsidRPr="000A1C8E">
              <w:rPr>
                <w:rFonts w:cs="Tahoma"/>
                <w:color w:val="000000"/>
                <w:szCs w:val="18"/>
              </w:rPr>
              <w:t>Office 365 (Enterprise G4)*</w:t>
            </w:r>
          </w:p>
          <w:p w:rsidR="00A32052" w:rsidRPr="000A1C8E" w:rsidRDefault="00A32052" w:rsidP="00346F4B">
            <w:pPr>
              <w:numPr>
                <w:ilvl w:val="0"/>
                <w:numId w:val="37"/>
              </w:numPr>
              <w:ind w:right="144"/>
              <w:rPr>
                <w:rFonts w:cs="Tahoma"/>
              </w:rPr>
            </w:pPr>
            <w:r w:rsidRPr="000A1C8E">
              <w:rPr>
                <w:rFonts w:cs="Tahoma"/>
                <w:color w:val="000000"/>
              </w:rPr>
              <w:t>Windows</w:t>
            </w:r>
            <w:r w:rsidR="00C83286" w:rsidRPr="000A1C8E">
              <w:rPr>
                <w:rFonts w:cs="Tahoma"/>
                <w:color w:val="000000"/>
                <w:vertAlign w:val="superscript"/>
              </w:rPr>
              <w:t>®</w:t>
            </w:r>
            <w:r w:rsidRPr="000A1C8E">
              <w:rPr>
                <w:rFonts w:cs="Tahoma"/>
                <w:color w:val="000000"/>
              </w:rPr>
              <w:t xml:space="preserve"> Intune*</w:t>
            </w:r>
          </w:p>
          <w:p w:rsidR="00A32052" w:rsidRPr="000A1C8E" w:rsidRDefault="00A32052" w:rsidP="00BD6C2C">
            <w:pPr>
              <w:ind w:right="144"/>
              <w:rPr>
                <w:rFonts w:cs="Tahoma"/>
                <w:color w:val="000000"/>
              </w:rPr>
            </w:pPr>
          </w:p>
        </w:tc>
      </w:tr>
      <w:tr w:rsidR="00A32052" w:rsidRPr="000A1C8E"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0A1C8E" w:rsidRDefault="00A32052" w:rsidP="005C647E">
            <w:pPr>
              <w:spacing w:before="60" w:after="60"/>
              <w:ind w:left="144"/>
              <w:rPr>
                <w:rFonts w:cs="Tahoma"/>
              </w:rPr>
            </w:pPr>
            <w:r w:rsidRPr="000A1C8E">
              <w:rPr>
                <w:rFonts w:cs="Tahoma"/>
              </w:rPr>
              <w:t>Office Professional Plus</w:t>
            </w:r>
          </w:p>
        </w:tc>
        <w:tc>
          <w:tcPr>
            <w:tcW w:w="4334" w:type="dxa"/>
            <w:tcBorders>
              <w:top w:val="single" w:sz="8" w:space="0" w:color="auto"/>
              <w:left w:val="nil"/>
              <w:bottom w:val="nil"/>
              <w:right w:val="single" w:sz="8" w:space="0" w:color="auto"/>
            </w:tcBorders>
            <w:vAlign w:val="center"/>
          </w:tcPr>
          <w:p w:rsidR="004D2744" w:rsidRPr="000A1C8E" w:rsidRDefault="00A32052" w:rsidP="00346F4B">
            <w:pPr>
              <w:numPr>
                <w:ilvl w:val="0"/>
                <w:numId w:val="37"/>
              </w:numPr>
              <w:spacing w:after="60"/>
              <w:rPr>
                <w:rFonts w:cs="Tahoma"/>
              </w:rPr>
            </w:pPr>
            <w:r w:rsidRPr="000A1C8E">
              <w:rPr>
                <w:rFonts w:cs="Tahoma"/>
                <w:color w:val="000000"/>
                <w:szCs w:val="18"/>
              </w:rPr>
              <w:t>Office 365 (Enterprise E2)*</w:t>
            </w:r>
          </w:p>
          <w:p w:rsidR="00A32052" w:rsidRPr="000A1C8E" w:rsidRDefault="00A32052" w:rsidP="00346F4B">
            <w:pPr>
              <w:numPr>
                <w:ilvl w:val="0"/>
                <w:numId w:val="37"/>
              </w:numPr>
              <w:spacing w:after="60"/>
              <w:rPr>
                <w:rFonts w:cs="Tahoma"/>
              </w:rPr>
            </w:pPr>
            <w:r w:rsidRPr="000A1C8E">
              <w:rPr>
                <w:rFonts w:cs="Tahoma"/>
                <w:color w:val="000000"/>
                <w:szCs w:val="18"/>
              </w:rPr>
              <w:t>Office 365 (Enterprise E3)*</w:t>
            </w:r>
          </w:p>
          <w:p w:rsidR="00A32052" w:rsidRPr="000A1C8E" w:rsidRDefault="00A32052" w:rsidP="00346F4B">
            <w:pPr>
              <w:numPr>
                <w:ilvl w:val="0"/>
                <w:numId w:val="37"/>
              </w:numPr>
              <w:spacing w:after="60"/>
              <w:rPr>
                <w:rFonts w:cs="Tahoma"/>
              </w:rPr>
            </w:pPr>
            <w:r w:rsidRPr="000A1C8E">
              <w:rPr>
                <w:rFonts w:cs="Tahoma"/>
                <w:color w:val="000000"/>
                <w:szCs w:val="18"/>
              </w:rPr>
              <w:t>Office 365 (Enterprise E4)*</w:t>
            </w:r>
          </w:p>
          <w:p w:rsidR="00A32052" w:rsidRPr="000A1C8E" w:rsidRDefault="00A32052" w:rsidP="00346F4B">
            <w:pPr>
              <w:numPr>
                <w:ilvl w:val="0"/>
                <w:numId w:val="37"/>
              </w:numPr>
              <w:spacing w:after="60"/>
              <w:rPr>
                <w:rFonts w:cs="Tahoma"/>
              </w:rPr>
            </w:pPr>
            <w:r w:rsidRPr="000A1C8E">
              <w:rPr>
                <w:rFonts w:cs="Tahoma"/>
                <w:color w:val="000000"/>
                <w:szCs w:val="18"/>
              </w:rPr>
              <w:t xml:space="preserve">Office 365 (Government G2) </w:t>
            </w:r>
          </w:p>
          <w:p w:rsidR="00A32052" w:rsidRPr="000A1C8E" w:rsidRDefault="00A32052" w:rsidP="00346F4B">
            <w:pPr>
              <w:numPr>
                <w:ilvl w:val="0"/>
                <w:numId w:val="37"/>
              </w:numPr>
              <w:spacing w:after="60"/>
              <w:rPr>
                <w:rFonts w:cs="Tahoma"/>
              </w:rPr>
            </w:pPr>
            <w:r w:rsidRPr="000A1C8E">
              <w:rPr>
                <w:rFonts w:cs="Tahoma"/>
                <w:color w:val="000000"/>
                <w:szCs w:val="18"/>
              </w:rPr>
              <w:t>Office 365 (Government G3)</w:t>
            </w:r>
          </w:p>
          <w:p w:rsidR="00A32052" w:rsidRPr="000A1C8E" w:rsidRDefault="00A32052" w:rsidP="00346F4B">
            <w:pPr>
              <w:numPr>
                <w:ilvl w:val="0"/>
                <w:numId w:val="37"/>
              </w:numPr>
              <w:spacing w:after="60"/>
              <w:rPr>
                <w:rFonts w:cs="Tahoma"/>
              </w:rPr>
            </w:pPr>
            <w:r w:rsidRPr="000A1C8E">
              <w:rPr>
                <w:rFonts w:cs="Tahoma"/>
                <w:color w:val="000000"/>
                <w:szCs w:val="18"/>
              </w:rPr>
              <w:t>Office 365 (Government G4)</w:t>
            </w:r>
          </w:p>
          <w:p w:rsidR="00A32052" w:rsidRPr="000A1C8E" w:rsidRDefault="004D2744" w:rsidP="00346F4B">
            <w:pPr>
              <w:numPr>
                <w:ilvl w:val="0"/>
                <w:numId w:val="37"/>
              </w:numPr>
              <w:spacing w:after="60"/>
              <w:rPr>
                <w:rFonts w:cs="Tahoma"/>
              </w:rPr>
            </w:pPr>
            <w:r w:rsidRPr="000A1C8E">
              <w:rPr>
                <w:rFonts w:cs="Tahoma"/>
                <w:color w:val="000000"/>
                <w:szCs w:val="18"/>
              </w:rPr>
              <w:t>Office 365 ProPlus</w:t>
            </w:r>
          </w:p>
          <w:p w:rsidR="002D25C8" w:rsidRPr="000A1C8E" w:rsidRDefault="002D25C8" w:rsidP="0055442E">
            <w:pPr>
              <w:ind w:left="720"/>
              <w:rPr>
                <w:rFonts w:cs="Tahoma"/>
                <w:color w:val="000000"/>
              </w:rPr>
            </w:pPr>
          </w:p>
        </w:tc>
      </w:tr>
      <w:tr w:rsidR="00A32052" w:rsidRPr="000A1C8E"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0A1C8E" w:rsidRDefault="00A32052" w:rsidP="005C647E">
            <w:pPr>
              <w:spacing w:before="60" w:after="60"/>
              <w:ind w:left="144"/>
              <w:rPr>
                <w:rFonts w:cs="Tahoma"/>
              </w:rPr>
            </w:pPr>
            <w:r w:rsidRPr="000A1C8E">
              <w:rPr>
                <w:rFonts w:cs="Tahoma"/>
              </w:rPr>
              <w:t>Office Professional Plus e Pacote de CALs Principais</w:t>
            </w:r>
          </w:p>
        </w:tc>
        <w:tc>
          <w:tcPr>
            <w:tcW w:w="4334" w:type="dxa"/>
            <w:tcBorders>
              <w:top w:val="single" w:sz="8" w:space="0" w:color="auto"/>
              <w:left w:val="nil"/>
              <w:bottom w:val="nil"/>
              <w:right w:val="single" w:sz="8" w:space="0" w:color="auto"/>
            </w:tcBorders>
            <w:vAlign w:val="center"/>
          </w:tcPr>
          <w:p w:rsidR="008368B4" w:rsidRPr="000A1C8E" w:rsidRDefault="008368B4" w:rsidP="00346F4B">
            <w:pPr>
              <w:numPr>
                <w:ilvl w:val="0"/>
                <w:numId w:val="37"/>
              </w:numPr>
              <w:spacing w:before="60" w:after="60"/>
              <w:rPr>
                <w:rFonts w:cs="Tahoma"/>
              </w:rPr>
            </w:pPr>
            <w:r w:rsidRPr="000A1C8E">
              <w:rPr>
                <w:rFonts w:cs="Tahoma"/>
                <w:color w:val="000000"/>
                <w:szCs w:val="18"/>
              </w:rPr>
              <w:t>Office 365 (Enterprise E2)*</w:t>
            </w:r>
          </w:p>
          <w:p w:rsidR="008368B4" w:rsidRPr="000A1C8E" w:rsidRDefault="008368B4" w:rsidP="00346F4B">
            <w:pPr>
              <w:numPr>
                <w:ilvl w:val="0"/>
                <w:numId w:val="37"/>
              </w:numPr>
              <w:spacing w:after="60"/>
              <w:rPr>
                <w:rFonts w:cs="Tahoma"/>
              </w:rPr>
            </w:pPr>
            <w:r w:rsidRPr="000A1C8E">
              <w:rPr>
                <w:rFonts w:cs="Tahoma"/>
                <w:color w:val="000000"/>
                <w:szCs w:val="18"/>
              </w:rPr>
              <w:t>Office 365 (Enterprise E3)*</w:t>
            </w:r>
          </w:p>
          <w:p w:rsidR="008368B4" w:rsidRPr="000A1C8E" w:rsidRDefault="008368B4" w:rsidP="00346F4B">
            <w:pPr>
              <w:numPr>
                <w:ilvl w:val="0"/>
                <w:numId w:val="37"/>
              </w:numPr>
              <w:spacing w:after="60"/>
              <w:rPr>
                <w:rFonts w:cs="Tahoma"/>
              </w:rPr>
            </w:pPr>
            <w:r w:rsidRPr="000A1C8E">
              <w:rPr>
                <w:rFonts w:cs="Tahoma"/>
                <w:color w:val="000000"/>
                <w:szCs w:val="18"/>
              </w:rPr>
              <w:t>Office 365 (Enterprise E4)*</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G2)*</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G3)*</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G4)*</w:t>
            </w:r>
          </w:p>
          <w:p w:rsidR="002D25C8" w:rsidRPr="000A1C8E" w:rsidRDefault="002D25C8" w:rsidP="0055442E">
            <w:pPr>
              <w:ind w:left="720"/>
              <w:rPr>
                <w:rFonts w:cs="Tahoma"/>
                <w:color w:val="000000"/>
              </w:rPr>
            </w:pPr>
          </w:p>
        </w:tc>
      </w:tr>
      <w:tr w:rsidR="00A32052" w:rsidRPr="000A1C8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A1C8E" w:rsidRDefault="00A32052" w:rsidP="005C647E">
            <w:pPr>
              <w:spacing w:before="60" w:after="60"/>
              <w:ind w:left="144"/>
              <w:rPr>
                <w:rFonts w:cs="Tahoma"/>
              </w:rPr>
            </w:pPr>
            <w:r w:rsidRPr="000A1C8E">
              <w:rPr>
                <w:rFonts w:cs="Tahoma"/>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rsidR="008368B4" w:rsidRPr="000A1C8E" w:rsidRDefault="008368B4" w:rsidP="00346F4B">
            <w:pPr>
              <w:numPr>
                <w:ilvl w:val="0"/>
                <w:numId w:val="37"/>
              </w:numPr>
              <w:spacing w:before="60" w:after="60"/>
              <w:rPr>
                <w:rFonts w:cs="Tahoma"/>
              </w:rPr>
            </w:pPr>
            <w:r w:rsidRPr="000A1C8E">
              <w:rPr>
                <w:rFonts w:cs="Tahoma"/>
                <w:color w:val="000000"/>
                <w:szCs w:val="18"/>
              </w:rPr>
              <w:t>Office 365 (Enterprise E3)*</w:t>
            </w:r>
          </w:p>
          <w:p w:rsidR="008368B4" w:rsidRPr="000A1C8E" w:rsidRDefault="008368B4" w:rsidP="00346F4B">
            <w:pPr>
              <w:numPr>
                <w:ilvl w:val="0"/>
                <w:numId w:val="37"/>
              </w:numPr>
              <w:spacing w:after="60"/>
              <w:rPr>
                <w:rFonts w:cs="Tahoma"/>
              </w:rPr>
            </w:pPr>
            <w:r w:rsidRPr="000A1C8E">
              <w:rPr>
                <w:rFonts w:cs="Tahoma"/>
                <w:color w:val="000000"/>
                <w:szCs w:val="18"/>
              </w:rPr>
              <w:t>Office 365 (Enterprise E4)*</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G3)*</w:t>
            </w:r>
          </w:p>
          <w:p w:rsidR="008368B4" w:rsidRPr="000A1C8E" w:rsidRDefault="008368B4" w:rsidP="00346F4B">
            <w:pPr>
              <w:numPr>
                <w:ilvl w:val="0"/>
                <w:numId w:val="37"/>
              </w:numPr>
              <w:spacing w:after="60"/>
              <w:rPr>
                <w:rFonts w:cs="Tahoma"/>
              </w:rPr>
            </w:pPr>
            <w:r w:rsidRPr="000A1C8E">
              <w:rPr>
                <w:rFonts w:cs="Tahoma"/>
                <w:color w:val="000000"/>
                <w:szCs w:val="18"/>
              </w:rPr>
              <w:t>Office 365 (Government G4)*</w:t>
            </w:r>
          </w:p>
          <w:p w:rsidR="002D25C8" w:rsidRPr="000A1C8E" w:rsidRDefault="002D25C8" w:rsidP="0055442E">
            <w:pPr>
              <w:ind w:left="720"/>
              <w:rPr>
                <w:rFonts w:cs="Tahoma"/>
                <w:color w:val="000000"/>
              </w:rPr>
            </w:pPr>
          </w:p>
        </w:tc>
      </w:tr>
      <w:tr w:rsidR="00454646" w:rsidRPr="000A1C8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A1C8E" w:rsidRDefault="00454646" w:rsidP="00B1054F">
            <w:pPr>
              <w:spacing w:before="60" w:after="60"/>
              <w:ind w:left="144"/>
              <w:rPr>
                <w:rFonts w:cs="Tahoma"/>
              </w:rPr>
            </w:pPr>
            <w:r w:rsidRPr="000A1C8E">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0A1C8E" w:rsidRDefault="00454646" w:rsidP="00346F4B">
            <w:pPr>
              <w:numPr>
                <w:ilvl w:val="0"/>
                <w:numId w:val="37"/>
              </w:numPr>
              <w:spacing w:before="60" w:after="60"/>
              <w:rPr>
                <w:rFonts w:cs="Tahoma"/>
                <w:color w:val="000000" w:themeColor="text1"/>
              </w:rPr>
            </w:pPr>
            <w:r w:rsidRPr="000A1C8E">
              <w:rPr>
                <w:rFonts w:cs="Tahoma"/>
                <w:color w:val="000000" w:themeColor="text1"/>
              </w:rPr>
              <w:t>Project Pro para Office 365</w:t>
            </w:r>
          </w:p>
        </w:tc>
      </w:tr>
      <w:tr w:rsidR="00454646" w:rsidRPr="000A1C8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A1C8E" w:rsidRDefault="00454646" w:rsidP="00B1054F">
            <w:pPr>
              <w:spacing w:before="60" w:after="60"/>
              <w:ind w:left="144"/>
              <w:rPr>
                <w:rFonts w:cs="Tahoma"/>
              </w:rPr>
            </w:pPr>
            <w:r w:rsidRPr="000A1C8E">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rsidR="00454646" w:rsidRPr="000A1C8E" w:rsidRDefault="00454646" w:rsidP="00346F4B">
            <w:pPr>
              <w:numPr>
                <w:ilvl w:val="0"/>
                <w:numId w:val="37"/>
              </w:numPr>
              <w:spacing w:before="60" w:after="60"/>
              <w:rPr>
                <w:rFonts w:cs="Tahoma"/>
                <w:color w:val="000000" w:themeColor="text1"/>
              </w:rPr>
            </w:pPr>
            <w:r w:rsidRPr="000A1C8E">
              <w:rPr>
                <w:rFonts w:cs="Tahoma"/>
                <w:color w:val="000000" w:themeColor="text1"/>
              </w:rPr>
              <w:t>Project Online</w:t>
            </w:r>
          </w:p>
        </w:tc>
      </w:tr>
      <w:tr w:rsidR="00454646" w:rsidRPr="000A1C8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A1C8E" w:rsidRDefault="00454646" w:rsidP="00B1054F">
            <w:pPr>
              <w:spacing w:before="60" w:after="60"/>
              <w:ind w:left="144"/>
              <w:rPr>
                <w:rFonts w:cs="Tahoma"/>
              </w:rPr>
            </w:pPr>
            <w:r w:rsidRPr="000A1C8E">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0A1C8E" w:rsidRDefault="00454646" w:rsidP="00346F4B">
            <w:pPr>
              <w:numPr>
                <w:ilvl w:val="0"/>
                <w:numId w:val="37"/>
              </w:numPr>
              <w:spacing w:before="60" w:after="60"/>
              <w:rPr>
                <w:rFonts w:cs="Tahoma"/>
                <w:color w:val="000000" w:themeColor="text1"/>
              </w:rPr>
            </w:pPr>
            <w:r w:rsidRPr="000A1C8E">
              <w:rPr>
                <w:rFonts w:cs="Tahoma"/>
                <w:color w:val="000000" w:themeColor="text1"/>
              </w:rPr>
              <w:t>Visio Pro para Office 365</w:t>
            </w:r>
          </w:p>
        </w:tc>
      </w:tr>
      <w:tr w:rsidR="00B1054F" w:rsidRPr="000A1C8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A1C8E" w:rsidRDefault="00B1054F" w:rsidP="0073369F">
            <w:pPr>
              <w:pageBreakBefore/>
              <w:spacing w:before="60" w:after="60"/>
              <w:ind w:left="144"/>
              <w:rPr>
                <w:rFonts w:cs="Tahoma"/>
              </w:rPr>
            </w:pPr>
            <w:r w:rsidRPr="000A1C8E">
              <w:rPr>
                <w:rFonts w:cs="Tahoma"/>
              </w:rPr>
              <w:lastRenderedPageBreak/>
              <w:t xml:space="preserve">Atualização do Windows Pro </w:t>
            </w:r>
          </w:p>
        </w:tc>
        <w:tc>
          <w:tcPr>
            <w:tcW w:w="4334" w:type="dxa"/>
            <w:tcBorders>
              <w:top w:val="single" w:sz="8" w:space="0" w:color="auto"/>
              <w:left w:val="nil"/>
              <w:bottom w:val="single" w:sz="8" w:space="0" w:color="auto"/>
              <w:right w:val="single" w:sz="8" w:space="0" w:color="auto"/>
            </w:tcBorders>
            <w:vAlign w:val="center"/>
          </w:tcPr>
          <w:p w:rsidR="00B1054F" w:rsidRPr="000A1C8E" w:rsidRDefault="00B1054F" w:rsidP="0073369F">
            <w:pPr>
              <w:pageBreakBefore/>
              <w:numPr>
                <w:ilvl w:val="0"/>
                <w:numId w:val="37"/>
              </w:numPr>
              <w:spacing w:before="60" w:after="60"/>
              <w:rPr>
                <w:rFonts w:cs="Tahoma"/>
                <w:color w:val="000000"/>
                <w:szCs w:val="18"/>
              </w:rPr>
            </w:pPr>
            <w:r w:rsidRPr="000A1C8E">
              <w:rPr>
                <w:rFonts w:cs="Tahoma"/>
                <w:color w:val="000000" w:themeColor="text1"/>
              </w:rPr>
              <w:t>Windows Virtual Desktop Access</w:t>
            </w:r>
          </w:p>
        </w:tc>
      </w:tr>
      <w:tr w:rsidR="00B1054F" w:rsidRPr="000A1C8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A1C8E" w:rsidRDefault="00B1054F" w:rsidP="00B1054F">
            <w:pPr>
              <w:spacing w:before="60" w:after="60"/>
              <w:ind w:left="144"/>
              <w:rPr>
                <w:rFonts w:cs="Tahoma"/>
              </w:rPr>
            </w:pPr>
            <w:r w:rsidRPr="000A1C8E">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0A1C8E" w:rsidRDefault="00B1054F" w:rsidP="00346F4B">
            <w:pPr>
              <w:numPr>
                <w:ilvl w:val="0"/>
                <w:numId w:val="37"/>
              </w:numPr>
              <w:spacing w:before="60" w:after="60"/>
              <w:rPr>
                <w:rFonts w:cs="Tahoma"/>
                <w:color w:val="000000"/>
                <w:szCs w:val="18"/>
              </w:rPr>
            </w:pPr>
            <w:r w:rsidRPr="000A1C8E">
              <w:rPr>
                <w:rFonts w:cs="Tahoma"/>
                <w:color w:val="000000" w:themeColor="text1"/>
              </w:rPr>
              <w:t>Licença de Assinatura do Windows Companion</w:t>
            </w:r>
          </w:p>
        </w:tc>
      </w:tr>
      <w:tr w:rsidR="00B1054F" w:rsidRPr="000A1C8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A1C8E" w:rsidRDefault="00B1054F" w:rsidP="00B1054F">
            <w:pPr>
              <w:spacing w:before="60" w:after="60"/>
              <w:ind w:left="144"/>
              <w:rPr>
                <w:rFonts w:cs="Tahoma"/>
              </w:rPr>
            </w:pPr>
            <w:r w:rsidRPr="000A1C8E">
              <w:rPr>
                <w:rFonts w:cs="Tahoma"/>
              </w:rPr>
              <w:t>Atualização do Windows Pro</w:t>
            </w:r>
          </w:p>
        </w:tc>
        <w:tc>
          <w:tcPr>
            <w:tcW w:w="4334" w:type="dxa"/>
            <w:tcBorders>
              <w:top w:val="single" w:sz="8" w:space="0" w:color="auto"/>
              <w:left w:val="nil"/>
              <w:bottom w:val="single" w:sz="8" w:space="0" w:color="auto"/>
              <w:right w:val="single" w:sz="8" w:space="0" w:color="auto"/>
            </w:tcBorders>
            <w:vAlign w:val="center"/>
          </w:tcPr>
          <w:p w:rsidR="00B1054F" w:rsidRPr="000A1C8E" w:rsidRDefault="00B1054F" w:rsidP="00346F4B">
            <w:pPr>
              <w:numPr>
                <w:ilvl w:val="0"/>
                <w:numId w:val="37"/>
              </w:numPr>
              <w:spacing w:before="60" w:after="60"/>
              <w:rPr>
                <w:rFonts w:cs="Tahoma"/>
                <w:color w:val="000000"/>
                <w:szCs w:val="18"/>
              </w:rPr>
            </w:pPr>
            <w:r w:rsidRPr="000A1C8E">
              <w:rPr>
                <w:rFonts w:cs="Tahoma"/>
                <w:color w:val="000000" w:themeColor="text1"/>
              </w:rPr>
              <w:t>Licença de Assinatura do Windows Companion</w:t>
            </w:r>
          </w:p>
        </w:tc>
      </w:tr>
    </w:tbl>
    <w:p w:rsidR="00456002" w:rsidRPr="000A1C8E" w:rsidRDefault="00456002" w:rsidP="0073369F">
      <w:pPr>
        <w:tabs>
          <w:tab w:val="left" w:pos="360"/>
        </w:tabs>
        <w:ind w:left="720"/>
        <w:rPr>
          <w:rFonts w:cs="Tahoma"/>
        </w:rPr>
      </w:pPr>
      <w:r w:rsidRPr="000A1C8E">
        <w:rPr>
          <w:rFonts w:cs="Tahoma"/>
          <w:i/>
          <w:sz w:val="16"/>
          <w:szCs w:val="20"/>
        </w:rPr>
        <w:t>* Requer Bridge do Pacote de CALs adequado. Para obter mais informações sobre o Bridge do Pacote de CALs, consulte a</w:t>
      </w:r>
      <w:r w:rsidR="0073369F" w:rsidRPr="000A1C8E">
        <w:rPr>
          <w:rFonts w:cs="Tahoma"/>
          <w:i/>
          <w:sz w:val="16"/>
          <w:szCs w:val="20"/>
        </w:rPr>
        <w:t> </w:t>
      </w:r>
      <w:r w:rsidRPr="000A1C8E">
        <w:rPr>
          <w:rFonts w:cs="Tahoma"/>
          <w:i/>
          <w:sz w:val="16"/>
          <w:szCs w:val="20"/>
        </w:rPr>
        <w:t>seção de notas do produto neste documento.</w:t>
      </w:r>
    </w:p>
    <w:p w:rsidR="00456002" w:rsidRPr="000A1C8E" w:rsidRDefault="00456002" w:rsidP="00456002">
      <w:pPr>
        <w:tabs>
          <w:tab w:val="left" w:pos="360"/>
        </w:tabs>
        <w:ind w:left="720"/>
        <w:rPr>
          <w:rFonts w:cs="Tahoma"/>
        </w:rPr>
      </w:pPr>
    </w:p>
    <w:p w:rsidR="00456002" w:rsidRPr="000A1C8E" w:rsidRDefault="00456002" w:rsidP="00366502">
      <w:pPr>
        <w:rPr>
          <w:rFonts w:cs="Tahoma"/>
        </w:rPr>
      </w:pPr>
      <w:r w:rsidRPr="000A1C8E">
        <w:rPr>
          <w:rFonts w:cs="Tahoma"/>
          <w:szCs w:val="20"/>
        </w:rPr>
        <w:t>Outras Transições podem ser adicionadas a critério da Microsoft.</w:t>
      </w:r>
      <w:r w:rsidR="00DC6D8B" w:rsidRPr="000A1C8E">
        <w:rPr>
          <w:rFonts w:cs="Tahoma"/>
          <w:szCs w:val="20"/>
        </w:rPr>
        <w:t xml:space="preserve"> </w:t>
      </w:r>
      <w:r w:rsidRPr="000A1C8E">
        <w:rPr>
          <w:rFonts w:cs="Tahoma"/>
          <w:szCs w:val="20"/>
        </w:rPr>
        <w:t>Valores adicionais e requisitos de licença podem ser aplicáveis.</w:t>
      </w:r>
      <w:r w:rsidR="00DC6D8B" w:rsidRPr="000A1C8E">
        <w:rPr>
          <w:rFonts w:cs="Tahoma"/>
          <w:szCs w:val="20"/>
        </w:rPr>
        <w:t xml:space="preserve"> </w:t>
      </w:r>
    </w:p>
    <w:p w:rsidR="00456002" w:rsidRPr="000A1C8E" w:rsidRDefault="00456002" w:rsidP="00366502">
      <w:pPr>
        <w:outlineLvl w:val="2"/>
        <w:rPr>
          <w:rFonts w:cs="Tahoma"/>
        </w:rPr>
      </w:pPr>
    </w:p>
    <w:p w:rsidR="00456002" w:rsidRPr="000A1C8E" w:rsidRDefault="00456002" w:rsidP="0073369F">
      <w:pPr>
        <w:tabs>
          <w:tab w:val="num" w:pos="720"/>
        </w:tabs>
        <w:spacing w:after="60"/>
        <w:outlineLvl w:val="3"/>
        <w:rPr>
          <w:rFonts w:cs="Tahoma"/>
        </w:rPr>
      </w:pPr>
      <w:r w:rsidRPr="000A1C8E">
        <w:rPr>
          <w:rFonts w:cs="Tahoma"/>
          <w:b/>
          <w:szCs w:val="20"/>
        </w:rPr>
        <w:t>Pedidos de adequação (“true-up”) ou anuais dos Serviços Online</w:t>
      </w:r>
      <w:r w:rsidRPr="000A1C8E">
        <w:rPr>
          <w:rFonts w:eastAsia="Times New Roman" w:cs="Tahoma"/>
          <w:b/>
          <w:sz w:val="22"/>
          <w:szCs w:val="20"/>
        </w:rPr>
        <w:t xml:space="preserve"> </w:t>
      </w:r>
    </w:p>
    <w:p w:rsidR="00456002" w:rsidRPr="000A1C8E" w:rsidRDefault="00456002" w:rsidP="00366502">
      <w:pPr>
        <w:rPr>
          <w:rFonts w:cs="Tahoma"/>
        </w:rPr>
      </w:pPr>
      <w:r w:rsidRPr="000A1C8E">
        <w:rPr>
          <w:rFonts w:cs="Tahoma"/>
          <w:b/>
          <w:szCs w:val="20"/>
        </w:rPr>
        <w:t>Observação:</w:t>
      </w:r>
      <w:r w:rsidRPr="000A1C8E">
        <w:rPr>
          <w:rFonts w:cs="Tahoma"/>
          <w:szCs w:val="20"/>
        </w:rPr>
        <w:t xml:space="preserve"> O seguinte se aplica aos clientes do Registro Enterprise e Enterprise Subscription qualificados para fazerem pedidos de adequação (“true-up”) ou anuais dos serviços online.</w:t>
      </w:r>
      <w:r w:rsidR="00DC6D8B" w:rsidRPr="000A1C8E">
        <w:rPr>
          <w:rFonts w:cs="Tahoma"/>
          <w:szCs w:val="20"/>
        </w:rPr>
        <w:t xml:space="preserve"> </w:t>
      </w:r>
      <w:r w:rsidRPr="000A1C8E">
        <w:rPr>
          <w:rFonts w:cs="Tahoma"/>
          <w:szCs w:val="20"/>
        </w:rPr>
        <w:t>Os clientes que tiverem dúvidas sobre sua qualificação para fazer pedidos de adequação (“true-up”) ou anuais dos serviços online devem entrar em contato com o Consultor de Software, Revendedor ou Gerente de Conta Microsoft para obter mais informações.</w:t>
      </w:r>
    </w:p>
    <w:p w:rsidR="00456002" w:rsidRPr="000A1C8E" w:rsidRDefault="00456002" w:rsidP="00366502">
      <w:pPr>
        <w:rPr>
          <w:rFonts w:cs="Tahoma"/>
        </w:rPr>
      </w:pPr>
    </w:p>
    <w:p w:rsidR="00456002" w:rsidRPr="000A1C8E" w:rsidRDefault="00456002" w:rsidP="00366502">
      <w:pPr>
        <w:rPr>
          <w:rFonts w:cs="Tahoma"/>
        </w:rPr>
      </w:pPr>
      <w:r w:rsidRPr="000A1C8E">
        <w:rPr>
          <w:rFonts w:cs="Tahoma"/>
          <w:szCs w:val="20"/>
        </w:rPr>
        <w:t xml:space="preserve">Os seguintes Serviços Online estão qualificados para pedido de adequação (“true-up”) ou anual de Serviços Online: </w:t>
      </w:r>
    </w:p>
    <w:p w:rsidR="00456002" w:rsidRPr="000A1C8E"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0A1C8E" w:rsidTr="005C647E">
        <w:trPr>
          <w:trHeight w:val="80"/>
          <w:tblHeader/>
        </w:trPr>
        <w:tc>
          <w:tcPr>
            <w:tcW w:w="5000" w:type="pct"/>
            <w:gridSpan w:val="2"/>
            <w:shd w:val="clear" w:color="auto" w:fill="FABF8F"/>
          </w:tcPr>
          <w:p w:rsidR="00456002" w:rsidRPr="000A1C8E" w:rsidRDefault="00456002" w:rsidP="005C647E">
            <w:pPr>
              <w:jc w:val="center"/>
              <w:rPr>
                <w:rFonts w:cs="Tahoma"/>
                <w:b/>
              </w:rPr>
            </w:pPr>
            <w:r w:rsidRPr="000A1C8E">
              <w:rPr>
                <w:rFonts w:cs="Tahoma"/>
                <w:b/>
              </w:rPr>
              <w:t>Serviços Online</w:t>
            </w:r>
          </w:p>
        </w:tc>
      </w:tr>
      <w:tr w:rsidR="00456002" w:rsidRPr="000A1C8E" w:rsidTr="005C647E">
        <w:trPr>
          <w:trHeight w:val="219"/>
        </w:trPr>
        <w:tc>
          <w:tcPr>
            <w:tcW w:w="2603" w:type="pct"/>
          </w:tcPr>
          <w:p w:rsidR="00D85FDD" w:rsidRPr="000A1C8E" w:rsidRDefault="00D85FDD" w:rsidP="00B3706E">
            <w:pPr>
              <w:numPr>
                <w:ilvl w:val="0"/>
                <w:numId w:val="38"/>
              </w:numPr>
              <w:spacing w:before="80"/>
              <w:ind w:left="1265" w:hanging="985"/>
              <w:jc w:val="both"/>
              <w:rPr>
                <w:rFonts w:cs="Tahoma"/>
              </w:rPr>
            </w:pPr>
            <w:r w:rsidRPr="000A1C8E">
              <w:rPr>
                <w:rFonts w:cs="Tahoma"/>
              </w:rPr>
              <w:t>Arquivamento</w:t>
            </w:r>
            <w:r w:rsidR="00B3706E">
              <w:rPr>
                <w:rFonts w:cs="Tahoma"/>
              </w:rPr>
              <w:t> </w:t>
            </w:r>
            <w:r w:rsidRPr="000A1C8E">
              <w:rPr>
                <w:rFonts w:cs="Tahoma"/>
              </w:rPr>
              <w:t>do</w:t>
            </w:r>
            <w:r w:rsidR="00B3706E">
              <w:rPr>
                <w:rFonts w:cs="Tahoma"/>
              </w:rPr>
              <w:t> </w:t>
            </w:r>
            <w:r w:rsidRPr="000A1C8E">
              <w:rPr>
                <w:rFonts w:cs="Tahoma"/>
              </w:rPr>
              <w:t>Exchange</w:t>
            </w:r>
            <w:r w:rsidR="00B3706E">
              <w:rPr>
                <w:rFonts w:cs="Tahoma"/>
              </w:rPr>
              <w:t> </w:t>
            </w:r>
            <w:r w:rsidRPr="000A1C8E">
              <w:rPr>
                <w:rFonts w:cs="Tahoma"/>
              </w:rPr>
              <w:t>Online para Exchange Online</w:t>
            </w:r>
          </w:p>
          <w:p w:rsidR="00D85FDD" w:rsidRPr="000A1C8E" w:rsidRDefault="00D85FDD" w:rsidP="00B3706E">
            <w:pPr>
              <w:numPr>
                <w:ilvl w:val="0"/>
                <w:numId w:val="38"/>
              </w:numPr>
              <w:spacing w:before="80"/>
              <w:ind w:left="1265" w:hanging="985"/>
              <w:jc w:val="both"/>
              <w:rPr>
                <w:rFonts w:cs="Tahoma"/>
              </w:rPr>
            </w:pPr>
            <w:r w:rsidRPr="000A1C8E">
              <w:rPr>
                <w:rFonts w:cs="Tahoma"/>
              </w:rPr>
              <w:t>Arquivamento</w:t>
            </w:r>
            <w:r w:rsidR="00B3706E">
              <w:rPr>
                <w:rFonts w:cs="Tahoma"/>
              </w:rPr>
              <w:t> </w:t>
            </w:r>
            <w:r w:rsidRPr="000A1C8E">
              <w:rPr>
                <w:rFonts w:cs="Tahoma"/>
              </w:rPr>
              <w:t>do</w:t>
            </w:r>
            <w:r w:rsidR="00B3706E">
              <w:rPr>
                <w:rFonts w:cs="Tahoma"/>
              </w:rPr>
              <w:t> </w:t>
            </w:r>
            <w:r w:rsidRPr="000A1C8E">
              <w:rPr>
                <w:rFonts w:cs="Tahoma"/>
              </w:rPr>
              <w:t>Exchange</w:t>
            </w:r>
            <w:r w:rsidR="00B3706E">
              <w:rPr>
                <w:rFonts w:cs="Tahoma"/>
              </w:rPr>
              <w:t> </w:t>
            </w:r>
            <w:r w:rsidRPr="000A1C8E">
              <w:rPr>
                <w:rFonts w:cs="Tahoma"/>
              </w:rPr>
              <w:t>Online para Exchange Server</w:t>
            </w:r>
          </w:p>
          <w:p w:rsidR="00456002" w:rsidRPr="000A1C8E" w:rsidRDefault="00456002" w:rsidP="00346F4B">
            <w:pPr>
              <w:numPr>
                <w:ilvl w:val="0"/>
                <w:numId w:val="38"/>
              </w:numPr>
              <w:spacing w:before="80"/>
              <w:ind w:left="1265" w:hanging="985"/>
              <w:jc w:val="both"/>
              <w:rPr>
                <w:rFonts w:cs="Tahoma"/>
              </w:rPr>
            </w:pPr>
            <w:r w:rsidRPr="000A1C8E">
              <w:rPr>
                <w:rFonts w:cs="Tahoma"/>
              </w:rPr>
              <w:t>Quiosque do Exchange Online*</w:t>
            </w:r>
          </w:p>
          <w:p w:rsidR="00456002" w:rsidRPr="000A1C8E" w:rsidRDefault="00456002" w:rsidP="00346F4B">
            <w:pPr>
              <w:numPr>
                <w:ilvl w:val="0"/>
                <w:numId w:val="38"/>
              </w:numPr>
              <w:spacing w:before="80"/>
              <w:ind w:left="1265" w:hanging="985"/>
              <w:jc w:val="both"/>
              <w:rPr>
                <w:rFonts w:cs="Tahoma"/>
              </w:rPr>
            </w:pPr>
            <w:r w:rsidRPr="000A1C8E">
              <w:rPr>
                <w:rFonts w:cs="Tahoma"/>
              </w:rPr>
              <w:t>Exchange Online Plano 1*</w:t>
            </w:r>
          </w:p>
          <w:p w:rsidR="00456002" w:rsidRPr="000A1C8E" w:rsidRDefault="00456002" w:rsidP="00346F4B">
            <w:pPr>
              <w:numPr>
                <w:ilvl w:val="0"/>
                <w:numId w:val="38"/>
              </w:numPr>
              <w:spacing w:before="80"/>
              <w:ind w:left="1265" w:hanging="985"/>
              <w:jc w:val="both"/>
              <w:rPr>
                <w:rFonts w:cs="Tahoma"/>
              </w:rPr>
            </w:pPr>
            <w:r w:rsidRPr="000A1C8E">
              <w:rPr>
                <w:rFonts w:cs="Tahoma"/>
              </w:rPr>
              <w:t>Exchange Online Plano 2*</w:t>
            </w:r>
          </w:p>
          <w:p w:rsidR="00D85FDD" w:rsidRPr="000A1C8E" w:rsidRDefault="00D85FDD" w:rsidP="00346F4B">
            <w:pPr>
              <w:numPr>
                <w:ilvl w:val="0"/>
                <w:numId w:val="38"/>
              </w:numPr>
              <w:spacing w:before="80"/>
              <w:ind w:left="1265" w:hanging="985"/>
              <w:jc w:val="both"/>
              <w:rPr>
                <w:rFonts w:cs="Tahoma"/>
              </w:rPr>
            </w:pPr>
            <w:r w:rsidRPr="000A1C8E">
              <w:rPr>
                <w:rFonts w:cs="Tahoma"/>
              </w:rPr>
              <w:t>Exchange Online Protection</w:t>
            </w:r>
          </w:p>
          <w:p w:rsidR="00456002" w:rsidRPr="000A1C8E" w:rsidRDefault="00456002" w:rsidP="00346F4B">
            <w:pPr>
              <w:numPr>
                <w:ilvl w:val="0"/>
                <w:numId w:val="38"/>
              </w:numPr>
              <w:spacing w:before="80"/>
              <w:ind w:left="1265" w:hanging="985"/>
              <w:jc w:val="both"/>
              <w:rPr>
                <w:rFonts w:cs="Tahoma"/>
              </w:rPr>
            </w:pPr>
            <w:r w:rsidRPr="000A1C8E">
              <w:rPr>
                <w:rFonts w:cs="Tahoma"/>
              </w:rPr>
              <w:t>Lync Online Plano 1*</w:t>
            </w:r>
          </w:p>
          <w:p w:rsidR="00456002" w:rsidRPr="000A1C8E" w:rsidRDefault="00456002" w:rsidP="00346F4B">
            <w:pPr>
              <w:numPr>
                <w:ilvl w:val="0"/>
                <w:numId w:val="38"/>
              </w:numPr>
              <w:spacing w:before="80"/>
              <w:ind w:left="1265" w:hanging="985"/>
              <w:jc w:val="both"/>
              <w:rPr>
                <w:rFonts w:cs="Tahoma"/>
              </w:rPr>
            </w:pPr>
            <w:r w:rsidRPr="000A1C8E">
              <w:rPr>
                <w:rFonts w:cs="Tahoma"/>
              </w:rPr>
              <w:t>Lync Online Plano 2*</w:t>
            </w:r>
          </w:p>
          <w:p w:rsidR="00E77288" w:rsidRPr="000A1C8E" w:rsidRDefault="00E77288" w:rsidP="00346F4B">
            <w:pPr>
              <w:numPr>
                <w:ilvl w:val="0"/>
                <w:numId w:val="38"/>
              </w:numPr>
              <w:spacing w:before="80"/>
              <w:ind w:left="1265" w:hanging="985"/>
              <w:jc w:val="both"/>
              <w:rPr>
                <w:rFonts w:cs="Tahoma"/>
              </w:rPr>
            </w:pPr>
            <w:r w:rsidRPr="000A1C8E">
              <w:rPr>
                <w:rFonts w:cs="Tahoma"/>
              </w:rPr>
              <w:t>Lync Online Plano 3*</w:t>
            </w:r>
          </w:p>
          <w:p w:rsidR="00456002" w:rsidRPr="000A1C8E" w:rsidRDefault="00456002" w:rsidP="00346F4B">
            <w:pPr>
              <w:numPr>
                <w:ilvl w:val="0"/>
                <w:numId w:val="38"/>
              </w:numPr>
              <w:spacing w:before="80"/>
              <w:ind w:left="1265" w:hanging="985"/>
              <w:jc w:val="both"/>
              <w:rPr>
                <w:rFonts w:cs="Tahoma"/>
              </w:rPr>
            </w:pPr>
            <w:r w:rsidRPr="000A1C8E">
              <w:rPr>
                <w:rFonts w:cs="Tahoma"/>
              </w:rPr>
              <w:t>Office 365 (Enterprise K1)*</w:t>
            </w:r>
          </w:p>
          <w:p w:rsidR="00456002" w:rsidRPr="000A1C8E" w:rsidRDefault="00456002" w:rsidP="00346F4B">
            <w:pPr>
              <w:numPr>
                <w:ilvl w:val="0"/>
                <w:numId w:val="38"/>
              </w:numPr>
              <w:spacing w:before="80"/>
              <w:ind w:left="1265" w:hanging="985"/>
              <w:jc w:val="both"/>
              <w:rPr>
                <w:rFonts w:cs="Tahoma"/>
              </w:rPr>
            </w:pPr>
            <w:r w:rsidRPr="000A1C8E">
              <w:rPr>
                <w:rFonts w:cs="Tahoma"/>
              </w:rPr>
              <w:t>Office 365 (Enterprise K2)*</w:t>
            </w:r>
          </w:p>
          <w:p w:rsidR="00456002" w:rsidRPr="000A1C8E" w:rsidRDefault="00456002" w:rsidP="00346F4B">
            <w:pPr>
              <w:numPr>
                <w:ilvl w:val="0"/>
                <w:numId w:val="38"/>
              </w:numPr>
              <w:spacing w:before="80"/>
              <w:ind w:left="1265" w:hanging="985"/>
              <w:jc w:val="both"/>
              <w:rPr>
                <w:rFonts w:cs="Tahoma"/>
              </w:rPr>
            </w:pPr>
            <w:r w:rsidRPr="000A1C8E">
              <w:rPr>
                <w:rFonts w:cs="Tahoma"/>
              </w:rPr>
              <w:t>Office 365 (Enterprise E1)</w:t>
            </w:r>
          </w:p>
          <w:p w:rsidR="00456002" w:rsidRPr="000A1C8E" w:rsidRDefault="00456002" w:rsidP="00346F4B">
            <w:pPr>
              <w:numPr>
                <w:ilvl w:val="0"/>
                <w:numId w:val="38"/>
              </w:numPr>
              <w:spacing w:before="80"/>
              <w:ind w:left="1265" w:hanging="985"/>
              <w:jc w:val="both"/>
              <w:rPr>
                <w:rFonts w:cs="Tahoma"/>
              </w:rPr>
            </w:pPr>
            <w:r w:rsidRPr="000A1C8E">
              <w:rPr>
                <w:rFonts w:cs="Tahoma"/>
              </w:rPr>
              <w:t>Office 365 (Enterprise E2)</w:t>
            </w:r>
          </w:p>
          <w:p w:rsidR="00456002" w:rsidRPr="000A1C8E" w:rsidRDefault="00456002" w:rsidP="00346F4B">
            <w:pPr>
              <w:numPr>
                <w:ilvl w:val="0"/>
                <w:numId w:val="38"/>
              </w:numPr>
              <w:spacing w:before="80"/>
              <w:ind w:left="1265" w:hanging="985"/>
              <w:jc w:val="both"/>
              <w:rPr>
                <w:rFonts w:cs="Tahoma"/>
              </w:rPr>
            </w:pPr>
            <w:r w:rsidRPr="000A1C8E">
              <w:rPr>
                <w:rFonts w:cs="Tahoma"/>
              </w:rPr>
              <w:t>Office 365 (Enterprise E3)</w:t>
            </w:r>
          </w:p>
          <w:p w:rsidR="00456002" w:rsidRPr="000A1C8E" w:rsidRDefault="00456002" w:rsidP="00346F4B">
            <w:pPr>
              <w:numPr>
                <w:ilvl w:val="0"/>
                <w:numId w:val="38"/>
              </w:numPr>
              <w:spacing w:before="80"/>
              <w:ind w:left="1265" w:hanging="985"/>
              <w:jc w:val="both"/>
              <w:rPr>
                <w:rFonts w:cs="Tahoma"/>
              </w:rPr>
            </w:pPr>
            <w:r w:rsidRPr="000A1C8E">
              <w:rPr>
                <w:rFonts w:cs="Tahoma"/>
              </w:rPr>
              <w:t>Office 365 (Enterprise E4)</w:t>
            </w:r>
          </w:p>
        </w:tc>
        <w:tc>
          <w:tcPr>
            <w:tcW w:w="2397" w:type="pct"/>
          </w:tcPr>
          <w:p w:rsidR="00A32052" w:rsidRPr="000A1C8E" w:rsidRDefault="00A32052" w:rsidP="00346F4B">
            <w:pPr>
              <w:numPr>
                <w:ilvl w:val="0"/>
                <w:numId w:val="38"/>
              </w:numPr>
              <w:spacing w:before="80"/>
              <w:ind w:left="692"/>
              <w:jc w:val="both"/>
              <w:rPr>
                <w:rFonts w:cs="Tahoma"/>
              </w:rPr>
            </w:pPr>
            <w:r w:rsidRPr="000A1C8E">
              <w:rPr>
                <w:rFonts w:cs="Tahoma"/>
                <w:color w:val="000000"/>
              </w:rPr>
              <w:t>Office 365 (Government G1)</w:t>
            </w:r>
          </w:p>
          <w:p w:rsidR="00A32052" w:rsidRPr="000A1C8E" w:rsidRDefault="00A32052" w:rsidP="00346F4B">
            <w:pPr>
              <w:numPr>
                <w:ilvl w:val="0"/>
                <w:numId w:val="38"/>
              </w:numPr>
              <w:spacing w:before="80"/>
              <w:ind w:left="692"/>
              <w:jc w:val="both"/>
              <w:rPr>
                <w:rFonts w:cs="Tahoma"/>
              </w:rPr>
            </w:pPr>
            <w:r w:rsidRPr="000A1C8E">
              <w:rPr>
                <w:rFonts w:cs="Tahoma"/>
                <w:color w:val="000000"/>
              </w:rPr>
              <w:t>Office 365 (Government G2)</w:t>
            </w:r>
          </w:p>
          <w:p w:rsidR="00A32052" w:rsidRPr="000A1C8E" w:rsidRDefault="00A32052" w:rsidP="00346F4B">
            <w:pPr>
              <w:numPr>
                <w:ilvl w:val="0"/>
                <w:numId w:val="38"/>
              </w:numPr>
              <w:spacing w:before="80"/>
              <w:ind w:left="692"/>
              <w:jc w:val="both"/>
              <w:rPr>
                <w:rFonts w:cs="Tahoma"/>
              </w:rPr>
            </w:pPr>
            <w:r w:rsidRPr="000A1C8E">
              <w:rPr>
                <w:rFonts w:cs="Tahoma"/>
                <w:color w:val="000000"/>
              </w:rPr>
              <w:t>Office 365 (Government G3)</w:t>
            </w:r>
          </w:p>
          <w:p w:rsidR="00A32052" w:rsidRPr="000A1C8E" w:rsidRDefault="00A32052" w:rsidP="00346F4B">
            <w:pPr>
              <w:numPr>
                <w:ilvl w:val="0"/>
                <w:numId w:val="38"/>
              </w:numPr>
              <w:spacing w:before="80"/>
              <w:ind w:left="692"/>
              <w:jc w:val="both"/>
              <w:rPr>
                <w:rFonts w:cs="Tahoma"/>
              </w:rPr>
            </w:pPr>
            <w:r w:rsidRPr="000A1C8E">
              <w:rPr>
                <w:rFonts w:cs="Tahoma"/>
                <w:color w:val="000000"/>
              </w:rPr>
              <w:t>Office 365 (Government G4)</w:t>
            </w:r>
          </w:p>
          <w:p w:rsidR="00456002" w:rsidRPr="000A1C8E" w:rsidRDefault="00456002" w:rsidP="00346F4B">
            <w:pPr>
              <w:numPr>
                <w:ilvl w:val="0"/>
                <w:numId w:val="38"/>
              </w:numPr>
              <w:spacing w:before="80"/>
              <w:ind w:left="692"/>
              <w:jc w:val="both"/>
              <w:rPr>
                <w:rFonts w:cs="Tahoma"/>
              </w:rPr>
            </w:pPr>
            <w:r w:rsidRPr="000A1C8E">
              <w:rPr>
                <w:rFonts w:cs="Tahoma"/>
                <w:color w:val="000000"/>
              </w:rPr>
              <w:t>Office Web Applications*</w:t>
            </w:r>
          </w:p>
          <w:p w:rsidR="00454646" w:rsidRPr="000A1C8E" w:rsidRDefault="00454646" w:rsidP="00346F4B">
            <w:pPr>
              <w:numPr>
                <w:ilvl w:val="0"/>
                <w:numId w:val="38"/>
              </w:numPr>
              <w:spacing w:before="80"/>
              <w:ind w:left="692"/>
              <w:jc w:val="both"/>
              <w:rPr>
                <w:rFonts w:cs="Tahoma"/>
              </w:rPr>
            </w:pPr>
            <w:r w:rsidRPr="000A1C8E">
              <w:rPr>
                <w:rFonts w:cs="Tahoma"/>
                <w:color w:val="000000"/>
              </w:rPr>
              <w:t>Project Pro para Office 365*</w:t>
            </w:r>
          </w:p>
          <w:p w:rsidR="00454646" w:rsidRPr="000A1C8E" w:rsidRDefault="00454646" w:rsidP="00346F4B">
            <w:pPr>
              <w:numPr>
                <w:ilvl w:val="0"/>
                <w:numId w:val="38"/>
              </w:numPr>
              <w:spacing w:before="80"/>
              <w:ind w:left="692"/>
              <w:jc w:val="both"/>
              <w:rPr>
                <w:rFonts w:cs="Tahoma"/>
              </w:rPr>
            </w:pPr>
            <w:r w:rsidRPr="000A1C8E">
              <w:rPr>
                <w:rFonts w:cs="Tahoma"/>
                <w:color w:val="000000"/>
              </w:rPr>
              <w:t>Project Online*</w:t>
            </w:r>
          </w:p>
          <w:p w:rsidR="00456002" w:rsidRPr="000A1C8E" w:rsidRDefault="00456002" w:rsidP="00346F4B">
            <w:pPr>
              <w:numPr>
                <w:ilvl w:val="0"/>
                <w:numId w:val="38"/>
              </w:numPr>
              <w:spacing w:before="80"/>
              <w:ind w:left="692"/>
              <w:jc w:val="both"/>
              <w:rPr>
                <w:rFonts w:cs="Tahoma"/>
              </w:rPr>
            </w:pPr>
            <w:r w:rsidRPr="000A1C8E">
              <w:rPr>
                <w:rFonts w:cs="Tahoma"/>
                <w:color w:val="000000"/>
              </w:rPr>
              <w:t>SharePoint Online Plano 1*</w:t>
            </w:r>
          </w:p>
          <w:p w:rsidR="00456002" w:rsidRPr="000A1C8E" w:rsidRDefault="00456002" w:rsidP="00346F4B">
            <w:pPr>
              <w:numPr>
                <w:ilvl w:val="0"/>
                <w:numId w:val="38"/>
              </w:numPr>
              <w:spacing w:before="80"/>
              <w:ind w:left="692"/>
              <w:jc w:val="both"/>
              <w:rPr>
                <w:rFonts w:cs="Tahoma"/>
              </w:rPr>
            </w:pPr>
            <w:r w:rsidRPr="000A1C8E">
              <w:rPr>
                <w:rFonts w:cs="Tahoma"/>
                <w:color w:val="000000"/>
              </w:rPr>
              <w:t>SharePoint Online Plano 2*</w:t>
            </w:r>
          </w:p>
          <w:p w:rsidR="00456002" w:rsidRPr="000A1C8E" w:rsidRDefault="00456002" w:rsidP="00B3706E">
            <w:pPr>
              <w:numPr>
                <w:ilvl w:val="0"/>
                <w:numId w:val="38"/>
              </w:numPr>
              <w:spacing w:before="80"/>
              <w:ind w:left="692"/>
              <w:jc w:val="both"/>
              <w:rPr>
                <w:rFonts w:cs="Tahoma"/>
              </w:rPr>
            </w:pPr>
            <w:r w:rsidRPr="000A1C8E">
              <w:rPr>
                <w:rFonts w:cs="Tahoma"/>
                <w:color w:val="000000"/>
              </w:rPr>
              <w:t>Acesso</w:t>
            </w:r>
            <w:r w:rsidR="00B3706E">
              <w:rPr>
                <w:rFonts w:cs="Tahoma"/>
                <w:color w:val="000000"/>
              </w:rPr>
              <w:t> </w:t>
            </w:r>
            <w:r w:rsidRPr="000A1C8E">
              <w:rPr>
                <w:rFonts w:cs="Tahoma"/>
                <w:color w:val="000000"/>
              </w:rPr>
              <w:t>para</w:t>
            </w:r>
            <w:r w:rsidR="00B3706E">
              <w:rPr>
                <w:rFonts w:cs="Tahoma"/>
                <w:color w:val="000000"/>
              </w:rPr>
              <w:t> </w:t>
            </w:r>
            <w:r w:rsidRPr="000A1C8E">
              <w:rPr>
                <w:rFonts w:cs="Tahoma"/>
                <w:color w:val="000000"/>
              </w:rPr>
              <w:t>Parceiros</w:t>
            </w:r>
            <w:r w:rsidR="00B3706E">
              <w:rPr>
                <w:rFonts w:cs="Tahoma"/>
                <w:color w:val="000000"/>
              </w:rPr>
              <w:t> </w:t>
            </w:r>
            <w:r w:rsidRPr="000A1C8E">
              <w:rPr>
                <w:rFonts w:cs="Tahoma"/>
                <w:color w:val="000000"/>
              </w:rPr>
              <w:t>do</w:t>
            </w:r>
            <w:r w:rsidR="00B3706E">
              <w:rPr>
                <w:rFonts w:cs="Tahoma"/>
                <w:color w:val="000000"/>
              </w:rPr>
              <w:t> </w:t>
            </w:r>
            <w:r w:rsidRPr="000A1C8E">
              <w:rPr>
                <w:rFonts w:cs="Tahoma"/>
                <w:color w:val="000000"/>
              </w:rPr>
              <w:t>SharePoint Online*</w:t>
            </w:r>
          </w:p>
          <w:p w:rsidR="00454646" w:rsidRPr="000A1C8E" w:rsidRDefault="00454646" w:rsidP="00346F4B">
            <w:pPr>
              <w:numPr>
                <w:ilvl w:val="0"/>
                <w:numId w:val="38"/>
              </w:numPr>
              <w:spacing w:before="80"/>
              <w:ind w:left="692"/>
              <w:jc w:val="both"/>
              <w:rPr>
                <w:rFonts w:cs="Tahoma"/>
              </w:rPr>
            </w:pPr>
            <w:r w:rsidRPr="000A1C8E">
              <w:rPr>
                <w:rFonts w:cs="Tahoma"/>
                <w:color w:val="000000"/>
              </w:rPr>
              <w:t>Visio Pro para Office 365*</w:t>
            </w:r>
          </w:p>
          <w:p w:rsidR="00456002" w:rsidRPr="000A1C8E" w:rsidRDefault="00456002" w:rsidP="00346F4B">
            <w:pPr>
              <w:numPr>
                <w:ilvl w:val="0"/>
                <w:numId w:val="38"/>
              </w:numPr>
              <w:spacing w:before="80"/>
              <w:ind w:left="692"/>
              <w:jc w:val="both"/>
              <w:rPr>
                <w:rFonts w:cs="Tahoma"/>
              </w:rPr>
            </w:pPr>
            <w:r w:rsidRPr="000A1C8E">
              <w:rPr>
                <w:rFonts w:cs="Tahoma"/>
                <w:color w:val="000000"/>
              </w:rPr>
              <w:t>Windows Intune</w:t>
            </w:r>
          </w:p>
          <w:p w:rsidR="00456002" w:rsidRPr="000A1C8E" w:rsidRDefault="00BD6C2C" w:rsidP="00346F4B">
            <w:pPr>
              <w:numPr>
                <w:ilvl w:val="0"/>
                <w:numId w:val="38"/>
              </w:numPr>
              <w:spacing w:before="80"/>
              <w:ind w:left="692"/>
              <w:jc w:val="both"/>
              <w:rPr>
                <w:rFonts w:cs="Tahoma"/>
              </w:rPr>
            </w:pPr>
            <w:r w:rsidRPr="000A1C8E">
              <w:rPr>
                <w:rFonts w:cs="Tahoma"/>
                <w:color w:val="000000"/>
              </w:rPr>
              <w:t>Complemento do Windows Intune*, **</w:t>
            </w:r>
          </w:p>
          <w:p w:rsidR="00F27B29" w:rsidRPr="000A1C8E" w:rsidRDefault="00F27B29" w:rsidP="00346F4B">
            <w:pPr>
              <w:numPr>
                <w:ilvl w:val="0"/>
                <w:numId w:val="38"/>
              </w:numPr>
              <w:spacing w:before="80"/>
              <w:ind w:left="692"/>
              <w:jc w:val="both"/>
              <w:rPr>
                <w:rFonts w:cs="Tahoma"/>
              </w:rPr>
            </w:pPr>
            <w:r w:rsidRPr="000A1C8E">
              <w:rPr>
                <w:rFonts w:cs="Tahoma"/>
                <w:color w:val="000000"/>
              </w:rPr>
              <w:t>Yammer Enterprise*</w:t>
            </w:r>
          </w:p>
        </w:tc>
      </w:tr>
    </w:tbl>
    <w:p w:rsidR="00456002" w:rsidRPr="000A1C8E" w:rsidRDefault="00456002" w:rsidP="00456002">
      <w:pPr>
        <w:tabs>
          <w:tab w:val="left" w:pos="360"/>
        </w:tabs>
        <w:ind w:left="720"/>
        <w:rPr>
          <w:rFonts w:cs="Tahoma"/>
        </w:rPr>
      </w:pPr>
      <w:r w:rsidRPr="000A1C8E">
        <w:rPr>
          <w:rFonts w:cs="Tahoma"/>
          <w:i/>
          <w:sz w:val="16"/>
          <w:szCs w:val="20"/>
        </w:rPr>
        <w:t>* Produto Adicional</w:t>
      </w:r>
    </w:p>
    <w:p w:rsidR="00456002" w:rsidRPr="000A1C8E" w:rsidRDefault="003929D1" w:rsidP="00456002">
      <w:pPr>
        <w:tabs>
          <w:tab w:val="left" w:pos="360"/>
        </w:tabs>
        <w:ind w:left="720"/>
        <w:rPr>
          <w:rFonts w:cs="Tahoma"/>
        </w:rPr>
      </w:pPr>
      <w:r w:rsidRPr="000A1C8E">
        <w:rPr>
          <w:rFonts w:cs="Tahoma"/>
          <w:i/>
          <w:sz w:val="16"/>
          <w:szCs w:val="20"/>
        </w:rPr>
        <w:t>** “Complemento do Windows Intune” é uma abreviação para Complemento do Windows Intune para System Center Configuration Manager e System Center Endpoint Protection (Por Usuário)</w:t>
      </w:r>
    </w:p>
    <w:p w:rsidR="003929D1" w:rsidRPr="000A1C8E" w:rsidRDefault="003929D1" w:rsidP="00A12176">
      <w:pPr>
        <w:tabs>
          <w:tab w:val="left" w:pos="360"/>
        </w:tabs>
        <w:rPr>
          <w:rFonts w:cs="Tahoma"/>
        </w:rPr>
      </w:pPr>
    </w:p>
    <w:p w:rsidR="00456002" w:rsidRPr="000A1C8E" w:rsidRDefault="00456002" w:rsidP="00AE54FF">
      <w:pPr>
        <w:tabs>
          <w:tab w:val="left" w:pos="360"/>
        </w:tabs>
        <w:spacing w:after="60"/>
        <w:rPr>
          <w:rFonts w:cs="Tahoma"/>
        </w:rPr>
      </w:pPr>
      <w:r w:rsidRPr="000A1C8E">
        <w:rPr>
          <w:rFonts w:cs="Tahoma"/>
          <w:b/>
          <w:szCs w:val="20"/>
        </w:rPr>
        <w:t>Reduções de Licença de Assinatura</w:t>
      </w:r>
    </w:p>
    <w:p w:rsidR="00456002" w:rsidRPr="000A1C8E" w:rsidRDefault="00456002" w:rsidP="00AE54FF">
      <w:pPr>
        <w:tabs>
          <w:tab w:val="left" w:pos="360"/>
        </w:tabs>
        <w:rPr>
          <w:rFonts w:cs="Tahoma"/>
        </w:rPr>
      </w:pPr>
      <w:r w:rsidRPr="000A1C8E">
        <w:rPr>
          <w:rFonts w:cs="Tahoma"/>
          <w:b/>
          <w:szCs w:val="20"/>
        </w:rPr>
        <w:t>Observação:</w:t>
      </w:r>
      <w:r w:rsidRPr="000A1C8E">
        <w:rPr>
          <w:rFonts w:cs="Tahoma"/>
          <w:szCs w:val="20"/>
        </w:rPr>
        <w:t xml:space="preserve"> O seguinte se aplica aos clientes do Enterprise qualificados para informar reduções nas Licenças de assinatura.</w:t>
      </w:r>
      <w:r w:rsidR="00DC6D8B" w:rsidRPr="000A1C8E">
        <w:rPr>
          <w:rFonts w:cs="Tahoma"/>
          <w:szCs w:val="20"/>
        </w:rPr>
        <w:t xml:space="preserve"> </w:t>
      </w:r>
      <w:r w:rsidRPr="000A1C8E">
        <w:rPr>
          <w:rFonts w:cs="Tahoma"/>
          <w:szCs w:val="20"/>
        </w:rPr>
        <w:t>Os clientes que tiverem dúvidas sobre sua qualificação para informar reduções nas Licenças de assinatura devem entrar em contato com o Consultor de Software, Revendedor ou Gerente de Conta Microsoft para obter mais informações.</w:t>
      </w:r>
      <w:r w:rsidR="00DC6D8B" w:rsidRPr="000A1C8E">
        <w:rPr>
          <w:rFonts w:cs="Tahoma"/>
          <w:szCs w:val="20"/>
        </w:rPr>
        <w:t xml:space="preserve"> </w:t>
      </w:r>
    </w:p>
    <w:p w:rsidR="00456002" w:rsidRPr="000A1C8E" w:rsidRDefault="00456002" w:rsidP="00366502">
      <w:pPr>
        <w:tabs>
          <w:tab w:val="left" w:pos="360"/>
        </w:tabs>
        <w:rPr>
          <w:rFonts w:cs="Tahoma"/>
        </w:rPr>
      </w:pPr>
    </w:p>
    <w:p w:rsidR="00AE54FF" w:rsidRPr="000A1C8E" w:rsidRDefault="00AE54FF" w:rsidP="00366502">
      <w:pPr>
        <w:tabs>
          <w:tab w:val="left" w:pos="360"/>
        </w:tabs>
        <w:rPr>
          <w:rFonts w:cs="Tahoma"/>
        </w:rPr>
      </w:pPr>
    </w:p>
    <w:p w:rsidR="00AE54FF" w:rsidRPr="000A1C8E" w:rsidRDefault="00AE54FF" w:rsidP="00366502">
      <w:pPr>
        <w:tabs>
          <w:tab w:val="left" w:pos="360"/>
        </w:tabs>
        <w:rPr>
          <w:rFonts w:cs="Tahoma"/>
        </w:rPr>
      </w:pPr>
    </w:p>
    <w:p w:rsidR="00456002" w:rsidRPr="000A1C8E" w:rsidRDefault="00456002" w:rsidP="00366502">
      <w:pPr>
        <w:tabs>
          <w:tab w:val="left" w:pos="360"/>
        </w:tabs>
        <w:rPr>
          <w:rFonts w:cs="Tahoma"/>
        </w:rPr>
      </w:pPr>
      <w:r w:rsidRPr="000A1C8E">
        <w:rPr>
          <w:rFonts w:cs="Tahoma"/>
          <w:szCs w:val="20"/>
        </w:rPr>
        <w:lastRenderedPageBreak/>
        <w:t>As seguintes Licenças de assinatura estão qualificadas para ajustes nas quantidades de Licença:</w:t>
      </w:r>
    </w:p>
    <w:p w:rsidR="00456002" w:rsidRPr="000A1C8E" w:rsidRDefault="00456002" w:rsidP="00456002">
      <w:pPr>
        <w:tabs>
          <w:tab w:val="left" w:pos="360"/>
        </w:tabs>
        <w:ind w:left="720"/>
        <w:rPr>
          <w:rFonts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0A1C8E" w:rsidTr="007E466C">
        <w:trPr>
          <w:trHeight w:val="80"/>
        </w:trPr>
        <w:tc>
          <w:tcPr>
            <w:tcW w:w="5000" w:type="pct"/>
            <w:gridSpan w:val="2"/>
            <w:shd w:val="clear" w:color="auto" w:fill="FABF8F"/>
          </w:tcPr>
          <w:p w:rsidR="00456002" w:rsidRPr="000A1C8E" w:rsidRDefault="00456002" w:rsidP="005C647E">
            <w:pPr>
              <w:jc w:val="center"/>
              <w:rPr>
                <w:rFonts w:cs="Tahoma"/>
                <w:b/>
              </w:rPr>
            </w:pPr>
            <w:r w:rsidRPr="000A1C8E">
              <w:rPr>
                <w:rFonts w:cs="Tahoma"/>
                <w:b/>
              </w:rPr>
              <w:t>Serviços Online</w:t>
            </w:r>
          </w:p>
        </w:tc>
      </w:tr>
      <w:tr w:rsidR="00456002" w:rsidRPr="000A1C8E" w:rsidTr="007E466C">
        <w:trPr>
          <w:trHeight w:val="219"/>
        </w:trPr>
        <w:tc>
          <w:tcPr>
            <w:tcW w:w="2500" w:type="pct"/>
          </w:tcPr>
          <w:p w:rsidR="00D85FDD" w:rsidRPr="000A1C8E" w:rsidRDefault="00D85FDD" w:rsidP="00346F4B">
            <w:pPr>
              <w:numPr>
                <w:ilvl w:val="0"/>
                <w:numId w:val="38"/>
              </w:numPr>
              <w:spacing w:before="80"/>
              <w:rPr>
                <w:rFonts w:cs="Tahoma"/>
              </w:rPr>
            </w:pPr>
            <w:r w:rsidRPr="000A1C8E">
              <w:rPr>
                <w:rFonts w:cs="Tahoma"/>
              </w:rPr>
              <w:t>Arquivamento do Exchange Online para Exchange Online</w:t>
            </w:r>
          </w:p>
          <w:p w:rsidR="00D85FDD" w:rsidRPr="000A1C8E" w:rsidRDefault="00D85FDD" w:rsidP="00346F4B">
            <w:pPr>
              <w:numPr>
                <w:ilvl w:val="0"/>
                <w:numId w:val="38"/>
              </w:numPr>
              <w:spacing w:before="80"/>
              <w:rPr>
                <w:rFonts w:cs="Tahoma"/>
              </w:rPr>
            </w:pPr>
            <w:r w:rsidRPr="000A1C8E">
              <w:rPr>
                <w:rFonts w:cs="Tahoma"/>
              </w:rPr>
              <w:t>Arquivamento do Exchange Online para Exchange Server</w:t>
            </w:r>
          </w:p>
          <w:p w:rsidR="00456002" w:rsidRPr="000A1C8E" w:rsidRDefault="00456002" w:rsidP="00346F4B">
            <w:pPr>
              <w:numPr>
                <w:ilvl w:val="0"/>
                <w:numId w:val="38"/>
              </w:numPr>
              <w:spacing w:before="80"/>
              <w:rPr>
                <w:rFonts w:cs="Tahoma"/>
              </w:rPr>
            </w:pPr>
            <w:r w:rsidRPr="000A1C8E">
              <w:rPr>
                <w:rFonts w:cs="Tahoma"/>
              </w:rPr>
              <w:t>Quiosque do Exchange Online*</w:t>
            </w:r>
          </w:p>
          <w:p w:rsidR="00456002" w:rsidRPr="000A1C8E" w:rsidRDefault="00456002" w:rsidP="00346F4B">
            <w:pPr>
              <w:numPr>
                <w:ilvl w:val="0"/>
                <w:numId w:val="38"/>
              </w:numPr>
              <w:spacing w:before="80"/>
              <w:rPr>
                <w:rFonts w:cs="Tahoma"/>
              </w:rPr>
            </w:pPr>
            <w:r w:rsidRPr="000A1C8E">
              <w:rPr>
                <w:rFonts w:cs="Tahoma"/>
              </w:rPr>
              <w:t>Exchange Online Plano 1*</w:t>
            </w:r>
          </w:p>
          <w:p w:rsidR="00456002" w:rsidRPr="000A1C8E" w:rsidRDefault="00456002" w:rsidP="00346F4B">
            <w:pPr>
              <w:numPr>
                <w:ilvl w:val="0"/>
                <w:numId w:val="38"/>
              </w:numPr>
              <w:spacing w:before="80"/>
              <w:rPr>
                <w:rFonts w:cs="Tahoma"/>
              </w:rPr>
            </w:pPr>
            <w:r w:rsidRPr="000A1C8E">
              <w:rPr>
                <w:rFonts w:cs="Tahoma"/>
              </w:rPr>
              <w:t>Exchange Online Plano 2*</w:t>
            </w:r>
          </w:p>
          <w:p w:rsidR="00D85FDD" w:rsidRPr="000A1C8E" w:rsidRDefault="00D85FDD" w:rsidP="00346F4B">
            <w:pPr>
              <w:numPr>
                <w:ilvl w:val="0"/>
                <w:numId w:val="38"/>
              </w:numPr>
              <w:spacing w:before="80"/>
              <w:rPr>
                <w:rFonts w:cs="Tahoma"/>
              </w:rPr>
            </w:pPr>
            <w:r w:rsidRPr="000A1C8E">
              <w:rPr>
                <w:rFonts w:cs="Tahoma"/>
              </w:rPr>
              <w:t>Exchange Online Protection</w:t>
            </w:r>
          </w:p>
          <w:p w:rsidR="00456002" w:rsidRPr="000A1C8E" w:rsidRDefault="00456002" w:rsidP="00346F4B">
            <w:pPr>
              <w:numPr>
                <w:ilvl w:val="0"/>
                <w:numId w:val="38"/>
              </w:numPr>
              <w:spacing w:before="80"/>
              <w:rPr>
                <w:rFonts w:cs="Tahoma"/>
              </w:rPr>
            </w:pPr>
            <w:r w:rsidRPr="000A1C8E">
              <w:rPr>
                <w:rFonts w:cs="Tahoma"/>
              </w:rPr>
              <w:t>Lync Online Plano 1*</w:t>
            </w:r>
          </w:p>
          <w:p w:rsidR="00456002" w:rsidRPr="000A1C8E" w:rsidRDefault="00456002" w:rsidP="00346F4B">
            <w:pPr>
              <w:numPr>
                <w:ilvl w:val="0"/>
                <w:numId w:val="38"/>
              </w:numPr>
              <w:spacing w:before="80"/>
              <w:rPr>
                <w:rFonts w:cs="Tahoma"/>
              </w:rPr>
            </w:pPr>
            <w:r w:rsidRPr="000A1C8E">
              <w:rPr>
                <w:rFonts w:cs="Tahoma"/>
              </w:rPr>
              <w:t>Lync Online Plano 2*</w:t>
            </w:r>
          </w:p>
          <w:p w:rsidR="00E77288" w:rsidRPr="000A1C8E" w:rsidRDefault="00E77288" w:rsidP="00346F4B">
            <w:pPr>
              <w:numPr>
                <w:ilvl w:val="0"/>
                <w:numId w:val="38"/>
              </w:numPr>
              <w:spacing w:before="80"/>
              <w:rPr>
                <w:rFonts w:cs="Tahoma"/>
              </w:rPr>
            </w:pPr>
            <w:r w:rsidRPr="000A1C8E">
              <w:rPr>
                <w:rFonts w:cs="Tahoma"/>
              </w:rPr>
              <w:t>Lync Online Plano 3*</w:t>
            </w:r>
          </w:p>
          <w:p w:rsidR="00456002" w:rsidRPr="000A1C8E" w:rsidRDefault="00456002" w:rsidP="00346F4B">
            <w:pPr>
              <w:numPr>
                <w:ilvl w:val="0"/>
                <w:numId w:val="38"/>
              </w:numPr>
              <w:spacing w:before="80"/>
              <w:rPr>
                <w:rFonts w:cs="Tahoma"/>
              </w:rPr>
            </w:pPr>
            <w:r w:rsidRPr="000A1C8E">
              <w:rPr>
                <w:rFonts w:cs="Tahoma"/>
              </w:rPr>
              <w:t>Office 365 (Enterprise K1)*</w:t>
            </w:r>
          </w:p>
          <w:p w:rsidR="00456002" w:rsidRPr="000A1C8E" w:rsidRDefault="00456002" w:rsidP="00346F4B">
            <w:pPr>
              <w:numPr>
                <w:ilvl w:val="0"/>
                <w:numId w:val="38"/>
              </w:numPr>
              <w:spacing w:before="80"/>
              <w:rPr>
                <w:rFonts w:cs="Tahoma"/>
              </w:rPr>
            </w:pPr>
            <w:r w:rsidRPr="000A1C8E">
              <w:rPr>
                <w:rFonts w:cs="Tahoma"/>
              </w:rPr>
              <w:t>Office 365 (Enterprise K2)*</w:t>
            </w:r>
          </w:p>
          <w:p w:rsidR="00456002" w:rsidRPr="000A1C8E" w:rsidRDefault="00456002" w:rsidP="00346F4B">
            <w:pPr>
              <w:numPr>
                <w:ilvl w:val="0"/>
                <w:numId w:val="38"/>
              </w:numPr>
              <w:spacing w:before="80"/>
              <w:rPr>
                <w:rFonts w:cs="Tahoma"/>
              </w:rPr>
            </w:pPr>
            <w:r w:rsidRPr="000A1C8E">
              <w:rPr>
                <w:rFonts w:cs="Tahoma"/>
              </w:rPr>
              <w:t>Office 365 (Enterprise E1)</w:t>
            </w:r>
          </w:p>
          <w:p w:rsidR="00456002" w:rsidRPr="000A1C8E" w:rsidRDefault="00456002" w:rsidP="00346F4B">
            <w:pPr>
              <w:numPr>
                <w:ilvl w:val="0"/>
                <w:numId w:val="38"/>
              </w:numPr>
              <w:spacing w:before="80"/>
              <w:rPr>
                <w:rFonts w:cs="Tahoma"/>
              </w:rPr>
            </w:pPr>
            <w:r w:rsidRPr="000A1C8E">
              <w:rPr>
                <w:rFonts w:cs="Tahoma"/>
              </w:rPr>
              <w:t>Office 365 (Enterprise E2)</w:t>
            </w:r>
          </w:p>
          <w:p w:rsidR="00456002" w:rsidRPr="000A1C8E" w:rsidRDefault="00456002" w:rsidP="00346F4B">
            <w:pPr>
              <w:numPr>
                <w:ilvl w:val="0"/>
                <w:numId w:val="38"/>
              </w:numPr>
              <w:spacing w:before="80"/>
              <w:rPr>
                <w:rFonts w:cs="Tahoma"/>
              </w:rPr>
            </w:pPr>
            <w:r w:rsidRPr="000A1C8E">
              <w:rPr>
                <w:rFonts w:cs="Tahoma"/>
              </w:rPr>
              <w:t>Office 365 (Enterprise E3)</w:t>
            </w:r>
          </w:p>
          <w:p w:rsidR="00456002" w:rsidRPr="000A1C8E" w:rsidRDefault="00456002" w:rsidP="00346F4B">
            <w:pPr>
              <w:numPr>
                <w:ilvl w:val="0"/>
                <w:numId w:val="38"/>
              </w:numPr>
              <w:spacing w:before="80"/>
              <w:rPr>
                <w:rFonts w:cs="Tahoma"/>
              </w:rPr>
            </w:pPr>
            <w:r w:rsidRPr="000A1C8E">
              <w:rPr>
                <w:rFonts w:cs="Tahoma"/>
              </w:rPr>
              <w:t>Office 365 (Enterprise E4)</w:t>
            </w:r>
          </w:p>
          <w:p w:rsidR="005272FA" w:rsidRPr="000A1C8E" w:rsidRDefault="005272FA" w:rsidP="00346F4B">
            <w:pPr>
              <w:numPr>
                <w:ilvl w:val="0"/>
                <w:numId w:val="38"/>
              </w:numPr>
              <w:spacing w:before="80"/>
              <w:jc w:val="both"/>
              <w:rPr>
                <w:rFonts w:cs="Tahoma"/>
              </w:rPr>
            </w:pPr>
            <w:r w:rsidRPr="000A1C8E">
              <w:rPr>
                <w:rFonts w:cs="Tahoma"/>
                <w:color w:val="000000"/>
              </w:rPr>
              <w:t>Office 365 (Government G1)</w:t>
            </w:r>
          </w:p>
          <w:p w:rsidR="005272FA" w:rsidRPr="000A1C8E" w:rsidRDefault="005272FA" w:rsidP="00346F4B">
            <w:pPr>
              <w:numPr>
                <w:ilvl w:val="0"/>
                <w:numId w:val="38"/>
              </w:numPr>
              <w:spacing w:before="80"/>
              <w:jc w:val="both"/>
              <w:rPr>
                <w:rFonts w:cs="Tahoma"/>
              </w:rPr>
            </w:pPr>
            <w:r w:rsidRPr="000A1C8E">
              <w:rPr>
                <w:rFonts w:cs="Tahoma"/>
                <w:color w:val="000000"/>
              </w:rPr>
              <w:t>Office 365 (Government G2)</w:t>
            </w:r>
          </w:p>
          <w:p w:rsidR="005272FA" w:rsidRPr="000A1C8E" w:rsidRDefault="005272FA" w:rsidP="00346F4B">
            <w:pPr>
              <w:numPr>
                <w:ilvl w:val="0"/>
                <w:numId w:val="38"/>
              </w:numPr>
              <w:spacing w:before="80"/>
              <w:jc w:val="both"/>
              <w:rPr>
                <w:rFonts w:cs="Tahoma"/>
              </w:rPr>
            </w:pPr>
            <w:r w:rsidRPr="000A1C8E">
              <w:rPr>
                <w:rFonts w:cs="Tahoma"/>
                <w:color w:val="000000"/>
              </w:rPr>
              <w:t>Office 365 (Government G3)</w:t>
            </w:r>
          </w:p>
          <w:p w:rsidR="005272FA" w:rsidRPr="000A1C8E" w:rsidRDefault="005272FA" w:rsidP="00346F4B">
            <w:pPr>
              <w:numPr>
                <w:ilvl w:val="0"/>
                <w:numId w:val="38"/>
              </w:numPr>
              <w:spacing w:before="80"/>
              <w:jc w:val="both"/>
              <w:rPr>
                <w:rFonts w:cs="Tahoma"/>
              </w:rPr>
            </w:pPr>
            <w:r w:rsidRPr="000A1C8E">
              <w:rPr>
                <w:rFonts w:cs="Tahoma"/>
                <w:color w:val="000000"/>
              </w:rPr>
              <w:t>Office 365 (Government G4)</w:t>
            </w:r>
          </w:p>
          <w:p w:rsidR="005272FA" w:rsidRPr="000A1C8E" w:rsidRDefault="005272FA" w:rsidP="007E466C">
            <w:pPr>
              <w:spacing w:before="80"/>
              <w:ind w:left="522"/>
              <w:rPr>
                <w:rFonts w:cs="Tahoma"/>
              </w:rPr>
            </w:pPr>
          </w:p>
        </w:tc>
        <w:tc>
          <w:tcPr>
            <w:tcW w:w="2500" w:type="pct"/>
          </w:tcPr>
          <w:p w:rsidR="00456002" w:rsidRPr="000A1C8E" w:rsidRDefault="00456002" w:rsidP="00346F4B">
            <w:pPr>
              <w:numPr>
                <w:ilvl w:val="0"/>
                <w:numId w:val="38"/>
              </w:numPr>
              <w:spacing w:before="80"/>
              <w:jc w:val="both"/>
              <w:rPr>
                <w:rFonts w:cs="Tahoma"/>
              </w:rPr>
            </w:pPr>
            <w:r w:rsidRPr="000A1C8E">
              <w:rPr>
                <w:rFonts w:cs="Tahoma"/>
                <w:color w:val="000000"/>
              </w:rPr>
              <w:t>Office Web Applications*</w:t>
            </w:r>
          </w:p>
          <w:p w:rsidR="00CE1716" w:rsidRPr="000A1C8E" w:rsidRDefault="00CE1716" w:rsidP="00346F4B">
            <w:pPr>
              <w:numPr>
                <w:ilvl w:val="0"/>
                <w:numId w:val="38"/>
              </w:numPr>
              <w:spacing w:before="80"/>
              <w:jc w:val="both"/>
              <w:rPr>
                <w:rFonts w:cs="Tahoma"/>
              </w:rPr>
            </w:pPr>
            <w:r w:rsidRPr="000A1C8E">
              <w:rPr>
                <w:rFonts w:cs="Tahoma"/>
                <w:color w:val="000000"/>
              </w:rPr>
              <w:t>Project Online</w:t>
            </w:r>
          </w:p>
          <w:p w:rsidR="005272FA" w:rsidRPr="000A1C8E" w:rsidRDefault="005272FA" w:rsidP="00346F4B">
            <w:pPr>
              <w:numPr>
                <w:ilvl w:val="0"/>
                <w:numId w:val="38"/>
              </w:numPr>
              <w:spacing w:before="80"/>
              <w:jc w:val="both"/>
              <w:rPr>
                <w:rFonts w:cs="Tahoma"/>
              </w:rPr>
            </w:pPr>
            <w:r w:rsidRPr="000A1C8E">
              <w:rPr>
                <w:rFonts w:cs="Tahoma"/>
                <w:color w:val="000000"/>
              </w:rPr>
              <w:t>Project Pro para Office 365*</w:t>
            </w:r>
          </w:p>
          <w:p w:rsidR="00456002" w:rsidRPr="000A1C8E" w:rsidRDefault="00456002" w:rsidP="00346F4B">
            <w:pPr>
              <w:numPr>
                <w:ilvl w:val="0"/>
                <w:numId w:val="38"/>
              </w:numPr>
              <w:spacing w:before="80"/>
              <w:jc w:val="both"/>
              <w:rPr>
                <w:rFonts w:cs="Tahoma"/>
              </w:rPr>
            </w:pPr>
            <w:r w:rsidRPr="000A1C8E">
              <w:rPr>
                <w:rFonts w:cs="Tahoma"/>
                <w:color w:val="000000"/>
              </w:rPr>
              <w:t>SharePoint Online Plano 1*</w:t>
            </w:r>
          </w:p>
          <w:p w:rsidR="00456002" w:rsidRPr="000A1C8E" w:rsidRDefault="00456002" w:rsidP="00346F4B">
            <w:pPr>
              <w:numPr>
                <w:ilvl w:val="0"/>
                <w:numId w:val="38"/>
              </w:numPr>
              <w:spacing w:before="80"/>
              <w:jc w:val="both"/>
              <w:rPr>
                <w:rFonts w:cs="Tahoma"/>
              </w:rPr>
            </w:pPr>
            <w:r w:rsidRPr="000A1C8E">
              <w:rPr>
                <w:rFonts w:cs="Tahoma"/>
                <w:color w:val="000000"/>
              </w:rPr>
              <w:t>SharePoint Online Plano 2*</w:t>
            </w:r>
          </w:p>
          <w:p w:rsidR="00456002" w:rsidRPr="000A1C8E" w:rsidRDefault="00456002" w:rsidP="00346F4B">
            <w:pPr>
              <w:numPr>
                <w:ilvl w:val="0"/>
                <w:numId w:val="38"/>
              </w:numPr>
              <w:spacing w:before="80"/>
              <w:ind w:right="270"/>
              <w:jc w:val="both"/>
              <w:rPr>
                <w:rFonts w:cs="Tahoma"/>
              </w:rPr>
            </w:pPr>
            <w:r w:rsidRPr="000A1C8E">
              <w:rPr>
                <w:rFonts w:cs="Tahoma"/>
                <w:color w:val="000000"/>
              </w:rPr>
              <w:t>Acesso para Parceiros do SharePoint Online*</w:t>
            </w:r>
          </w:p>
          <w:p w:rsidR="00456002" w:rsidRPr="000A1C8E" w:rsidRDefault="00456002" w:rsidP="00346F4B">
            <w:pPr>
              <w:numPr>
                <w:ilvl w:val="0"/>
                <w:numId w:val="38"/>
              </w:numPr>
              <w:spacing w:before="80"/>
              <w:jc w:val="both"/>
              <w:rPr>
                <w:rFonts w:cs="Tahoma"/>
              </w:rPr>
            </w:pPr>
            <w:r w:rsidRPr="000A1C8E">
              <w:rPr>
                <w:rFonts w:cs="Tahoma"/>
                <w:color w:val="000000"/>
              </w:rPr>
              <w:t>Windows Intune</w:t>
            </w:r>
          </w:p>
          <w:p w:rsidR="00456002" w:rsidRPr="000A1C8E" w:rsidRDefault="00456002" w:rsidP="00346F4B">
            <w:pPr>
              <w:numPr>
                <w:ilvl w:val="0"/>
                <w:numId w:val="38"/>
              </w:numPr>
              <w:spacing w:before="80"/>
              <w:jc w:val="both"/>
              <w:rPr>
                <w:rFonts w:cs="Tahoma"/>
              </w:rPr>
            </w:pPr>
            <w:r w:rsidRPr="000A1C8E">
              <w:rPr>
                <w:rFonts w:cs="Tahoma"/>
                <w:color w:val="000000"/>
              </w:rPr>
              <w:t>Windows Intune Complementar*</w:t>
            </w:r>
          </w:p>
          <w:p w:rsidR="00A2058E" w:rsidRPr="000A1C8E" w:rsidRDefault="00A2058E" w:rsidP="00346F4B">
            <w:pPr>
              <w:numPr>
                <w:ilvl w:val="0"/>
                <w:numId w:val="38"/>
              </w:numPr>
              <w:spacing w:before="80"/>
              <w:jc w:val="both"/>
              <w:rPr>
                <w:rFonts w:cs="Tahoma"/>
              </w:rPr>
            </w:pPr>
            <w:r w:rsidRPr="000A1C8E">
              <w:rPr>
                <w:rFonts w:cs="Tahoma"/>
                <w:color w:val="000000"/>
              </w:rPr>
              <w:t>Microsoft Dynamics CRM Online*</w:t>
            </w:r>
          </w:p>
          <w:p w:rsidR="005272FA" w:rsidRPr="000A1C8E" w:rsidRDefault="005272FA" w:rsidP="00346F4B">
            <w:pPr>
              <w:numPr>
                <w:ilvl w:val="0"/>
                <w:numId w:val="38"/>
              </w:numPr>
              <w:spacing w:before="80"/>
              <w:jc w:val="both"/>
              <w:rPr>
                <w:rFonts w:cs="Tahoma"/>
              </w:rPr>
            </w:pPr>
            <w:r w:rsidRPr="000A1C8E">
              <w:rPr>
                <w:rFonts w:cs="Tahoma"/>
                <w:color w:val="000000"/>
              </w:rPr>
              <w:t>Visio Pro para Office 365*</w:t>
            </w:r>
          </w:p>
          <w:p w:rsidR="00F27B29" w:rsidRPr="000A1C8E" w:rsidRDefault="00F27B29" w:rsidP="00346F4B">
            <w:pPr>
              <w:numPr>
                <w:ilvl w:val="0"/>
                <w:numId w:val="38"/>
              </w:numPr>
              <w:spacing w:before="80" w:after="120"/>
              <w:jc w:val="both"/>
              <w:rPr>
                <w:rFonts w:cs="Tahoma"/>
              </w:rPr>
            </w:pPr>
            <w:r w:rsidRPr="000A1C8E">
              <w:rPr>
                <w:rFonts w:cs="Tahoma"/>
                <w:color w:val="000000"/>
              </w:rPr>
              <w:t>Yammer Enterprise</w:t>
            </w:r>
          </w:p>
        </w:tc>
      </w:tr>
    </w:tbl>
    <w:p w:rsidR="00A12176" w:rsidRPr="000A1C8E" w:rsidRDefault="00456002" w:rsidP="001E7C5F">
      <w:pPr>
        <w:tabs>
          <w:tab w:val="left" w:pos="360"/>
        </w:tabs>
        <w:ind w:left="720"/>
        <w:rPr>
          <w:rFonts w:cs="Tahoma"/>
        </w:rPr>
      </w:pPr>
      <w:r w:rsidRPr="000A1C8E">
        <w:rPr>
          <w:rFonts w:cs="Tahoma"/>
          <w:i/>
          <w:sz w:val="16"/>
          <w:szCs w:val="20"/>
        </w:rPr>
        <w:t>* Produto Adicional</w:t>
      </w:r>
      <w:bookmarkStart w:id="637" w:name="_Toc336338196"/>
    </w:p>
    <w:p w:rsidR="00A12176" w:rsidRPr="000A1C8E" w:rsidRDefault="00A12176" w:rsidP="00366502">
      <w:pPr>
        <w:pStyle w:val="Heading2"/>
        <w:ind w:left="0"/>
        <w:rPr>
          <w:rFonts w:ascii="Tahoma" w:hAnsi="Tahoma" w:cs="Tahoma"/>
        </w:rPr>
      </w:pPr>
    </w:p>
    <w:p w:rsidR="00456002" w:rsidRPr="000A1C8E" w:rsidRDefault="00456002" w:rsidP="00AE54FF">
      <w:pPr>
        <w:pStyle w:val="Heading2"/>
        <w:ind w:left="0"/>
        <w:rPr>
          <w:rFonts w:ascii="Tahoma" w:hAnsi="Tahoma" w:cs="Tahoma"/>
        </w:rPr>
      </w:pPr>
      <w:bookmarkStart w:id="638" w:name="_Toc361829279"/>
      <w:r w:rsidRPr="000A1C8E">
        <w:rPr>
          <w:rFonts w:ascii="Tahoma" w:hAnsi="Tahoma" w:cs="Tahoma"/>
        </w:rPr>
        <w:t>Continuidade do Serviço por meio de Prazo Estendido</w:t>
      </w:r>
      <w:bookmarkEnd w:id="637"/>
      <w:bookmarkEnd w:id="638"/>
      <w:r w:rsidRPr="000A1C8E">
        <w:rPr>
          <w:rFonts w:ascii="Tahoma" w:eastAsia="Times New Roman" w:hAnsi="Tahoma" w:cs="Tahoma"/>
          <w:sz w:val="20"/>
        </w:rPr>
        <w:t xml:space="preserve"> </w:t>
      </w:r>
    </w:p>
    <w:p w:rsidR="00456002" w:rsidRPr="000A1C8E" w:rsidRDefault="00456002" w:rsidP="00AE54FF">
      <w:pPr>
        <w:tabs>
          <w:tab w:val="left" w:pos="360"/>
        </w:tabs>
        <w:rPr>
          <w:rFonts w:cs="Tahoma"/>
        </w:rPr>
      </w:pPr>
    </w:p>
    <w:p w:rsidR="00456002" w:rsidRPr="000A1C8E" w:rsidRDefault="00456002" w:rsidP="00AE54FF">
      <w:pPr>
        <w:tabs>
          <w:tab w:val="left" w:pos="360"/>
        </w:tabs>
        <w:rPr>
          <w:rFonts w:cs="Tahoma"/>
        </w:rPr>
      </w:pPr>
      <w:r w:rsidRPr="000A1C8E">
        <w:rPr>
          <w:rFonts w:cs="Tahoma"/>
          <w:b/>
          <w:szCs w:val="20"/>
        </w:rPr>
        <w:t>Observação:</w:t>
      </w:r>
      <w:r w:rsidRPr="000A1C8E">
        <w:rPr>
          <w:rFonts w:cs="Tahoma"/>
          <w:szCs w:val="20"/>
        </w:rPr>
        <w:t xml:space="preserve"> O seguinte se aplica aos clientes do Registro Enterprise e Enterprise Subscription qualificados para continuidade do serviço por meio de Prazo Estendido.</w:t>
      </w:r>
      <w:r w:rsidR="00DC6D8B" w:rsidRPr="000A1C8E">
        <w:rPr>
          <w:rFonts w:cs="Tahoma"/>
          <w:szCs w:val="20"/>
        </w:rPr>
        <w:t xml:space="preserve"> </w:t>
      </w:r>
      <w:r w:rsidRPr="000A1C8E">
        <w:rPr>
          <w:rFonts w:cs="Tahoma"/>
          <w:szCs w:val="20"/>
        </w:rPr>
        <w:t>Os clientes que tiverem dúvidas sobre sua qualificação para continuidade do serviço por meio do Prazo Estendido devem entrar em contato com o Consultor de Software, Revendedor ou Gerente de Conta Microsoft para obter mais informações.</w:t>
      </w:r>
      <w:r w:rsidR="00DC6D8B" w:rsidRPr="000A1C8E">
        <w:rPr>
          <w:rFonts w:cs="Tahoma"/>
          <w:szCs w:val="20"/>
        </w:rPr>
        <w:t xml:space="preserve"> </w:t>
      </w:r>
    </w:p>
    <w:p w:rsidR="00456002" w:rsidRPr="000A1C8E" w:rsidRDefault="00456002" w:rsidP="00AE54FF">
      <w:pPr>
        <w:tabs>
          <w:tab w:val="left" w:pos="360"/>
        </w:tabs>
        <w:rPr>
          <w:rFonts w:cs="Tahoma"/>
        </w:rPr>
      </w:pPr>
    </w:p>
    <w:p w:rsidR="00456002" w:rsidRPr="000A1C8E" w:rsidRDefault="00456002" w:rsidP="00AE54FF">
      <w:pPr>
        <w:tabs>
          <w:tab w:val="left" w:pos="360"/>
        </w:tabs>
        <w:rPr>
          <w:rFonts w:cs="Tahoma"/>
        </w:rPr>
      </w:pPr>
      <w:r w:rsidRPr="000A1C8E">
        <w:rPr>
          <w:rFonts w:cs="Tahoma"/>
          <w:szCs w:val="20"/>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w:t>
      </w:r>
      <w:r w:rsidR="00D24437" w:rsidRPr="000A1C8E">
        <w:rPr>
          <w:rFonts w:cs="Tahoma"/>
          <w:szCs w:val="20"/>
        </w:rPr>
        <w:t> </w:t>
      </w:r>
      <w:r w:rsidRPr="000A1C8E">
        <w:rPr>
          <w:rFonts w:cs="Tahoma"/>
          <w:szCs w:val="20"/>
        </w:rPr>
        <w:t>Serviço por meio do Prazo Estendido:</w:t>
      </w:r>
    </w:p>
    <w:p w:rsidR="00456002" w:rsidRPr="000A1C8E" w:rsidRDefault="00456002" w:rsidP="00AE54FF">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0A1C8E" w:rsidTr="00267755">
        <w:trPr>
          <w:trHeight w:val="80"/>
          <w:tblHeader/>
        </w:trPr>
        <w:tc>
          <w:tcPr>
            <w:tcW w:w="5000" w:type="pct"/>
            <w:gridSpan w:val="2"/>
            <w:shd w:val="clear" w:color="auto" w:fill="FABF8F"/>
          </w:tcPr>
          <w:p w:rsidR="00456002" w:rsidRPr="000A1C8E" w:rsidRDefault="00456002" w:rsidP="00267755">
            <w:pPr>
              <w:jc w:val="center"/>
              <w:rPr>
                <w:rFonts w:cs="Tahoma"/>
                <w:b/>
                <w:sz w:val="20"/>
              </w:rPr>
            </w:pPr>
            <w:r w:rsidRPr="000A1C8E">
              <w:rPr>
                <w:rFonts w:cs="Tahoma"/>
                <w:b/>
                <w:sz w:val="20"/>
              </w:rPr>
              <w:t>Serviços Online</w:t>
            </w:r>
          </w:p>
        </w:tc>
      </w:tr>
      <w:tr w:rsidR="00456002" w:rsidRPr="000A1C8E" w:rsidTr="00267755">
        <w:trPr>
          <w:trHeight w:val="219"/>
        </w:trPr>
        <w:tc>
          <w:tcPr>
            <w:tcW w:w="2603" w:type="pct"/>
          </w:tcPr>
          <w:p w:rsidR="00D85FDD" w:rsidRPr="000A1C8E" w:rsidRDefault="00D85FDD" w:rsidP="00267755">
            <w:pPr>
              <w:numPr>
                <w:ilvl w:val="0"/>
                <w:numId w:val="38"/>
              </w:numPr>
              <w:spacing w:before="80"/>
              <w:ind w:left="905" w:hanging="540"/>
              <w:jc w:val="both"/>
              <w:rPr>
                <w:rFonts w:cs="Tahoma"/>
              </w:rPr>
            </w:pPr>
            <w:r w:rsidRPr="000A1C8E">
              <w:rPr>
                <w:rFonts w:cs="Tahoma"/>
              </w:rPr>
              <w:t>Arquivamento do Exchange Online para Exchange Online</w:t>
            </w:r>
          </w:p>
          <w:p w:rsidR="00D85FDD" w:rsidRPr="000A1C8E" w:rsidRDefault="00D85FDD" w:rsidP="00267755">
            <w:pPr>
              <w:numPr>
                <w:ilvl w:val="0"/>
                <w:numId w:val="38"/>
              </w:numPr>
              <w:spacing w:before="80"/>
              <w:ind w:left="905" w:hanging="540"/>
              <w:jc w:val="both"/>
              <w:rPr>
                <w:rFonts w:cs="Tahoma"/>
              </w:rPr>
            </w:pPr>
            <w:r w:rsidRPr="000A1C8E">
              <w:rPr>
                <w:rFonts w:cs="Tahoma"/>
              </w:rPr>
              <w:t xml:space="preserve">Arquivamento do Exchange Online para Exchange Server </w:t>
            </w:r>
          </w:p>
          <w:p w:rsidR="00456002" w:rsidRPr="000A1C8E" w:rsidRDefault="00456002" w:rsidP="00267755">
            <w:pPr>
              <w:numPr>
                <w:ilvl w:val="0"/>
                <w:numId w:val="38"/>
              </w:numPr>
              <w:spacing w:before="80"/>
              <w:ind w:left="905" w:hanging="540"/>
              <w:jc w:val="both"/>
              <w:rPr>
                <w:rFonts w:cs="Tahoma"/>
              </w:rPr>
            </w:pPr>
            <w:r w:rsidRPr="000A1C8E">
              <w:rPr>
                <w:rFonts w:cs="Tahoma"/>
              </w:rPr>
              <w:t>Quiosque do Exchange Online*</w:t>
            </w:r>
          </w:p>
          <w:p w:rsidR="00456002" w:rsidRPr="000A1C8E" w:rsidRDefault="00456002" w:rsidP="00267755">
            <w:pPr>
              <w:numPr>
                <w:ilvl w:val="0"/>
                <w:numId w:val="38"/>
              </w:numPr>
              <w:spacing w:before="80"/>
              <w:ind w:left="905" w:hanging="540"/>
              <w:jc w:val="both"/>
              <w:rPr>
                <w:rFonts w:cs="Tahoma"/>
              </w:rPr>
            </w:pPr>
            <w:r w:rsidRPr="000A1C8E">
              <w:rPr>
                <w:rFonts w:cs="Tahoma"/>
              </w:rPr>
              <w:t>Exchange Online Plano 1*</w:t>
            </w:r>
          </w:p>
          <w:p w:rsidR="00456002" w:rsidRPr="000A1C8E" w:rsidRDefault="00456002" w:rsidP="00267755">
            <w:pPr>
              <w:numPr>
                <w:ilvl w:val="0"/>
                <w:numId w:val="38"/>
              </w:numPr>
              <w:spacing w:before="80"/>
              <w:ind w:left="905" w:hanging="540"/>
              <w:jc w:val="both"/>
              <w:rPr>
                <w:rFonts w:cs="Tahoma"/>
              </w:rPr>
            </w:pPr>
            <w:r w:rsidRPr="000A1C8E">
              <w:rPr>
                <w:rFonts w:cs="Tahoma"/>
              </w:rPr>
              <w:t>Exchange Online Plano 2*</w:t>
            </w:r>
          </w:p>
          <w:p w:rsidR="00D85FDD" w:rsidRPr="000A1C8E" w:rsidRDefault="00D85FDD" w:rsidP="00267755">
            <w:pPr>
              <w:numPr>
                <w:ilvl w:val="0"/>
                <w:numId w:val="38"/>
              </w:numPr>
              <w:spacing w:before="80"/>
              <w:ind w:left="905" w:hanging="540"/>
              <w:jc w:val="both"/>
              <w:rPr>
                <w:rFonts w:cs="Tahoma"/>
              </w:rPr>
            </w:pPr>
            <w:r w:rsidRPr="000A1C8E">
              <w:rPr>
                <w:rFonts w:cs="Tahoma"/>
              </w:rPr>
              <w:lastRenderedPageBreak/>
              <w:t>Exchange Online Protection</w:t>
            </w:r>
          </w:p>
          <w:p w:rsidR="00456002" w:rsidRPr="000A1C8E" w:rsidRDefault="00456002" w:rsidP="00267755">
            <w:pPr>
              <w:numPr>
                <w:ilvl w:val="0"/>
                <w:numId w:val="38"/>
              </w:numPr>
              <w:spacing w:before="80"/>
              <w:ind w:left="905" w:hanging="540"/>
              <w:jc w:val="both"/>
              <w:rPr>
                <w:rFonts w:cs="Tahoma"/>
              </w:rPr>
            </w:pPr>
            <w:r w:rsidRPr="000A1C8E">
              <w:rPr>
                <w:rFonts w:cs="Tahoma"/>
              </w:rPr>
              <w:t>Lync Online Plano 1*</w:t>
            </w:r>
          </w:p>
          <w:p w:rsidR="00456002" w:rsidRPr="000A1C8E" w:rsidRDefault="00456002" w:rsidP="00267755">
            <w:pPr>
              <w:numPr>
                <w:ilvl w:val="0"/>
                <w:numId w:val="38"/>
              </w:numPr>
              <w:spacing w:before="80"/>
              <w:ind w:left="905" w:hanging="540"/>
              <w:jc w:val="both"/>
              <w:rPr>
                <w:rFonts w:cs="Tahoma"/>
              </w:rPr>
            </w:pPr>
            <w:r w:rsidRPr="000A1C8E">
              <w:rPr>
                <w:rFonts w:cs="Tahoma"/>
              </w:rPr>
              <w:t>Lync Online Plano 2*</w:t>
            </w:r>
          </w:p>
          <w:p w:rsidR="00E77288" w:rsidRPr="000A1C8E" w:rsidRDefault="00E77288" w:rsidP="00267755">
            <w:pPr>
              <w:numPr>
                <w:ilvl w:val="0"/>
                <w:numId w:val="38"/>
              </w:numPr>
              <w:spacing w:before="80"/>
              <w:ind w:left="905" w:hanging="540"/>
              <w:jc w:val="both"/>
              <w:rPr>
                <w:rFonts w:cs="Tahoma"/>
              </w:rPr>
            </w:pPr>
            <w:r w:rsidRPr="000A1C8E">
              <w:rPr>
                <w:rFonts w:cs="Tahoma"/>
              </w:rPr>
              <w:t>Lync Online Plano 3*</w:t>
            </w:r>
          </w:p>
          <w:p w:rsidR="00456002" w:rsidRPr="000A1C8E" w:rsidRDefault="00456002" w:rsidP="00267755">
            <w:pPr>
              <w:numPr>
                <w:ilvl w:val="0"/>
                <w:numId w:val="38"/>
              </w:numPr>
              <w:spacing w:before="80"/>
              <w:ind w:left="905" w:hanging="540"/>
              <w:jc w:val="both"/>
              <w:rPr>
                <w:rFonts w:cs="Tahoma"/>
              </w:rPr>
            </w:pPr>
            <w:r w:rsidRPr="000A1C8E">
              <w:rPr>
                <w:rFonts w:cs="Tahoma"/>
              </w:rPr>
              <w:t>Office 365 (Enterprise K1)*</w:t>
            </w:r>
          </w:p>
          <w:p w:rsidR="00456002" w:rsidRPr="000A1C8E" w:rsidRDefault="00456002" w:rsidP="00267755">
            <w:pPr>
              <w:numPr>
                <w:ilvl w:val="0"/>
                <w:numId w:val="38"/>
              </w:numPr>
              <w:spacing w:before="80"/>
              <w:ind w:left="905" w:hanging="540"/>
              <w:jc w:val="both"/>
              <w:rPr>
                <w:rFonts w:cs="Tahoma"/>
              </w:rPr>
            </w:pPr>
            <w:r w:rsidRPr="000A1C8E">
              <w:rPr>
                <w:rFonts w:cs="Tahoma"/>
              </w:rPr>
              <w:t>Office 365 (Enterprise K2)*</w:t>
            </w:r>
          </w:p>
          <w:p w:rsidR="00456002" w:rsidRPr="000A1C8E" w:rsidRDefault="00456002" w:rsidP="00267755">
            <w:pPr>
              <w:numPr>
                <w:ilvl w:val="0"/>
                <w:numId w:val="38"/>
              </w:numPr>
              <w:spacing w:before="80"/>
              <w:ind w:left="905" w:hanging="540"/>
              <w:jc w:val="both"/>
              <w:rPr>
                <w:rFonts w:cs="Tahoma"/>
              </w:rPr>
            </w:pPr>
            <w:r w:rsidRPr="000A1C8E">
              <w:rPr>
                <w:rFonts w:cs="Tahoma"/>
              </w:rPr>
              <w:t>Office 365 (Enterprise E1)</w:t>
            </w:r>
          </w:p>
          <w:p w:rsidR="00456002" w:rsidRPr="000A1C8E" w:rsidRDefault="00456002" w:rsidP="00267755">
            <w:pPr>
              <w:numPr>
                <w:ilvl w:val="0"/>
                <w:numId w:val="38"/>
              </w:numPr>
              <w:spacing w:before="80"/>
              <w:ind w:left="905" w:hanging="540"/>
              <w:jc w:val="both"/>
              <w:rPr>
                <w:rFonts w:cs="Tahoma"/>
              </w:rPr>
            </w:pPr>
            <w:r w:rsidRPr="000A1C8E">
              <w:rPr>
                <w:rFonts w:cs="Tahoma"/>
              </w:rPr>
              <w:t>Office 365 (Enterprise E2)</w:t>
            </w:r>
          </w:p>
          <w:p w:rsidR="00456002" w:rsidRPr="000A1C8E" w:rsidRDefault="00456002" w:rsidP="00267755">
            <w:pPr>
              <w:numPr>
                <w:ilvl w:val="0"/>
                <w:numId w:val="38"/>
              </w:numPr>
              <w:spacing w:before="80"/>
              <w:ind w:left="895" w:hanging="530"/>
              <w:jc w:val="both"/>
              <w:rPr>
                <w:rFonts w:cs="Tahoma"/>
              </w:rPr>
            </w:pPr>
            <w:r w:rsidRPr="000A1C8E">
              <w:rPr>
                <w:rFonts w:cs="Tahoma"/>
              </w:rPr>
              <w:t>Office 365 (Enterprise E3)</w:t>
            </w:r>
          </w:p>
          <w:p w:rsidR="00456002" w:rsidRPr="000A1C8E" w:rsidRDefault="00456002" w:rsidP="00267755">
            <w:pPr>
              <w:numPr>
                <w:ilvl w:val="0"/>
                <w:numId w:val="38"/>
              </w:numPr>
              <w:spacing w:before="80"/>
              <w:ind w:left="895" w:hanging="530"/>
              <w:jc w:val="both"/>
              <w:rPr>
                <w:rFonts w:cs="Tahoma"/>
              </w:rPr>
            </w:pPr>
            <w:r w:rsidRPr="000A1C8E">
              <w:rPr>
                <w:rFonts w:cs="Tahoma"/>
              </w:rPr>
              <w:t>Office 365 (Enterprise E4)</w:t>
            </w:r>
          </w:p>
        </w:tc>
        <w:tc>
          <w:tcPr>
            <w:tcW w:w="2397" w:type="pct"/>
          </w:tcPr>
          <w:p w:rsidR="00C177EF" w:rsidRPr="000A1C8E" w:rsidRDefault="00C177EF" w:rsidP="00267755">
            <w:pPr>
              <w:numPr>
                <w:ilvl w:val="0"/>
                <w:numId w:val="38"/>
              </w:numPr>
              <w:spacing w:before="80"/>
              <w:ind w:left="725"/>
              <w:jc w:val="both"/>
              <w:rPr>
                <w:rFonts w:cs="Tahoma"/>
              </w:rPr>
            </w:pPr>
            <w:r w:rsidRPr="000A1C8E">
              <w:rPr>
                <w:rFonts w:cs="Tahoma"/>
              </w:rPr>
              <w:lastRenderedPageBreak/>
              <w:t>Microsoft Dynamics CRM Online*</w:t>
            </w:r>
          </w:p>
          <w:p w:rsidR="009E224B" w:rsidRPr="000A1C8E" w:rsidRDefault="009E224B" w:rsidP="00267755">
            <w:pPr>
              <w:numPr>
                <w:ilvl w:val="0"/>
                <w:numId w:val="38"/>
              </w:numPr>
              <w:spacing w:before="80"/>
              <w:ind w:left="725"/>
              <w:jc w:val="both"/>
              <w:rPr>
                <w:rFonts w:cs="Tahoma"/>
              </w:rPr>
            </w:pPr>
            <w:r w:rsidRPr="000A1C8E">
              <w:rPr>
                <w:rFonts w:cs="Tahoma"/>
              </w:rPr>
              <w:t>Office 365 (Government G1)</w:t>
            </w:r>
          </w:p>
          <w:p w:rsidR="009E224B" w:rsidRPr="000A1C8E" w:rsidRDefault="009E224B" w:rsidP="00267755">
            <w:pPr>
              <w:numPr>
                <w:ilvl w:val="0"/>
                <w:numId w:val="38"/>
              </w:numPr>
              <w:spacing w:before="80"/>
              <w:ind w:left="725"/>
              <w:jc w:val="both"/>
              <w:rPr>
                <w:rFonts w:cs="Tahoma"/>
              </w:rPr>
            </w:pPr>
            <w:r w:rsidRPr="000A1C8E">
              <w:rPr>
                <w:rFonts w:cs="Tahoma"/>
              </w:rPr>
              <w:t>Office 365 (Government G2)</w:t>
            </w:r>
          </w:p>
          <w:p w:rsidR="009E224B" w:rsidRPr="000A1C8E" w:rsidRDefault="009E224B" w:rsidP="00267755">
            <w:pPr>
              <w:numPr>
                <w:ilvl w:val="0"/>
                <w:numId w:val="38"/>
              </w:numPr>
              <w:spacing w:before="80"/>
              <w:ind w:left="725"/>
              <w:jc w:val="both"/>
              <w:rPr>
                <w:rFonts w:cs="Tahoma"/>
              </w:rPr>
            </w:pPr>
            <w:r w:rsidRPr="000A1C8E">
              <w:rPr>
                <w:rFonts w:cs="Tahoma"/>
              </w:rPr>
              <w:t>Office 365 (Government G3)</w:t>
            </w:r>
          </w:p>
          <w:p w:rsidR="009E224B" w:rsidRPr="000A1C8E" w:rsidRDefault="009E224B" w:rsidP="00267755">
            <w:pPr>
              <w:numPr>
                <w:ilvl w:val="0"/>
                <w:numId w:val="38"/>
              </w:numPr>
              <w:spacing w:before="80"/>
              <w:ind w:left="725"/>
              <w:jc w:val="both"/>
              <w:rPr>
                <w:rFonts w:cs="Tahoma"/>
              </w:rPr>
            </w:pPr>
            <w:r w:rsidRPr="000A1C8E">
              <w:rPr>
                <w:rFonts w:cs="Tahoma"/>
              </w:rPr>
              <w:t>Office 365 (Government G4)</w:t>
            </w:r>
          </w:p>
          <w:p w:rsidR="00456002" w:rsidRPr="000A1C8E" w:rsidRDefault="00456002" w:rsidP="00267755">
            <w:pPr>
              <w:numPr>
                <w:ilvl w:val="0"/>
                <w:numId w:val="38"/>
              </w:numPr>
              <w:spacing w:before="80"/>
              <w:ind w:left="725"/>
              <w:jc w:val="both"/>
              <w:rPr>
                <w:rFonts w:cs="Tahoma"/>
              </w:rPr>
            </w:pPr>
            <w:r w:rsidRPr="000A1C8E">
              <w:rPr>
                <w:rFonts w:cs="Tahoma"/>
              </w:rPr>
              <w:t>Office Web Applications*</w:t>
            </w:r>
          </w:p>
          <w:p w:rsidR="00C177EF" w:rsidRPr="000A1C8E" w:rsidRDefault="00C177EF" w:rsidP="00267755">
            <w:pPr>
              <w:numPr>
                <w:ilvl w:val="0"/>
                <w:numId w:val="38"/>
              </w:numPr>
              <w:spacing w:before="80"/>
              <w:ind w:left="725"/>
              <w:jc w:val="both"/>
              <w:rPr>
                <w:rFonts w:cs="Tahoma"/>
              </w:rPr>
            </w:pPr>
            <w:r w:rsidRPr="000A1C8E">
              <w:rPr>
                <w:rFonts w:cs="Tahoma"/>
              </w:rPr>
              <w:t>Project Online*</w:t>
            </w:r>
          </w:p>
          <w:p w:rsidR="00C177EF" w:rsidRPr="000A1C8E" w:rsidRDefault="00C177EF" w:rsidP="00267755">
            <w:pPr>
              <w:numPr>
                <w:ilvl w:val="0"/>
                <w:numId w:val="38"/>
              </w:numPr>
              <w:spacing w:before="80"/>
              <w:ind w:left="725"/>
              <w:jc w:val="both"/>
              <w:rPr>
                <w:rFonts w:cs="Tahoma"/>
              </w:rPr>
            </w:pPr>
            <w:r w:rsidRPr="000A1C8E">
              <w:rPr>
                <w:rFonts w:cs="Tahoma"/>
              </w:rPr>
              <w:lastRenderedPageBreak/>
              <w:t>Project Pro para Office 365*</w:t>
            </w:r>
          </w:p>
          <w:p w:rsidR="00456002" w:rsidRPr="000A1C8E" w:rsidRDefault="00456002" w:rsidP="00267755">
            <w:pPr>
              <w:numPr>
                <w:ilvl w:val="0"/>
                <w:numId w:val="38"/>
              </w:numPr>
              <w:spacing w:before="80"/>
              <w:ind w:left="725"/>
              <w:jc w:val="both"/>
              <w:rPr>
                <w:rFonts w:cs="Tahoma"/>
              </w:rPr>
            </w:pPr>
            <w:r w:rsidRPr="000A1C8E">
              <w:rPr>
                <w:rFonts w:cs="Tahoma"/>
              </w:rPr>
              <w:t>SharePoint Online Plano 1*</w:t>
            </w:r>
          </w:p>
          <w:p w:rsidR="00456002" w:rsidRPr="000A1C8E" w:rsidRDefault="00456002" w:rsidP="00267755">
            <w:pPr>
              <w:numPr>
                <w:ilvl w:val="0"/>
                <w:numId w:val="38"/>
              </w:numPr>
              <w:spacing w:before="80"/>
              <w:ind w:left="725"/>
              <w:jc w:val="both"/>
              <w:rPr>
                <w:rFonts w:cs="Tahoma"/>
              </w:rPr>
            </w:pPr>
            <w:r w:rsidRPr="000A1C8E">
              <w:rPr>
                <w:rFonts w:cs="Tahoma"/>
              </w:rPr>
              <w:t>SharePoint Online Plano 2*</w:t>
            </w:r>
          </w:p>
          <w:p w:rsidR="00456002" w:rsidRPr="000A1C8E" w:rsidRDefault="00456002" w:rsidP="00267755">
            <w:pPr>
              <w:numPr>
                <w:ilvl w:val="0"/>
                <w:numId w:val="38"/>
              </w:numPr>
              <w:spacing w:before="80"/>
              <w:ind w:left="725"/>
              <w:jc w:val="both"/>
              <w:rPr>
                <w:rFonts w:cs="Tahoma"/>
              </w:rPr>
            </w:pPr>
            <w:r w:rsidRPr="000A1C8E">
              <w:rPr>
                <w:rFonts w:cs="Tahoma"/>
              </w:rPr>
              <w:t>Acesso para Parceiros do SharePoint Online*</w:t>
            </w:r>
          </w:p>
          <w:p w:rsidR="00C177EF" w:rsidRPr="000A1C8E" w:rsidRDefault="00C177EF" w:rsidP="00267755">
            <w:pPr>
              <w:numPr>
                <w:ilvl w:val="0"/>
                <w:numId w:val="38"/>
              </w:numPr>
              <w:spacing w:before="80"/>
              <w:ind w:left="725"/>
              <w:jc w:val="both"/>
              <w:rPr>
                <w:rFonts w:cs="Tahoma"/>
              </w:rPr>
            </w:pPr>
            <w:r w:rsidRPr="000A1C8E">
              <w:rPr>
                <w:rFonts w:cs="Tahoma"/>
              </w:rPr>
              <w:t>Visio Pro para Office 365*</w:t>
            </w:r>
          </w:p>
          <w:p w:rsidR="00776E3B" w:rsidRPr="000A1C8E" w:rsidRDefault="00776E3B" w:rsidP="00267755">
            <w:pPr>
              <w:numPr>
                <w:ilvl w:val="0"/>
                <w:numId w:val="38"/>
              </w:numPr>
              <w:spacing w:before="80"/>
              <w:ind w:left="725"/>
              <w:jc w:val="both"/>
              <w:rPr>
                <w:rFonts w:cs="Tahoma"/>
              </w:rPr>
            </w:pPr>
            <w:r w:rsidRPr="000A1C8E">
              <w:rPr>
                <w:rFonts w:cs="Tahoma"/>
              </w:rPr>
              <w:t>Serviços do Windows Azure*</w:t>
            </w:r>
          </w:p>
          <w:p w:rsidR="00456002" w:rsidRPr="000A1C8E" w:rsidRDefault="00456002" w:rsidP="00267755">
            <w:pPr>
              <w:numPr>
                <w:ilvl w:val="0"/>
                <w:numId w:val="38"/>
              </w:numPr>
              <w:spacing w:before="80"/>
              <w:ind w:left="720"/>
              <w:jc w:val="both"/>
              <w:rPr>
                <w:rFonts w:cs="Tahoma"/>
              </w:rPr>
            </w:pPr>
            <w:r w:rsidRPr="000A1C8E">
              <w:rPr>
                <w:rFonts w:cs="Tahoma"/>
              </w:rPr>
              <w:t>Windows Intune</w:t>
            </w:r>
          </w:p>
          <w:p w:rsidR="00456002" w:rsidRPr="000A1C8E" w:rsidRDefault="00456002" w:rsidP="00267755">
            <w:pPr>
              <w:numPr>
                <w:ilvl w:val="0"/>
                <w:numId w:val="38"/>
              </w:numPr>
              <w:spacing w:before="80"/>
              <w:ind w:left="725"/>
              <w:jc w:val="both"/>
              <w:rPr>
                <w:rFonts w:cs="Tahoma"/>
              </w:rPr>
            </w:pPr>
            <w:r w:rsidRPr="000A1C8E">
              <w:rPr>
                <w:rFonts w:cs="Tahoma"/>
              </w:rPr>
              <w:t>Windows Intune Complementar*</w:t>
            </w:r>
          </w:p>
          <w:p w:rsidR="00F27B29" w:rsidRPr="000A1C8E" w:rsidRDefault="00F27B29" w:rsidP="00267755">
            <w:pPr>
              <w:numPr>
                <w:ilvl w:val="0"/>
                <w:numId w:val="38"/>
              </w:numPr>
              <w:spacing w:before="80" w:after="120"/>
              <w:ind w:left="720"/>
              <w:jc w:val="both"/>
              <w:rPr>
                <w:rFonts w:cs="Tahoma"/>
              </w:rPr>
            </w:pPr>
            <w:r w:rsidRPr="000A1C8E">
              <w:rPr>
                <w:rFonts w:cs="Tahoma"/>
              </w:rPr>
              <w:t>Yammer Enterprise*</w:t>
            </w:r>
          </w:p>
        </w:tc>
      </w:tr>
    </w:tbl>
    <w:p w:rsidR="00776E3B" w:rsidRPr="000A1C8E" w:rsidRDefault="00776E3B" w:rsidP="00776E3B">
      <w:pPr>
        <w:tabs>
          <w:tab w:val="left" w:pos="360"/>
        </w:tabs>
        <w:ind w:left="720"/>
        <w:rPr>
          <w:rFonts w:cs="Tahoma"/>
        </w:rPr>
      </w:pPr>
      <w:r w:rsidRPr="000A1C8E">
        <w:rPr>
          <w:rFonts w:cs="Tahoma"/>
          <w:i/>
          <w:sz w:val="16"/>
          <w:szCs w:val="20"/>
        </w:rPr>
        <w:lastRenderedPageBreak/>
        <w:t>* Produto Adicional</w:t>
      </w:r>
    </w:p>
    <w:p w:rsidR="00023FE7" w:rsidRPr="000A1C8E" w:rsidRDefault="00023FE7" w:rsidP="0033459E">
      <w:pPr>
        <w:pStyle w:val="Heading1"/>
        <w:rPr>
          <w:rFonts w:cs="Tahoma"/>
        </w:rPr>
      </w:pPr>
      <w:r w:rsidRPr="000A1C8E">
        <w:rPr>
          <w:rFonts w:cs="Tahoma"/>
        </w:rPr>
        <w:br w:type="page"/>
      </w:r>
      <w:bookmarkStart w:id="639" w:name="_Toc336338197"/>
      <w:bookmarkStart w:id="640" w:name="_Toc361829280"/>
      <w:r w:rsidRPr="000A1C8E">
        <w:rPr>
          <w:rFonts w:cs="Tahoma"/>
        </w:rPr>
        <w:lastRenderedPageBreak/>
        <w:t>seção 4 – tipos de licença e valores</w:t>
      </w:r>
      <w:bookmarkEnd w:id="639"/>
      <w:bookmarkEnd w:id="640"/>
      <w:r w:rsidRPr="000A1C8E">
        <w:rPr>
          <w:rFonts w:cs="Tahoma"/>
        </w:rPr>
        <w:t xml:space="preserve"> </w:t>
      </w:r>
    </w:p>
    <w:p w:rsidR="00023FE7" w:rsidRPr="000A1C8E" w:rsidRDefault="00023FE7">
      <w:pPr>
        <w:pStyle w:val="Heading2"/>
        <w:ind w:left="0" w:right="720"/>
        <w:rPr>
          <w:rFonts w:ascii="Tahoma" w:hAnsi="Tahoma" w:cs="Tahoma"/>
        </w:rPr>
      </w:pPr>
    </w:p>
    <w:p w:rsidR="00456002" w:rsidRPr="000A1C8E" w:rsidRDefault="00456002" w:rsidP="00456002">
      <w:pPr>
        <w:pStyle w:val="Heading2"/>
        <w:tabs>
          <w:tab w:val="left" w:pos="90"/>
        </w:tabs>
        <w:ind w:left="0" w:right="720"/>
        <w:rPr>
          <w:rFonts w:ascii="Tahoma" w:hAnsi="Tahoma" w:cs="Tahoma"/>
        </w:rPr>
      </w:pPr>
      <w:bookmarkStart w:id="641" w:name="_Toc336338198"/>
      <w:bookmarkStart w:id="642" w:name="_Toc361829281"/>
      <w:r w:rsidRPr="000A1C8E">
        <w:rPr>
          <w:rFonts w:ascii="Tahoma" w:hAnsi="Tahoma" w:cs="Tahoma"/>
        </w:rPr>
        <w:t>Valores</w:t>
      </w:r>
      <w:bookmarkEnd w:id="641"/>
      <w:bookmarkEnd w:id="642"/>
      <w:r w:rsidRPr="000A1C8E">
        <w:rPr>
          <w:rFonts w:ascii="Tahoma" w:hAnsi="Tahoma" w:cs="Tahoma"/>
        </w:rPr>
        <w:t xml:space="preserve"> </w:t>
      </w:r>
    </w:p>
    <w:p w:rsidR="00456002" w:rsidRPr="000A1C8E" w:rsidRDefault="00456002" w:rsidP="00ED589D">
      <w:pPr>
        <w:ind w:right="720"/>
        <w:rPr>
          <w:rFonts w:cs="Tahoma"/>
        </w:rPr>
      </w:pPr>
    </w:p>
    <w:p w:rsidR="00456002" w:rsidRPr="000A1C8E" w:rsidRDefault="00456002" w:rsidP="0014632E">
      <w:pPr>
        <w:pStyle w:val="AppendixBodyText"/>
        <w:spacing w:after="0"/>
        <w:ind w:right="720"/>
        <w:rPr>
          <w:rFonts w:ascii="Tahoma" w:hAnsi="Tahoma" w:cs="Tahoma"/>
          <w:spacing w:val="-2"/>
        </w:rPr>
      </w:pPr>
      <w:r w:rsidRPr="000A1C8E">
        <w:rPr>
          <w:rFonts w:ascii="Tahoma" w:hAnsi="Tahoma" w:cs="Tahoma"/>
          <w:spacing w:val="-2"/>
          <w:sz w:val="18"/>
        </w:rPr>
        <w:t>Este tipo de produto está disponível para alguns Serviços Online e produtos de software.</w:t>
      </w:r>
      <w:r w:rsidR="00DC6D8B" w:rsidRPr="000A1C8E">
        <w:rPr>
          <w:rFonts w:ascii="Tahoma" w:hAnsi="Tahoma" w:cs="Tahoma"/>
          <w:spacing w:val="-2"/>
          <w:sz w:val="18"/>
        </w:rPr>
        <w:t xml:space="preserve"> </w:t>
      </w:r>
      <w:r w:rsidRPr="000A1C8E">
        <w:rPr>
          <w:rFonts w:ascii="Tahoma" w:hAnsi="Tahoma" w:cs="Tahoma"/>
          <w:spacing w:val="-2"/>
          <w:sz w:val="18"/>
        </w:rPr>
        <w:t>Ele não é específico dessa versão.</w:t>
      </w:r>
      <w:r w:rsidR="00DC6D8B" w:rsidRPr="000A1C8E">
        <w:rPr>
          <w:rFonts w:ascii="Tahoma" w:hAnsi="Tahoma" w:cs="Tahoma"/>
          <w:spacing w:val="-2"/>
          <w:sz w:val="18"/>
        </w:rPr>
        <w:t xml:space="preserve"> </w:t>
      </w:r>
      <w:r w:rsidRPr="000A1C8E">
        <w:rPr>
          <w:rFonts w:ascii="Tahoma" w:hAnsi="Tahoma" w:cs="Tahoma"/>
          <w:spacing w:val="-2"/>
          <w:sz w:val="18"/>
        </w:rPr>
        <w:t>Pode estar associado a custos de instalação ou outras ofertas, como pacotes de ativação.</w:t>
      </w:r>
      <w:r w:rsidR="00DC6D8B" w:rsidRPr="000A1C8E">
        <w:rPr>
          <w:rFonts w:ascii="Tahoma" w:hAnsi="Tahoma" w:cs="Tahoma"/>
          <w:spacing w:val="-2"/>
          <w:sz w:val="18"/>
        </w:rPr>
        <w:t xml:space="preserve"> </w:t>
      </w:r>
      <w:r w:rsidRPr="000A1C8E">
        <w:rPr>
          <w:rFonts w:ascii="Tahoma" w:hAnsi="Tahoma" w:cs="Tahoma"/>
          <w:spacing w:val="-2"/>
          <w:sz w:val="18"/>
        </w:rPr>
        <w:t>Em geral, ele não confere direitos para usar um produto ou serviço online,</w:t>
      </w:r>
      <w:r w:rsidR="00DC6D8B" w:rsidRPr="000A1C8E">
        <w:rPr>
          <w:rFonts w:ascii="Tahoma" w:hAnsi="Tahoma" w:cs="Tahoma"/>
          <w:spacing w:val="-2"/>
          <w:sz w:val="18"/>
        </w:rPr>
        <w:t xml:space="preserve"> </w:t>
      </w:r>
      <w:r w:rsidRPr="000A1C8E">
        <w:rPr>
          <w:rFonts w:ascii="Tahoma" w:hAnsi="Tahoma" w:cs="Tahoma"/>
          <w:spacing w:val="-2"/>
          <w:sz w:val="18"/>
        </w:rPr>
        <w:t>como também não proporciona nenhum benefício nem cumpre nenhuma finalidade fora do serviço ou software ao qual corresponde.</w:t>
      </w:r>
      <w:r w:rsidR="00DC6D8B" w:rsidRPr="000A1C8E">
        <w:rPr>
          <w:rFonts w:ascii="Tahoma" w:hAnsi="Tahoma" w:cs="Tahoma"/>
          <w:spacing w:val="-2"/>
          <w:sz w:val="18"/>
        </w:rPr>
        <w:t xml:space="preserve"> </w:t>
      </w:r>
      <w:r w:rsidRPr="000A1C8E">
        <w:rPr>
          <w:rFonts w:ascii="Tahoma" w:hAnsi="Tahoma" w:cs="Tahoma"/>
          <w:spacing w:val="-2"/>
          <w:sz w:val="18"/>
        </w:rPr>
        <w:t>Estão disponíveis nos seguintes programas: Open, Open Value, Open Value Subscription, Select e Select Plus.</w:t>
      </w:r>
    </w:p>
    <w:p w:rsidR="00255158" w:rsidRPr="000A1C8E" w:rsidRDefault="00255158" w:rsidP="0014632E">
      <w:pPr>
        <w:ind w:right="720"/>
        <w:rPr>
          <w:rFonts w:cs="Tahoma"/>
        </w:rPr>
      </w:pPr>
    </w:p>
    <w:p w:rsidR="00456002" w:rsidRPr="000A1C8E" w:rsidRDefault="00456002" w:rsidP="00456002">
      <w:pPr>
        <w:pStyle w:val="Heading2"/>
        <w:tabs>
          <w:tab w:val="left" w:pos="90"/>
        </w:tabs>
        <w:ind w:left="0" w:right="720"/>
        <w:rPr>
          <w:rFonts w:ascii="Tahoma" w:hAnsi="Tahoma" w:cs="Tahoma"/>
        </w:rPr>
      </w:pPr>
      <w:bookmarkStart w:id="643" w:name="_Toc323819648"/>
      <w:bookmarkStart w:id="644" w:name="_Toc336338199"/>
      <w:bookmarkStart w:id="645" w:name="_Toc361829282"/>
      <w:r w:rsidRPr="000A1C8E">
        <w:rPr>
          <w:rFonts w:ascii="Tahoma" w:hAnsi="Tahoma" w:cs="Tahoma"/>
        </w:rPr>
        <w:t>Licença</w:t>
      </w:r>
      <w:bookmarkEnd w:id="643"/>
      <w:bookmarkEnd w:id="644"/>
      <w:bookmarkEnd w:id="645"/>
    </w:p>
    <w:p w:rsidR="00456002" w:rsidRPr="000A1C8E" w:rsidRDefault="00456002" w:rsidP="00ED589D">
      <w:pPr>
        <w:pStyle w:val="AppendixIndent"/>
        <w:tabs>
          <w:tab w:val="left" w:pos="90"/>
        </w:tabs>
        <w:spacing w:before="0"/>
        <w:ind w:left="0" w:right="720"/>
        <w:rPr>
          <w:rFonts w:ascii="Tahoma" w:hAnsi="Tahoma" w:cs="Tahoma"/>
        </w:rPr>
      </w:pPr>
    </w:p>
    <w:p w:rsidR="00456002" w:rsidRPr="000A1C8E" w:rsidRDefault="00456002" w:rsidP="0014632E">
      <w:pPr>
        <w:pStyle w:val="AppendixBodyText"/>
        <w:spacing w:after="0"/>
        <w:ind w:right="720"/>
        <w:rPr>
          <w:rFonts w:ascii="Tahoma" w:hAnsi="Tahoma" w:cs="Tahoma"/>
        </w:rPr>
      </w:pPr>
      <w:r w:rsidRPr="000A1C8E">
        <w:rPr>
          <w:rFonts w:ascii="Tahoma" w:hAnsi="Tahoma" w:cs="Tahoma"/>
          <w:sz w:val="18"/>
        </w:rPr>
        <w:t xml:space="preserve">Este tipo de produto é específico à versão e confere o direito de executar a versão do produto para a qual foi solicitado. Estão disponíveis nos seguintes programas: </w:t>
      </w:r>
    </w:p>
    <w:p w:rsidR="00456002" w:rsidRPr="000A1C8E" w:rsidRDefault="00456002" w:rsidP="0014632E">
      <w:pPr>
        <w:pStyle w:val="AppendixIndent"/>
        <w:tabs>
          <w:tab w:val="left" w:pos="90"/>
        </w:tabs>
        <w:spacing w:before="0"/>
        <w:ind w:left="0" w:right="720"/>
        <w:rPr>
          <w:rFonts w:ascii="Tahoma" w:hAnsi="Tahoma" w:cs="Tahoma"/>
        </w:rPr>
      </w:pPr>
    </w:p>
    <w:p w:rsidR="00456002" w:rsidRPr="000A1C8E" w:rsidRDefault="00456002" w:rsidP="00346F4B">
      <w:pPr>
        <w:pStyle w:val="AppendixBulletIndent"/>
        <w:numPr>
          <w:ilvl w:val="0"/>
          <w:numId w:val="59"/>
        </w:numPr>
        <w:tabs>
          <w:tab w:val="left" w:pos="90"/>
        </w:tabs>
        <w:spacing w:after="60"/>
        <w:ind w:left="1440" w:right="720"/>
        <w:rPr>
          <w:rFonts w:ascii="Tahoma" w:hAnsi="Tahoma" w:cs="Tahoma"/>
        </w:rPr>
      </w:pPr>
      <w:r w:rsidRPr="000A1C8E">
        <w:rPr>
          <w:rFonts w:ascii="Tahoma" w:hAnsi="Tahoma" w:cs="Tahoma"/>
          <w:sz w:val="18"/>
          <w:szCs w:val="18"/>
        </w:rPr>
        <w:t>Licença Open</w:t>
      </w:r>
    </w:p>
    <w:p w:rsidR="00456002" w:rsidRPr="000A1C8E" w:rsidRDefault="00456002" w:rsidP="00346F4B">
      <w:pPr>
        <w:pStyle w:val="AppendixBulletIndent"/>
        <w:numPr>
          <w:ilvl w:val="0"/>
          <w:numId w:val="59"/>
        </w:numPr>
        <w:tabs>
          <w:tab w:val="left" w:pos="90"/>
        </w:tabs>
        <w:spacing w:after="60"/>
        <w:ind w:left="1440" w:right="720"/>
        <w:rPr>
          <w:rFonts w:ascii="Tahoma" w:hAnsi="Tahoma" w:cs="Tahoma"/>
        </w:rPr>
      </w:pPr>
      <w:r w:rsidRPr="000A1C8E">
        <w:rPr>
          <w:rFonts w:ascii="Tahoma" w:hAnsi="Tahoma" w:cs="Tahoma"/>
          <w:sz w:val="18"/>
          <w:szCs w:val="18"/>
        </w:rPr>
        <w:t xml:space="preserve">Open Value Subscription [somente para pedidos com opção de compra (“buy-out”)] </w:t>
      </w:r>
    </w:p>
    <w:p w:rsidR="00456002" w:rsidRPr="000A1C8E" w:rsidRDefault="00456002" w:rsidP="00346F4B">
      <w:pPr>
        <w:pStyle w:val="AppendixBulletIndent"/>
        <w:numPr>
          <w:ilvl w:val="0"/>
          <w:numId w:val="59"/>
        </w:numPr>
        <w:tabs>
          <w:tab w:val="left" w:pos="90"/>
        </w:tabs>
        <w:spacing w:after="60"/>
        <w:ind w:left="1440" w:right="720"/>
        <w:rPr>
          <w:rFonts w:ascii="Tahoma" w:hAnsi="Tahoma" w:cs="Tahoma"/>
        </w:rPr>
      </w:pPr>
      <w:r w:rsidRPr="000A1C8E">
        <w:rPr>
          <w:rFonts w:ascii="Tahoma" w:hAnsi="Tahoma" w:cs="Tahoma"/>
          <w:sz w:val="18"/>
          <w:szCs w:val="18"/>
        </w:rPr>
        <w:t xml:space="preserve">Select </w:t>
      </w:r>
    </w:p>
    <w:p w:rsidR="00456002" w:rsidRPr="000A1C8E" w:rsidRDefault="00456002" w:rsidP="00346F4B">
      <w:pPr>
        <w:pStyle w:val="AppendixBulletIndent"/>
        <w:numPr>
          <w:ilvl w:val="0"/>
          <w:numId w:val="59"/>
        </w:numPr>
        <w:tabs>
          <w:tab w:val="left" w:pos="90"/>
        </w:tabs>
        <w:spacing w:after="60"/>
        <w:ind w:left="1440" w:right="720"/>
        <w:rPr>
          <w:rFonts w:ascii="Tahoma" w:hAnsi="Tahoma" w:cs="Tahoma"/>
        </w:rPr>
      </w:pPr>
      <w:r w:rsidRPr="000A1C8E">
        <w:rPr>
          <w:rFonts w:ascii="Tahoma" w:hAnsi="Tahoma" w:cs="Tahoma"/>
          <w:sz w:val="18"/>
          <w:szCs w:val="18"/>
        </w:rPr>
        <w:t>Select Plus</w:t>
      </w:r>
    </w:p>
    <w:p w:rsidR="00456002" w:rsidRPr="000A1C8E" w:rsidRDefault="00456002" w:rsidP="00346F4B">
      <w:pPr>
        <w:pStyle w:val="AppendixBulletIndent"/>
        <w:numPr>
          <w:ilvl w:val="0"/>
          <w:numId w:val="59"/>
        </w:numPr>
        <w:tabs>
          <w:tab w:val="left" w:pos="90"/>
        </w:tabs>
        <w:spacing w:after="60"/>
        <w:ind w:left="1440" w:right="720"/>
        <w:rPr>
          <w:rFonts w:ascii="Tahoma" w:hAnsi="Tahoma" w:cs="Tahoma"/>
        </w:rPr>
      </w:pPr>
      <w:r w:rsidRPr="000A1C8E">
        <w:rPr>
          <w:rFonts w:ascii="Tahoma" w:hAnsi="Tahoma" w:cs="Tahoma"/>
          <w:sz w:val="18"/>
          <w:szCs w:val="18"/>
        </w:rPr>
        <w:t>Contrato School (somente para pedidos com opção de compra (“buy-out”))</w:t>
      </w:r>
    </w:p>
    <w:p w:rsidR="00456002" w:rsidRPr="000A1C8E" w:rsidRDefault="00456002" w:rsidP="00346F4B">
      <w:pPr>
        <w:pStyle w:val="AppendixBulletIndent"/>
        <w:numPr>
          <w:ilvl w:val="0"/>
          <w:numId w:val="59"/>
        </w:numPr>
        <w:tabs>
          <w:tab w:val="left" w:pos="90"/>
        </w:tabs>
        <w:spacing w:after="60"/>
        <w:ind w:left="1440" w:right="720"/>
        <w:rPr>
          <w:rFonts w:ascii="Tahoma" w:hAnsi="Tahoma" w:cs="Tahoma"/>
        </w:rPr>
      </w:pPr>
      <w:r w:rsidRPr="000A1C8E">
        <w:rPr>
          <w:rFonts w:ascii="Tahoma" w:hAnsi="Tahoma" w:cs="Tahoma"/>
          <w:sz w:val="18"/>
          <w:szCs w:val="18"/>
        </w:rPr>
        <w:t>EES (somente para pedidos com opção de compra (“buy-out”))</w:t>
      </w:r>
    </w:p>
    <w:p w:rsidR="00456002" w:rsidRPr="000A1C8E" w:rsidRDefault="00456002" w:rsidP="00346F4B">
      <w:pPr>
        <w:pStyle w:val="AppendixBulletIndent"/>
        <w:numPr>
          <w:ilvl w:val="0"/>
          <w:numId w:val="59"/>
        </w:numPr>
        <w:tabs>
          <w:tab w:val="left" w:pos="90"/>
        </w:tabs>
        <w:ind w:left="1440" w:right="720"/>
        <w:rPr>
          <w:rFonts w:ascii="Tahoma" w:hAnsi="Tahoma" w:cs="Tahoma"/>
        </w:rPr>
      </w:pPr>
      <w:r w:rsidRPr="000A1C8E">
        <w:rPr>
          <w:rFonts w:ascii="Tahoma" w:hAnsi="Tahoma" w:cs="Tahoma"/>
          <w:sz w:val="18"/>
          <w:szCs w:val="18"/>
        </w:rPr>
        <w:t xml:space="preserve">Contrato Enterprise Subscription (somente para pedidos com opção de compra </w:t>
      </w:r>
      <w:r w:rsidR="00D24437" w:rsidRPr="000A1C8E">
        <w:rPr>
          <w:rFonts w:ascii="Tahoma" w:hAnsi="Tahoma" w:cs="Tahoma"/>
          <w:sz w:val="18"/>
          <w:szCs w:val="18"/>
        </w:rPr>
        <w:br/>
      </w:r>
      <w:r w:rsidRPr="000A1C8E">
        <w:rPr>
          <w:rFonts w:ascii="Tahoma" w:hAnsi="Tahoma" w:cs="Tahoma"/>
          <w:sz w:val="18"/>
          <w:szCs w:val="18"/>
        </w:rPr>
        <w:t>(“buy-out”))</w:t>
      </w:r>
    </w:p>
    <w:p w:rsidR="00456002" w:rsidRPr="000A1C8E" w:rsidRDefault="00456002" w:rsidP="0014632E">
      <w:pPr>
        <w:pStyle w:val="AppendixIndent"/>
        <w:tabs>
          <w:tab w:val="left" w:pos="90"/>
        </w:tabs>
        <w:spacing w:before="0"/>
        <w:ind w:left="0" w:right="720"/>
        <w:rPr>
          <w:rFonts w:ascii="Tahoma" w:hAnsi="Tahoma" w:cs="Tahoma"/>
        </w:rPr>
      </w:pPr>
    </w:p>
    <w:p w:rsidR="00456002" w:rsidRPr="000A1C8E" w:rsidRDefault="00456002" w:rsidP="0014632E">
      <w:pPr>
        <w:pStyle w:val="AppendixBodyText"/>
        <w:spacing w:after="0"/>
        <w:ind w:right="720"/>
        <w:rPr>
          <w:rFonts w:ascii="Tahoma" w:hAnsi="Tahoma" w:cs="Tahoma"/>
        </w:rPr>
      </w:pPr>
      <w:r w:rsidRPr="000A1C8E">
        <w:rPr>
          <w:rFonts w:ascii="Tahoma" w:hAnsi="Tahoma" w:cs="Tahoma"/>
          <w:sz w:val="18"/>
        </w:rPr>
        <w:t>Não há pré-requisitos para um cliente adquirir uma Licença nos programas Licença Open, Licença Select e</w:t>
      </w:r>
      <w:r w:rsidR="00D24437" w:rsidRPr="000A1C8E">
        <w:rPr>
          <w:rFonts w:ascii="Tahoma" w:hAnsi="Tahoma" w:cs="Tahoma"/>
          <w:sz w:val="18"/>
        </w:rPr>
        <w:t> </w:t>
      </w:r>
      <w:r w:rsidRPr="000A1C8E">
        <w:rPr>
          <w:rFonts w:ascii="Tahoma" w:hAnsi="Tahoma" w:cs="Tahoma"/>
          <w:sz w:val="18"/>
        </w:rPr>
        <w:t>Select Plus.</w:t>
      </w:r>
      <w:r w:rsidR="00DC6D8B" w:rsidRPr="000A1C8E">
        <w:rPr>
          <w:rFonts w:ascii="Tahoma" w:hAnsi="Tahoma" w:cs="Tahoma"/>
          <w:sz w:val="18"/>
        </w:rPr>
        <w:t xml:space="preserve"> </w:t>
      </w:r>
      <w:r w:rsidRPr="000A1C8E">
        <w:rPr>
          <w:rFonts w:ascii="Tahoma" w:hAnsi="Tahoma" w:cs="Tahoma"/>
          <w:sz w:val="18"/>
        </w:rPr>
        <w:t>Consulte o contrato específico do programa para saber as regras de qualificação que regem o</w:t>
      </w:r>
      <w:r w:rsidR="00D24437" w:rsidRPr="000A1C8E">
        <w:rPr>
          <w:rFonts w:ascii="Tahoma" w:hAnsi="Tahoma" w:cs="Tahoma"/>
          <w:sz w:val="18"/>
        </w:rPr>
        <w:t> </w:t>
      </w:r>
      <w:r w:rsidRPr="000A1C8E">
        <w:rPr>
          <w:rFonts w:ascii="Tahoma" w:hAnsi="Tahoma" w:cs="Tahoma"/>
          <w:sz w:val="18"/>
        </w:rPr>
        <w:t>pedido de uma licença perpétua através de pedidos com opção de compra (“buy-out”).</w:t>
      </w:r>
    </w:p>
    <w:p w:rsidR="00255158" w:rsidRPr="000A1C8E" w:rsidRDefault="00255158" w:rsidP="0014632E">
      <w:pPr>
        <w:pStyle w:val="AppendixIndent"/>
        <w:tabs>
          <w:tab w:val="left" w:pos="90"/>
        </w:tabs>
        <w:spacing w:before="0"/>
        <w:ind w:left="0" w:right="720"/>
        <w:rPr>
          <w:rFonts w:ascii="Tahoma" w:hAnsi="Tahoma" w:cs="Tahoma"/>
        </w:rPr>
      </w:pPr>
    </w:p>
    <w:p w:rsidR="00456002" w:rsidRPr="000A1C8E" w:rsidRDefault="00456002" w:rsidP="00456002">
      <w:pPr>
        <w:pStyle w:val="Heading2"/>
        <w:tabs>
          <w:tab w:val="left" w:pos="90"/>
        </w:tabs>
        <w:ind w:left="0" w:right="720"/>
        <w:rPr>
          <w:rFonts w:ascii="Tahoma" w:hAnsi="Tahoma" w:cs="Tahoma"/>
        </w:rPr>
      </w:pPr>
      <w:bookmarkStart w:id="646" w:name="_Toc323819649"/>
      <w:bookmarkStart w:id="647" w:name="_Toc336338200"/>
      <w:bookmarkStart w:id="648" w:name="_Toc361829283"/>
      <w:r w:rsidRPr="000A1C8E">
        <w:rPr>
          <w:rFonts w:ascii="Tahoma" w:hAnsi="Tahoma" w:cs="Tahoma"/>
        </w:rPr>
        <w:t>Licença e Software Assurance</w:t>
      </w:r>
      <w:bookmarkEnd w:id="646"/>
      <w:bookmarkEnd w:id="647"/>
      <w:bookmarkEnd w:id="648"/>
      <w:r w:rsidRPr="000A1C8E">
        <w:rPr>
          <w:rFonts w:ascii="Tahoma" w:hAnsi="Tahoma" w:cs="Tahoma"/>
        </w:rPr>
        <w:t xml:space="preserve"> </w:t>
      </w:r>
    </w:p>
    <w:p w:rsidR="00456002" w:rsidRPr="000A1C8E" w:rsidRDefault="00456002" w:rsidP="00ED589D">
      <w:pPr>
        <w:pStyle w:val="AppendixIndent"/>
        <w:tabs>
          <w:tab w:val="left" w:pos="90"/>
        </w:tabs>
        <w:spacing w:before="0"/>
        <w:ind w:left="0" w:right="720"/>
        <w:rPr>
          <w:rFonts w:ascii="Tahoma" w:hAnsi="Tahoma" w:cs="Tahoma"/>
        </w:rPr>
      </w:pPr>
    </w:p>
    <w:p w:rsidR="00456002" w:rsidRPr="000A1C8E" w:rsidRDefault="00456002" w:rsidP="0014632E">
      <w:pPr>
        <w:pStyle w:val="AppendixBodyText"/>
        <w:spacing w:after="0"/>
        <w:ind w:right="720"/>
        <w:rPr>
          <w:rFonts w:ascii="Tahoma" w:hAnsi="Tahoma" w:cs="Tahoma"/>
        </w:rPr>
      </w:pPr>
      <w:r w:rsidRPr="000A1C8E">
        <w:rPr>
          <w:rFonts w:ascii="Tahoma" w:hAnsi="Tahoma" w:cs="Tahoma"/>
          <w:sz w:val="18"/>
        </w:rPr>
        <w:t>Este tipo de produto não é específico à versão. Ele permite que os clientes adquiram a Licença e o Software Assurance ao mesmo tempo. Estão disponíveis nos seguintes programas:</w:t>
      </w:r>
    </w:p>
    <w:p w:rsidR="00456002" w:rsidRPr="000A1C8E" w:rsidRDefault="00456002" w:rsidP="0014632E">
      <w:pPr>
        <w:pStyle w:val="AppendixIndent"/>
        <w:tabs>
          <w:tab w:val="left" w:pos="90"/>
        </w:tabs>
        <w:spacing w:before="0"/>
        <w:ind w:left="0" w:right="720"/>
        <w:rPr>
          <w:rFonts w:ascii="Tahoma" w:hAnsi="Tahoma" w:cs="Tahoma"/>
        </w:rPr>
      </w:pPr>
    </w:p>
    <w:p w:rsidR="00456002" w:rsidRPr="000A1C8E" w:rsidRDefault="00456002" w:rsidP="00346F4B">
      <w:pPr>
        <w:pStyle w:val="AppendixBulletIndent"/>
        <w:numPr>
          <w:ilvl w:val="0"/>
          <w:numId w:val="63"/>
        </w:numPr>
        <w:tabs>
          <w:tab w:val="left" w:pos="1440"/>
        </w:tabs>
        <w:spacing w:after="60"/>
        <w:ind w:left="1440" w:right="720"/>
        <w:rPr>
          <w:rFonts w:ascii="Tahoma" w:hAnsi="Tahoma" w:cs="Tahoma"/>
        </w:rPr>
      </w:pPr>
      <w:r w:rsidRPr="000A1C8E">
        <w:rPr>
          <w:rFonts w:ascii="Tahoma" w:hAnsi="Tahoma" w:cs="Tahoma"/>
          <w:sz w:val="18"/>
        </w:rPr>
        <w:t xml:space="preserve">Open License </w:t>
      </w:r>
    </w:p>
    <w:p w:rsidR="00456002" w:rsidRPr="000A1C8E" w:rsidRDefault="00456002" w:rsidP="00346F4B">
      <w:pPr>
        <w:pStyle w:val="AppendixBulletIndent"/>
        <w:numPr>
          <w:ilvl w:val="0"/>
          <w:numId w:val="63"/>
        </w:numPr>
        <w:tabs>
          <w:tab w:val="left" w:pos="1440"/>
        </w:tabs>
        <w:spacing w:after="60"/>
        <w:ind w:left="1440" w:right="720"/>
        <w:rPr>
          <w:rFonts w:ascii="Tahoma" w:hAnsi="Tahoma" w:cs="Tahoma"/>
        </w:rPr>
      </w:pPr>
      <w:r w:rsidRPr="000A1C8E">
        <w:rPr>
          <w:rFonts w:ascii="Tahoma" w:hAnsi="Tahoma" w:cs="Tahoma"/>
          <w:sz w:val="18"/>
        </w:rPr>
        <w:t>Open Value</w:t>
      </w:r>
    </w:p>
    <w:p w:rsidR="00456002" w:rsidRPr="000A1C8E" w:rsidRDefault="00385C82" w:rsidP="00346F4B">
      <w:pPr>
        <w:pStyle w:val="AppendixBulletIndent"/>
        <w:numPr>
          <w:ilvl w:val="0"/>
          <w:numId w:val="63"/>
        </w:numPr>
        <w:tabs>
          <w:tab w:val="left" w:pos="1440"/>
        </w:tabs>
        <w:spacing w:after="60"/>
        <w:ind w:left="1440" w:right="720"/>
        <w:rPr>
          <w:rFonts w:ascii="Tahoma" w:hAnsi="Tahoma" w:cs="Tahoma"/>
        </w:rPr>
      </w:pPr>
      <w:r w:rsidRPr="000A1C8E">
        <w:rPr>
          <w:rFonts w:ascii="Tahoma" w:hAnsi="Tahoma" w:cs="Tahoma"/>
          <w:sz w:val="18"/>
        </w:rPr>
        <w:t>Open Value Subscription</w:t>
      </w:r>
    </w:p>
    <w:p w:rsidR="00456002" w:rsidRPr="000A1C8E" w:rsidRDefault="00456002" w:rsidP="00346F4B">
      <w:pPr>
        <w:pStyle w:val="AppendixBulletIndent"/>
        <w:numPr>
          <w:ilvl w:val="0"/>
          <w:numId w:val="63"/>
        </w:numPr>
        <w:tabs>
          <w:tab w:val="left" w:pos="1440"/>
        </w:tabs>
        <w:spacing w:after="60"/>
        <w:ind w:left="1440" w:right="720"/>
        <w:rPr>
          <w:rFonts w:ascii="Tahoma" w:hAnsi="Tahoma" w:cs="Tahoma"/>
        </w:rPr>
      </w:pPr>
      <w:r w:rsidRPr="000A1C8E">
        <w:rPr>
          <w:rFonts w:ascii="Tahoma" w:hAnsi="Tahoma" w:cs="Tahoma"/>
          <w:sz w:val="18"/>
        </w:rPr>
        <w:t xml:space="preserve">Select </w:t>
      </w:r>
    </w:p>
    <w:p w:rsidR="00456002" w:rsidRPr="000A1C8E" w:rsidRDefault="00456002" w:rsidP="00346F4B">
      <w:pPr>
        <w:pStyle w:val="AppendixBulletIndent"/>
        <w:numPr>
          <w:ilvl w:val="0"/>
          <w:numId w:val="63"/>
        </w:numPr>
        <w:tabs>
          <w:tab w:val="left" w:pos="1440"/>
        </w:tabs>
        <w:spacing w:after="60"/>
        <w:ind w:left="1440" w:right="720"/>
        <w:rPr>
          <w:rFonts w:ascii="Tahoma" w:hAnsi="Tahoma" w:cs="Tahoma"/>
        </w:rPr>
      </w:pPr>
      <w:r w:rsidRPr="000A1C8E">
        <w:rPr>
          <w:rFonts w:ascii="Tahoma" w:hAnsi="Tahoma" w:cs="Tahoma"/>
          <w:sz w:val="18"/>
        </w:rPr>
        <w:t>Select Plus</w:t>
      </w:r>
    </w:p>
    <w:p w:rsidR="00456002" w:rsidRPr="000A1C8E" w:rsidRDefault="00456002" w:rsidP="00346F4B">
      <w:pPr>
        <w:pStyle w:val="AppendixBulletIndent"/>
        <w:numPr>
          <w:ilvl w:val="0"/>
          <w:numId w:val="63"/>
        </w:numPr>
        <w:tabs>
          <w:tab w:val="left" w:pos="1440"/>
        </w:tabs>
        <w:spacing w:after="60"/>
        <w:ind w:left="1440" w:right="720"/>
        <w:rPr>
          <w:rFonts w:ascii="Tahoma" w:hAnsi="Tahoma" w:cs="Tahoma"/>
        </w:rPr>
      </w:pPr>
      <w:r w:rsidRPr="000A1C8E">
        <w:rPr>
          <w:rFonts w:ascii="Tahoma" w:hAnsi="Tahoma" w:cs="Tahoma"/>
          <w:sz w:val="18"/>
        </w:rPr>
        <w:t>Contrato Enterprise</w:t>
      </w:r>
    </w:p>
    <w:p w:rsidR="00456002" w:rsidRPr="000A1C8E" w:rsidRDefault="00456002" w:rsidP="00346F4B">
      <w:pPr>
        <w:pStyle w:val="AppendixBulletIndent"/>
        <w:numPr>
          <w:ilvl w:val="0"/>
          <w:numId w:val="63"/>
        </w:numPr>
        <w:tabs>
          <w:tab w:val="left" w:pos="1440"/>
        </w:tabs>
        <w:ind w:left="1440" w:right="720"/>
        <w:rPr>
          <w:rFonts w:ascii="Tahoma" w:hAnsi="Tahoma" w:cs="Tahoma"/>
        </w:rPr>
      </w:pPr>
      <w:r w:rsidRPr="000A1C8E">
        <w:rPr>
          <w:rFonts w:ascii="Tahoma" w:hAnsi="Tahoma" w:cs="Tahoma"/>
          <w:sz w:val="18"/>
        </w:rPr>
        <w:t>Contrato Enterprise Subscription</w:t>
      </w:r>
    </w:p>
    <w:p w:rsidR="00456002" w:rsidRPr="000A1C8E" w:rsidRDefault="00456002" w:rsidP="00EF6A68">
      <w:pPr>
        <w:pStyle w:val="AppendixIndent"/>
        <w:tabs>
          <w:tab w:val="left" w:pos="90"/>
        </w:tabs>
        <w:spacing w:before="0"/>
        <w:ind w:left="0" w:right="720"/>
        <w:rPr>
          <w:rFonts w:ascii="Tahoma" w:hAnsi="Tahoma" w:cs="Tahoma"/>
        </w:rPr>
      </w:pPr>
    </w:p>
    <w:p w:rsidR="00456002" w:rsidRPr="000A1C8E" w:rsidRDefault="00456002" w:rsidP="00EF6A68">
      <w:pPr>
        <w:pStyle w:val="AppendixBodyText"/>
        <w:spacing w:after="0"/>
        <w:ind w:right="720"/>
        <w:rPr>
          <w:rFonts w:ascii="Tahoma" w:hAnsi="Tahoma" w:cs="Tahoma"/>
        </w:rPr>
      </w:pPr>
      <w:r w:rsidRPr="000A1C8E">
        <w:rPr>
          <w:rFonts w:ascii="Tahoma" w:hAnsi="Tahoma" w:cs="Tahoma"/>
          <w:sz w:val="18"/>
        </w:rPr>
        <w:t>Não há pré-requisitos para adquirir a Licença O Software Assurance deverá ser adquirido por ocasião da aquisição da Licença correspondente ou na renovação do prazo de um Software Assurance existente.</w:t>
      </w:r>
      <w:r w:rsidR="00DC6D8B" w:rsidRPr="000A1C8E">
        <w:rPr>
          <w:rFonts w:ascii="Tahoma" w:hAnsi="Tahoma" w:cs="Tahoma"/>
          <w:sz w:val="18"/>
        </w:rPr>
        <w:t xml:space="preserve"> </w:t>
      </w:r>
      <w:r w:rsidRPr="000A1C8E">
        <w:rPr>
          <w:rFonts w:ascii="Tahoma" w:hAnsi="Tahoma" w:cs="Tahoma"/>
          <w:sz w:val="18"/>
        </w:rPr>
        <w:t>Em todos os Programas de Licenciamento por Volume, quando o cliente não cumprir os critérios de qualificação do Software Assurance e quiser adquiri-lo, ele deverá adquirir a oferta Licença e Software Assurance.</w:t>
      </w:r>
    </w:p>
    <w:p w:rsidR="00255158" w:rsidRPr="000A1C8E" w:rsidRDefault="00255158" w:rsidP="00EF6A68">
      <w:pPr>
        <w:rPr>
          <w:rFonts w:cs="Tahoma"/>
        </w:rPr>
      </w:pPr>
    </w:p>
    <w:p w:rsidR="0087125A" w:rsidRPr="000A1C8E" w:rsidRDefault="0087125A" w:rsidP="00EF6A68">
      <w:pPr>
        <w:rPr>
          <w:rFonts w:cs="Tahoma"/>
        </w:rPr>
      </w:pPr>
    </w:p>
    <w:p w:rsidR="0087125A" w:rsidRPr="000A1C8E" w:rsidRDefault="0087125A" w:rsidP="00EF6A68">
      <w:pPr>
        <w:rPr>
          <w:rFonts w:cs="Tahoma"/>
        </w:rPr>
      </w:pPr>
    </w:p>
    <w:p w:rsidR="0087125A" w:rsidRPr="000A1C8E" w:rsidRDefault="0087125A" w:rsidP="00EF6A68">
      <w:pPr>
        <w:rPr>
          <w:rFonts w:cs="Tahoma"/>
        </w:rPr>
      </w:pPr>
    </w:p>
    <w:p w:rsidR="0087125A" w:rsidRPr="000A1C8E" w:rsidRDefault="0087125A" w:rsidP="00EF6A68">
      <w:pPr>
        <w:rPr>
          <w:rFonts w:cs="Tahoma"/>
        </w:rPr>
      </w:pPr>
    </w:p>
    <w:p w:rsidR="00CA7FF3" w:rsidRPr="000A1C8E" w:rsidRDefault="00CA7FF3" w:rsidP="00EF6A68">
      <w:pPr>
        <w:rPr>
          <w:rFonts w:cs="Tahoma"/>
        </w:rPr>
      </w:pPr>
    </w:p>
    <w:p w:rsidR="00456002" w:rsidRPr="000A1C8E" w:rsidRDefault="00456002" w:rsidP="0087125A">
      <w:pPr>
        <w:pStyle w:val="Heading2"/>
        <w:tabs>
          <w:tab w:val="left" w:pos="90"/>
        </w:tabs>
        <w:ind w:left="0" w:right="720"/>
        <w:rPr>
          <w:rFonts w:ascii="Tahoma" w:hAnsi="Tahoma" w:cs="Tahoma"/>
        </w:rPr>
      </w:pPr>
      <w:bookmarkStart w:id="649" w:name="_Toc323819650"/>
      <w:bookmarkStart w:id="650" w:name="_Toc336338201"/>
      <w:bookmarkStart w:id="651" w:name="_Toc361829284"/>
      <w:r w:rsidRPr="000A1C8E">
        <w:rPr>
          <w:rFonts w:ascii="Tahoma" w:hAnsi="Tahoma" w:cs="Tahoma"/>
        </w:rPr>
        <w:lastRenderedPageBreak/>
        <w:t>Software Assurance</w:t>
      </w:r>
      <w:bookmarkEnd w:id="649"/>
      <w:bookmarkEnd w:id="650"/>
      <w:bookmarkEnd w:id="651"/>
    </w:p>
    <w:p w:rsidR="00456002" w:rsidRPr="000A1C8E" w:rsidRDefault="00456002" w:rsidP="0087125A">
      <w:pPr>
        <w:pStyle w:val="AppendixBodyText"/>
        <w:tabs>
          <w:tab w:val="left" w:pos="90"/>
        </w:tabs>
        <w:spacing w:after="0"/>
        <w:ind w:right="720"/>
        <w:rPr>
          <w:rFonts w:ascii="Tahoma" w:hAnsi="Tahoma" w:cs="Tahoma"/>
          <w:sz w:val="18"/>
          <w:lang w:eastAsia="ja-JP"/>
        </w:rPr>
      </w:pPr>
    </w:p>
    <w:p w:rsidR="00456002" w:rsidRPr="000A1C8E" w:rsidRDefault="00456002" w:rsidP="0087125A">
      <w:pPr>
        <w:pStyle w:val="AppendixBodyText"/>
        <w:spacing w:after="0"/>
        <w:ind w:right="720"/>
        <w:rPr>
          <w:rFonts w:ascii="Tahoma" w:hAnsi="Tahoma" w:cs="Tahoma"/>
        </w:rPr>
      </w:pPr>
      <w:r w:rsidRPr="000A1C8E">
        <w:rPr>
          <w:rFonts w:ascii="Tahoma" w:hAnsi="Tahoma" w:cs="Tahoma"/>
          <w:sz w:val="18"/>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w:t>
      </w:r>
      <w:r w:rsidR="00D24437" w:rsidRPr="000A1C8E">
        <w:rPr>
          <w:rFonts w:ascii="Tahoma" w:hAnsi="Tahoma" w:cs="Tahoma"/>
          <w:sz w:val="18"/>
        </w:rPr>
        <w:t> </w:t>
      </w:r>
      <w:r w:rsidRPr="000A1C8E">
        <w:rPr>
          <w:rFonts w:ascii="Tahoma" w:hAnsi="Tahoma" w:cs="Tahoma"/>
          <w:sz w:val="18"/>
        </w:rPr>
        <w:t>obter detalhes sobre cada benefício e política, consulte a Seção de Benefícios do Software Assurance</w:t>
      </w:r>
      <w:r w:rsidR="00D24437" w:rsidRPr="000A1C8E">
        <w:rPr>
          <w:rFonts w:ascii="Tahoma" w:hAnsi="Tahoma" w:cs="Tahoma"/>
          <w:sz w:val="18"/>
        </w:rPr>
        <w:t> </w:t>
      </w:r>
      <w:r w:rsidRPr="000A1C8E">
        <w:rPr>
          <w:rFonts w:ascii="Tahoma" w:hAnsi="Tahoma" w:cs="Tahoma"/>
          <w:sz w:val="18"/>
        </w:rPr>
        <w:t>(SA) deste documento.</w:t>
      </w:r>
    </w:p>
    <w:p w:rsidR="00456002" w:rsidRPr="000A1C8E" w:rsidRDefault="00456002" w:rsidP="00EF6A68">
      <w:pPr>
        <w:pStyle w:val="AppendixIndent"/>
        <w:tabs>
          <w:tab w:val="left" w:pos="90"/>
        </w:tabs>
        <w:spacing w:before="0"/>
        <w:ind w:left="0" w:right="720"/>
        <w:rPr>
          <w:rFonts w:ascii="Tahoma" w:hAnsi="Tahoma" w:cs="Tahoma"/>
        </w:rPr>
      </w:pPr>
    </w:p>
    <w:p w:rsidR="00456002" w:rsidRPr="000A1C8E" w:rsidRDefault="00456002" w:rsidP="00EF6A68">
      <w:pPr>
        <w:pStyle w:val="AppendixBodyText"/>
        <w:spacing w:after="0"/>
        <w:ind w:right="720"/>
        <w:rPr>
          <w:rFonts w:ascii="Tahoma" w:hAnsi="Tahoma" w:cs="Tahoma"/>
          <w:spacing w:val="-2"/>
        </w:rPr>
      </w:pPr>
      <w:r w:rsidRPr="000A1C8E">
        <w:rPr>
          <w:rFonts w:ascii="Tahoma" w:hAnsi="Tahoma" w:cs="Tahoma"/>
          <w:spacing w:val="-2"/>
          <w:sz w:val="18"/>
        </w:rPr>
        <w:t>Para obter detalhes sobre os direitos de uso relacionados a benefícios, consulte os Direitos de Uso de Produto para o Licenciamento por Volume. O Software Assurance encontra-se disponível nos seguintes programas:</w:t>
      </w:r>
    </w:p>
    <w:p w:rsidR="00456002" w:rsidRPr="000A1C8E" w:rsidRDefault="00456002" w:rsidP="00EF6A68">
      <w:pPr>
        <w:pStyle w:val="AppendixIndent"/>
        <w:tabs>
          <w:tab w:val="left" w:pos="90"/>
        </w:tabs>
        <w:spacing w:before="0"/>
        <w:ind w:left="0" w:right="720"/>
        <w:rPr>
          <w:rFonts w:ascii="Tahoma" w:hAnsi="Tahoma" w:cs="Tahoma"/>
        </w:rPr>
      </w:pPr>
    </w:p>
    <w:p w:rsidR="00456002" w:rsidRPr="000A1C8E" w:rsidRDefault="00456002" w:rsidP="00346F4B">
      <w:pPr>
        <w:pStyle w:val="AppendixBulletIndent"/>
        <w:numPr>
          <w:ilvl w:val="0"/>
          <w:numId w:val="64"/>
        </w:numPr>
        <w:tabs>
          <w:tab w:val="left" w:pos="1440"/>
        </w:tabs>
        <w:spacing w:after="60"/>
        <w:ind w:left="1440" w:right="720"/>
        <w:rPr>
          <w:rFonts w:ascii="Tahoma" w:hAnsi="Tahoma" w:cs="Tahoma"/>
        </w:rPr>
      </w:pPr>
      <w:r w:rsidRPr="000A1C8E">
        <w:rPr>
          <w:rFonts w:ascii="Tahoma" w:hAnsi="Tahoma" w:cs="Tahoma"/>
          <w:sz w:val="18"/>
        </w:rPr>
        <w:t xml:space="preserve">Open License </w:t>
      </w:r>
    </w:p>
    <w:p w:rsidR="00456002" w:rsidRPr="000A1C8E" w:rsidRDefault="00456002" w:rsidP="00346F4B">
      <w:pPr>
        <w:pStyle w:val="AppendixBulletIndent"/>
        <w:numPr>
          <w:ilvl w:val="0"/>
          <w:numId w:val="64"/>
        </w:numPr>
        <w:tabs>
          <w:tab w:val="left" w:pos="1440"/>
        </w:tabs>
        <w:spacing w:after="60"/>
        <w:ind w:left="1440" w:right="720"/>
        <w:rPr>
          <w:rFonts w:ascii="Tahoma" w:hAnsi="Tahoma" w:cs="Tahoma"/>
        </w:rPr>
      </w:pPr>
      <w:r w:rsidRPr="000A1C8E">
        <w:rPr>
          <w:rFonts w:ascii="Tahoma" w:hAnsi="Tahoma" w:cs="Tahoma"/>
          <w:sz w:val="18"/>
        </w:rPr>
        <w:t xml:space="preserve">Open Value </w:t>
      </w:r>
    </w:p>
    <w:p w:rsidR="00456002" w:rsidRPr="000A1C8E" w:rsidRDefault="00456002" w:rsidP="00346F4B">
      <w:pPr>
        <w:pStyle w:val="AppendixBulletIndent"/>
        <w:numPr>
          <w:ilvl w:val="0"/>
          <w:numId w:val="64"/>
        </w:numPr>
        <w:tabs>
          <w:tab w:val="left" w:pos="1440"/>
        </w:tabs>
        <w:spacing w:after="60"/>
        <w:ind w:left="1440" w:right="720"/>
        <w:rPr>
          <w:rFonts w:ascii="Tahoma" w:hAnsi="Tahoma" w:cs="Tahoma"/>
        </w:rPr>
      </w:pPr>
      <w:r w:rsidRPr="000A1C8E">
        <w:rPr>
          <w:rFonts w:ascii="Tahoma" w:hAnsi="Tahoma" w:cs="Tahoma"/>
          <w:sz w:val="18"/>
        </w:rPr>
        <w:t xml:space="preserve">Select </w:t>
      </w:r>
    </w:p>
    <w:p w:rsidR="00456002" w:rsidRPr="000A1C8E" w:rsidRDefault="00456002" w:rsidP="00346F4B">
      <w:pPr>
        <w:pStyle w:val="AppendixBulletIndent"/>
        <w:numPr>
          <w:ilvl w:val="0"/>
          <w:numId w:val="64"/>
        </w:numPr>
        <w:tabs>
          <w:tab w:val="left" w:pos="1440"/>
        </w:tabs>
        <w:spacing w:after="60"/>
        <w:ind w:left="1440" w:right="720"/>
        <w:rPr>
          <w:rFonts w:ascii="Tahoma" w:hAnsi="Tahoma" w:cs="Tahoma"/>
        </w:rPr>
      </w:pPr>
      <w:r w:rsidRPr="000A1C8E">
        <w:rPr>
          <w:rFonts w:ascii="Tahoma" w:hAnsi="Tahoma" w:cs="Tahoma"/>
          <w:sz w:val="18"/>
        </w:rPr>
        <w:t>Select Plus</w:t>
      </w:r>
    </w:p>
    <w:p w:rsidR="00456002" w:rsidRPr="000A1C8E" w:rsidRDefault="00456002" w:rsidP="00346F4B">
      <w:pPr>
        <w:pStyle w:val="AppendixBulletIndent"/>
        <w:numPr>
          <w:ilvl w:val="0"/>
          <w:numId w:val="64"/>
        </w:numPr>
        <w:tabs>
          <w:tab w:val="left" w:pos="1440"/>
        </w:tabs>
        <w:ind w:left="1440" w:right="720"/>
        <w:rPr>
          <w:rFonts w:ascii="Tahoma" w:hAnsi="Tahoma" w:cs="Tahoma"/>
        </w:rPr>
      </w:pPr>
      <w:r w:rsidRPr="000A1C8E">
        <w:rPr>
          <w:rFonts w:ascii="Tahoma" w:hAnsi="Tahoma" w:cs="Tahoma"/>
          <w:sz w:val="18"/>
        </w:rPr>
        <w:t>Contrato Enterprise</w:t>
      </w:r>
    </w:p>
    <w:p w:rsidR="00456002" w:rsidRPr="000A1C8E" w:rsidRDefault="00456002" w:rsidP="00B147AB">
      <w:pPr>
        <w:pStyle w:val="AppendixIndent"/>
        <w:spacing w:before="0"/>
        <w:ind w:left="0" w:right="720"/>
        <w:rPr>
          <w:rFonts w:ascii="Tahoma" w:hAnsi="Tahoma" w:cs="Tahoma"/>
        </w:rPr>
      </w:pPr>
    </w:p>
    <w:p w:rsidR="00456002" w:rsidRPr="000A1C8E" w:rsidRDefault="00456002" w:rsidP="00B147AB">
      <w:pPr>
        <w:pStyle w:val="AppendixIndent"/>
        <w:spacing w:before="0"/>
        <w:ind w:left="0" w:right="720"/>
        <w:rPr>
          <w:rFonts w:ascii="Tahoma" w:hAnsi="Tahoma" w:cs="Tahoma"/>
        </w:rPr>
      </w:pPr>
      <w:r w:rsidRPr="000A1C8E">
        <w:rPr>
          <w:rFonts w:ascii="Tahoma" w:hAnsi="Tahoma" w:cs="Tahoma"/>
          <w:sz w:val="18"/>
        </w:rPr>
        <w:t>Existem três categorias diferentes de compromisso que um cliente pode selecionar para o Software Assurance.</w:t>
      </w:r>
      <w:r w:rsidR="00DC6D8B" w:rsidRPr="000A1C8E">
        <w:rPr>
          <w:rFonts w:ascii="Tahoma" w:hAnsi="Tahoma" w:cs="Tahoma"/>
          <w:sz w:val="18"/>
        </w:rPr>
        <w:t xml:space="preserve"> </w:t>
      </w:r>
      <w:r w:rsidRPr="000A1C8E">
        <w:rPr>
          <w:rFonts w:ascii="Tahoma" w:hAnsi="Tahoma" w:cs="Tahoma"/>
          <w:sz w:val="18"/>
        </w:rPr>
        <w:t>As categorias disponíveis variam de acordo com o programa.</w:t>
      </w:r>
      <w:r w:rsidR="00DC6D8B" w:rsidRPr="000A1C8E">
        <w:rPr>
          <w:rFonts w:ascii="Tahoma" w:hAnsi="Tahoma" w:cs="Tahoma"/>
          <w:sz w:val="18"/>
        </w:rPr>
        <w:t xml:space="preserve"> </w:t>
      </w:r>
      <w:r w:rsidRPr="000A1C8E">
        <w:rPr>
          <w:rFonts w:ascii="Tahoma" w:hAnsi="Tahoma" w:cs="Tahoma"/>
          <w:sz w:val="18"/>
        </w:rPr>
        <w:t>A categoria de compromisso do</w:t>
      </w:r>
      <w:r w:rsidR="000A1C8E">
        <w:rPr>
          <w:rFonts w:ascii="Tahoma" w:hAnsi="Tahoma" w:cs="Tahoma"/>
          <w:sz w:val="18"/>
        </w:rPr>
        <w:t xml:space="preserve"> </w:t>
      </w:r>
      <w:r w:rsidRPr="000A1C8E">
        <w:rPr>
          <w:rFonts w:ascii="Tahoma" w:hAnsi="Tahoma" w:cs="Tahoma"/>
          <w:sz w:val="18"/>
        </w:rPr>
        <w:t>Software Assurance do cliente é um dos vários fatores que podem determinar o direito dele receber benefícios.</w:t>
      </w:r>
      <w:r w:rsidR="00DC6D8B" w:rsidRPr="000A1C8E">
        <w:rPr>
          <w:rFonts w:ascii="Tahoma" w:hAnsi="Tahoma" w:cs="Tahoma"/>
          <w:sz w:val="18"/>
        </w:rPr>
        <w:t xml:space="preserve"> </w:t>
      </w:r>
      <w:r w:rsidRPr="000A1C8E">
        <w:rPr>
          <w:rFonts w:ascii="Tahoma" w:hAnsi="Tahoma" w:cs="Tahoma"/>
          <w:sz w:val="18"/>
        </w:rPr>
        <w:t>Um cliente pode:</w:t>
      </w:r>
    </w:p>
    <w:p w:rsidR="004C08A3" w:rsidRPr="000A1C8E" w:rsidRDefault="004C08A3" w:rsidP="00B147AB">
      <w:pPr>
        <w:pStyle w:val="AppendixIndent"/>
        <w:spacing w:before="0"/>
        <w:ind w:left="0" w:right="720"/>
        <w:rPr>
          <w:rFonts w:ascii="Tahoma" w:hAnsi="Tahoma" w:cs="Tahoma"/>
        </w:rPr>
      </w:pPr>
    </w:p>
    <w:p w:rsidR="00456002" w:rsidRPr="000A1C8E" w:rsidRDefault="00456002" w:rsidP="00346F4B">
      <w:pPr>
        <w:pStyle w:val="AppendixIndent"/>
        <w:numPr>
          <w:ilvl w:val="0"/>
          <w:numId w:val="65"/>
        </w:numPr>
        <w:ind w:left="1440" w:right="720"/>
        <w:rPr>
          <w:rFonts w:ascii="Tahoma" w:hAnsi="Tahoma" w:cs="Tahoma"/>
        </w:rPr>
      </w:pPr>
      <w:r w:rsidRPr="000A1C8E">
        <w:rPr>
          <w:rFonts w:ascii="Tahoma" w:hAnsi="Tahoma" w:cs="Tahoma"/>
          <w:sz w:val="18"/>
        </w:rPr>
        <w:t>Comprometer-se a anexar o Software Assurance a todos os seus produtos da plataforma de desktop.</w:t>
      </w:r>
      <w:r w:rsidR="00DC6D8B" w:rsidRPr="000A1C8E">
        <w:rPr>
          <w:rFonts w:ascii="Tahoma" w:hAnsi="Tahoma" w:cs="Tahoma"/>
          <w:sz w:val="18"/>
        </w:rPr>
        <w:t xml:space="preserve"> </w:t>
      </w:r>
      <w:r w:rsidRPr="000A1C8E">
        <w:rPr>
          <w:rFonts w:ascii="Tahoma" w:hAnsi="Tahoma" w:cs="Tahoma"/>
          <w:sz w:val="18"/>
        </w:rPr>
        <w:t>Em geral, isso está disponível no Contrato Enterprise e no Open Value.</w:t>
      </w:r>
    </w:p>
    <w:p w:rsidR="00456002" w:rsidRPr="000A1C8E" w:rsidRDefault="00456002" w:rsidP="00346F4B">
      <w:pPr>
        <w:pStyle w:val="AppendixIndent"/>
        <w:numPr>
          <w:ilvl w:val="0"/>
          <w:numId w:val="65"/>
        </w:numPr>
        <w:ind w:left="1440" w:right="720"/>
        <w:rPr>
          <w:rFonts w:ascii="Tahoma" w:hAnsi="Tahoma" w:cs="Tahoma"/>
        </w:rPr>
      </w:pPr>
      <w:r w:rsidRPr="000A1C8E">
        <w:rPr>
          <w:rFonts w:ascii="Tahoma" w:hAnsi="Tahoma" w:cs="Tahoma"/>
          <w:sz w:val="18"/>
        </w:rPr>
        <w:t>Comprometer-se a anexar o Software Assurance a todas as suas compras em um pool de</w:t>
      </w:r>
      <w:r w:rsidR="00D24437" w:rsidRPr="000A1C8E">
        <w:rPr>
          <w:rFonts w:ascii="Tahoma" w:hAnsi="Tahoma" w:cs="Tahoma"/>
          <w:sz w:val="18"/>
        </w:rPr>
        <w:t> </w:t>
      </w:r>
      <w:r w:rsidRPr="000A1C8E">
        <w:rPr>
          <w:rFonts w:ascii="Tahoma" w:hAnsi="Tahoma" w:cs="Tahoma"/>
          <w:sz w:val="18"/>
        </w:rPr>
        <w:t>produtos específico (Aplicativos, Sistemas ou Servidores).</w:t>
      </w:r>
      <w:r w:rsidR="00DC6D8B" w:rsidRPr="000A1C8E">
        <w:rPr>
          <w:rFonts w:ascii="Tahoma" w:hAnsi="Tahoma" w:cs="Tahoma"/>
          <w:sz w:val="18"/>
        </w:rPr>
        <w:t xml:space="preserve"> </w:t>
      </w:r>
      <w:r w:rsidRPr="000A1C8E">
        <w:rPr>
          <w:rFonts w:ascii="Tahoma" w:hAnsi="Tahoma" w:cs="Tahoma"/>
          <w:sz w:val="18"/>
        </w:rPr>
        <w:t>Isso é conhecido como o Programa de Membros do Software Assurance (SAM). Não é necessário um compromisso de toda a empresa para com o Software Assurance. Em geral, isso está disponível no</w:t>
      </w:r>
      <w:r w:rsidR="00D24437" w:rsidRPr="000A1C8E">
        <w:rPr>
          <w:rFonts w:ascii="Tahoma" w:hAnsi="Tahoma" w:cs="Tahoma"/>
          <w:sz w:val="18"/>
        </w:rPr>
        <w:t> </w:t>
      </w:r>
      <w:r w:rsidRPr="000A1C8E">
        <w:rPr>
          <w:rFonts w:ascii="Tahoma" w:hAnsi="Tahoma" w:cs="Tahoma"/>
          <w:sz w:val="18"/>
        </w:rPr>
        <w:t>Select.</w:t>
      </w:r>
    </w:p>
    <w:p w:rsidR="00456002" w:rsidRPr="000A1C8E" w:rsidRDefault="00456002" w:rsidP="00346F4B">
      <w:pPr>
        <w:pStyle w:val="AppendixIndent"/>
        <w:numPr>
          <w:ilvl w:val="0"/>
          <w:numId w:val="65"/>
        </w:numPr>
        <w:ind w:left="1440" w:right="720"/>
        <w:rPr>
          <w:rFonts w:ascii="Tahoma" w:hAnsi="Tahoma" w:cs="Tahoma"/>
        </w:rPr>
      </w:pPr>
      <w:r w:rsidRPr="000A1C8E">
        <w:rPr>
          <w:rFonts w:ascii="Tahoma" w:hAnsi="Tahoma" w:cs="Tahoma"/>
          <w:sz w:val="18"/>
        </w:rPr>
        <w:t>Comprar o Software Assurance para produtos individuais sem assumir nenhum compromisso para expandir suas compras do Software Assurance a outros produtos.</w:t>
      </w:r>
    </w:p>
    <w:p w:rsidR="0053106B" w:rsidRPr="000A1C8E" w:rsidRDefault="0053106B" w:rsidP="00EF6A68">
      <w:pPr>
        <w:pStyle w:val="AppendixBodyText"/>
        <w:spacing w:after="0"/>
        <w:ind w:right="720"/>
        <w:rPr>
          <w:rFonts w:ascii="Tahoma" w:hAnsi="Tahoma" w:cs="Tahoma"/>
        </w:rPr>
      </w:pPr>
    </w:p>
    <w:p w:rsidR="00456002" w:rsidRPr="000A1C8E" w:rsidRDefault="00456002" w:rsidP="00B147AB">
      <w:pPr>
        <w:pStyle w:val="AppendixBodyText"/>
        <w:spacing w:after="0"/>
        <w:ind w:right="720"/>
        <w:rPr>
          <w:rFonts w:ascii="Tahoma" w:hAnsi="Tahoma" w:cs="Tahoma"/>
        </w:rPr>
      </w:pPr>
      <w:r w:rsidRPr="000A1C8E">
        <w:rPr>
          <w:rFonts w:ascii="Tahoma" w:hAnsi="Tahoma" w:cs="Tahoma"/>
          <w:sz w:val="18"/>
        </w:rPr>
        <w:t>O Software Assurance deverá ser adquirido por ocasião da aquisição da Licença ou na renovação do prazo de um Software Assurance existente.</w:t>
      </w:r>
      <w:r w:rsidR="00DC6D8B" w:rsidRPr="000A1C8E">
        <w:rPr>
          <w:rFonts w:ascii="Tahoma" w:hAnsi="Tahoma" w:cs="Tahoma"/>
          <w:sz w:val="18"/>
        </w:rPr>
        <w:t xml:space="preserve"> </w:t>
      </w:r>
      <w:r w:rsidRPr="000A1C8E">
        <w:rPr>
          <w:rFonts w:ascii="Tahoma" w:hAnsi="Tahoma" w:cs="Tahoma"/>
          <w:sz w:val="18"/>
        </w:rPr>
        <w:t>Caso contrário, eles deverão adquirir uma nova Licença ou Licença e</w:t>
      </w:r>
      <w:r w:rsidR="00D24437" w:rsidRPr="000A1C8E">
        <w:rPr>
          <w:rFonts w:ascii="Tahoma" w:hAnsi="Tahoma" w:cs="Tahoma"/>
          <w:sz w:val="18"/>
        </w:rPr>
        <w:t> </w:t>
      </w:r>
      <w:r w:rsidRPr="000A1C8E">
        <w:rPr>
          <w:rFonts w:ascii="Tahoma" w:hAnsi="Tahoma" w:cs="Tahoma"/>
          <w:sz w:val="18"/>
        </w:rPr>
        <w:t>Software Assurance a fim de atualizar sua Licença posteriormente (no caso do Sistema Operacional Windows Desktop, as opções são atualização e Software Assurance).</w:t>
      </w:r>
      <w:r w:rsidR="00DC6D8B" w:rsidRPr="000A1C8E">
        <w:rPr>
          <w:rFonts w:ascii="Tahoma" w:hAnsi="Tahoma" w:cs="Tahoma"/>
          <w:sz w:val="18"/>
        </w:rPr>
        <w:t xml:space="preserve"> </w:t>
      </w:r>
      <w:r w:rsidRPr="000A1C8E">
        <w:rPr>
          <w:rFonts w:ascii="Tahoma" w:hAnsi="Tahoma" w:cs="Tahoma"/>
          <w:sz w:val="18"/>
        </w:rPr>
        <w:t>Consulte a seção sobre regras de renovação e o contrato do programa específico para saber as regras de qualificação que regem a aquisição do Software Assurance.</w:t>
      </w:r>
    </w:p>
    <w:p w:rsidR="004C08A3" w:rsidRPr="000A1C8E" w:rsidRDefault="004C08A3" w:rsidP="00B147AB">
      <w:pPr>
        <w:pStyle w:val="AppendixBodyText"/>
        <w:spacing w:after="0"/>
        <w:ind w:right="720"/>
        <w:rPr>
          <w:rFonts w:ascii="Tahoma" w:hAnsi="Tahoma" w:cs="Tahoma"/>
        </w:rPr>
      </w:pPr>
    </w:p>
    <w:p w:rsidR="00456002" w:rsidRPr="000A1C8E" w:rsidRDefault="00456002" w:rsidP="00B147AB">
      <w:pPr>
        <w:pStyle w:val="AppendixBodyText"/>
        <w:spacing w:after="0"/>
        <w:ind w:right="720"/>
        <w:rPr>
          <w:rFonts w:ascii="Tahoma" w:hAnsi="Tahoma" w:cs="Tahoma"/>
        </w:rPr>
      </w:pPr>
      <w:r w:rsidRPr="000A1C8E">
        <w:rPr>
          <w:rFonts w:ascii="Tahoma" w:hAnsi="Tahoma" w:cs="Tahoma"/>
          <w:sz w:val="18"/>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rsidR="004C08A3" w:rsidRPr="000A1C8E" w:rsidRDefault="004C08A3" w:rsidP="00B147AB">
      <w:pPr>
        <w:pStyle w:val="AppendixBodyText"/>
        <w:spacing w:after="0"/>
        <w:ind w:right="720"/>
        <w:rPr>
          <w:rFonts w:ascii="Tahoma" w:hAnsi="Tahoma" w:cs="Tahoma"/>
        </w:rPr>
      </w:pPr>
    </w:p>
    <w:p w:rsidR="00456002" w:rsidRPr="000A1C8E" w:rsidRDefault="00456002" w:rsidP="00B147AB">
      <w:pPr>
        <w:pStyle w:val="AppendixBodyText"/>
        <w:spacing w:after="0"/>
        <w:ind w:right="720"/>
        <w:rPr>
          <w:rFonts w:ascii="Tahoma" w:hAnsi="Tahoma" w:cs="Tahoma"/>
        </w:rPr>
      </w:pPr>
      <w:r w:rsidRPr="000A1C8E">
        <w:rPr>
          <w:rFonts w:ascii="Tahoma" w:hAnsi="Tahoma" w:cs="Tahoma"/>
          <w:sz w:val="18"/>
        </w:rPr>
        <w:t>Os clientes poderão ter a opção de adquirir o Software Assurance para determinadas licenças compradas no</w:t>
      </w:r>
      <w:r w:rsidR="00D24437" w:rsidRPr="000A1C8E">
        <w:rPr>
          <w:rFonts w:ascii="Tahoma" w:hAnsi="Tahoma" w:cs="Tahoma"/>
          <w:sz w:val="18"/>
        </w:rPr>
        <w:t> </w:t>
      </w:r>
      <w:r w:rsidRPr="000A1C8E">
        <w:rPr>
          <w:rFonts w:ascii="Tahoma" w:hAnsi="Tahoma" w:cs="Tahoma"/>
          <w:sz w:val="18"/>
        </w:rPr>
        <w:t>canal de Distribuição (produto em caixa) ou com um OEM (Fabricante de Equipamento Original). A</w:t>
      </w:r>
      <w:r w:rsidR="00D24437" w:rsidRPr="000A1C8E">
        <w:rPr>
          <w:rFonts w:ascii="Tahoma" w:hAnsi="Tahoma" w:cs="Tahoma"/>
          <w:sz w:val="18"/>
        </w:rPr>
        <w:t> </w:t>
      </w:r>
      <w:r w:rsidRPr="000A1C8E">
        <w:rPr>
          <w:rFonts w:ascii="Tahoma" w:hAnsi="Tahoma" w:cs="Tahoma"/>
          <w:sz w:val="18"/>
        </w:rPr>
        <w:t>qualificação varia de acordo com o programa, o pool de produtos e a fonte da licença (veja abaixo).</w:t>
      </w:r>
      <w:r w:rsidR="00DC6D8B" w:rsidRPr="000A1C8E">
        <w:rPr>
          <w:rFonts w:ascii="Tahoma" w:hAnsi="Tahoma" w:cs="Tahoma"/>
          <w:sz w:val="18"/>
        </w:rPr>
        <w:t xml:space="preserve"> </w:t>
      </w:r>
      <w:r w:rsidRPr="000A1C8E">
        <w:rPr>
          <w:rFonts w:ascii="Tahoma" w:hAnsi="Tahoma" w:cs="Tahoma"/>
          <w:sz w:val="18"/>
        </w:rPr>
        <w:t>Em</w:t>
      </w:r>
      <w:r w:rsidR="00D24437" w:rsidRPr="000A1C8E">
        <w:rPr>
          <w:rFonts w:ascii="Tahoma" w:hAnsi="Tahoma" w:cs="Tahoma"/>
          <w:sz w:val="18"/>
        </w:rPr>
        <w:t> </w:t>
      </w:r>
      <w:r w:rsidRPr="000A1C8E">
        <w:rPr>
          <w:rFonts w:ascii="Tahoma" w:hAnsi="Tahoma" w:cs="Tahoma"/>
          <w:sz w:val="18"/>
        </w:rPr>
        <w:t>todos os casos, a menos que seja indicado ao contrário, somente as licenças da versão mais recente de um produto estarão qualificadas, e o Software Assurance deverá ser adquirido no prazo de 90 dias a partir da data de aquisição das licenças.</w:t>
      </w:r>
      <w:r w:rsidR="00DC6D8B" w:rsidRPr="000A1C8E">
        <w:rPr>
          <w:rFonts w:ascii="Tahoma" w:hAnsi="Tahoma" w:cs="Tahoma"/>
          <w:sz w:val="18"/>
        </w:rPr>
        <w:t xml:space="preserve"> </w:t>
      </w:r>
      <w:r w:rsidRPr="000A1C8E">
        <w:rPr>
          <w:rFonts w:ascii="Tahoma" w:hAnsi="Tahoma" w:cs="Tahoma"/>
          <w:sz w:val="18"/>
        </w:rPr>
        <w:t>No Open Value, essa opção aplica-se apenas a produtos com licença não extensiva a toda a Organização/Empresa.</w:t>
      </w:r>
      <w:r w:rsidR="00DC6D8B" w:rsidRPr="000A1C8E">
        <w:rPr>
          <w:rFonts w:ascii="Tahoma" w:hAnsi="Tahoma" w:cs="Tahoma"/>
          <w:sz w:val="18"/>
        </w:rPr>
        <w:t xml:space="preserve"> </w:t>
      </w:r>
      <w:r w:rsidRPr="000A1C8E">
        <w:rPr>
          <w:rFonts w:ascii="Tahoma" w:hAnsi="Tahoma" w:cs="Tahoma"/>
          <w:sz w:val="18"/>
        </w:rPr>
        <w:t>Nos Contratos Enterprise, aplica-se apenas a Produtos Adicionais no prazo de 90 dias.</w:t>
      </w:r>
      <w:r w:rsidR="00DC6D8B" w:rsidRPr="000A1C8E">
        <w:rPr>
          <w:rFonts w:ascii="Tahoma" w:hAnsi="Tahoma" w:cs="Tahoma"/>
          <w:sz w:val="18"/>
        </w:rPr>
        <w:t xml:space="preserve"> </w:t>
      </w:r>
      <w:r w:rsidRPr="000A1C8E">
        <w:rPr>
          <w:rFonts w:ascii="Tahoma" w:hAnsi="Tahoma" w:cs="Tahoma"/>
          <w:sz w:val="18"/>
        </w:rPr>
        <w:t>Os clientes que adquirirem o Software Assurance para licenças OEM ou licenças para o</w:t>
      </w:r>
      <w:r w:rsidR="000A1C8E">
        <w:rPr>
          <w:rFonts w:ascii="Tahoma" w:hAnsi="Tahoma" w:cs="Tahoma"/>
          <w:sz w:val="18"/>
        </w:rPr>
        <w:t xml:space="preserve"> </w:t>
      </w:r>
      <w:r w:rsidRPr="000A1C8E">
        <w:rPr>
          <w:rFonts w:ascii="Tahoma" w:hAnsi="Tahoma" w:cs="Tahoma"/>
          <w:sz w:val="18"/>
        </w:rPr>
        <w:t>varejo têm a opção de instalar e usar o software do Licenciamento por Volume para a versão atual a qualquer momento.</w:t>
      </w:r>
      <w:r w:rsidR="00DC6D8B" w:rsidRPr="000A1C8E">
        <w:rPr>
          <w:rFonts w:ascii="Tahoma" w:hAnsi="Tahoma" w:cs="Tahoma"/>
          <w:sz w:val="18"/>
        </w:rPr>
        <w:t xml:space="preserve"> </w:t>
      </w:r>
      <w:r w:rsidRPr="000A1C8E">
        <w:rPr>
          <w:rFonts w:ascii="Tahoma" w:hAnsi="Tahoma" w:cs="Tahoma"/>
          <w:sz w:val="18"/>
        </w:rPr>
        <w:t>Nesse caso, o uso do software estará sujeito aos Direitos de Uso de Produto e aos termos e às condições do contrato de licenciamento por volume do cliente.</w:t>
      </w:r>
    </w:p>
    <w:p w:rsidR="00456002" w:rsidRPr="000A1C8E" w:rsidRDefault="00456002" w:rsidP="00B147AB">
      <w:pPr>
        <w:pStyle w:val="AppendixIndent"/>
        <w:spacing w:before="0"/>
        <w:ind w:left="0" w:right="720"/>
        <w:rPr>
          <w:rFonts w:ascii="Tahoma" w:hAnsi="Tahoma" w:cs="Tahoma"/>
        </w:rPr>
      </w:pPr>
    </w:p>
    <w:p w:rsidR="0087125A" w:rsidRPr="000A1C8E" w:rsidRDefault="0087125A" w:rsidP="00B147AB">
      <w:pPr>
        <w:pStyle w:val="AppendixIndent"/>
        <w:spacing w:before="0"/>
        <w:ind w:left="0" w:right="720"/>
        <w:rPr>
          <w:rFonts w:ascii="Tahoma" w:hAnsi="Tahoma" w:cs="Tahoma"/>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0A1C8E"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0A1C8E" w:rsidRDefault="00456002" w:rsidP="005C647E">
            <w:pPr>
              <w:pStyle w:val="AppendixTableHeadings"/>
              <w:rPr>
                <w:rFonts w:ascii="Tahoma" w:hAnsi="Tahoma" w:cs="Tahoma"/>
                <w:sz w:val="20"/>
                <w:szCs w:val="20"/>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0A1C8E" w:rsidRDefault="00456002" w:rsidP="005C647E">
            <w:pPr>
              <w:pStyle w:val="AppendixTableHeadings"/>
              <w:rPr>
                <w:rFonts w:ascii="Tahoma" w:hAnsi="Tahoma" w:cs="Tahoma"/>
                <w:sz w:val="20"/>
              </w:rPr>
            </w:pPr>
            <w:r w:rsidRPr="000A1C8E">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0A1C8E" w:rsidRDefault="00456002" w:rsidP="005C647E">
            <w:pPr>
              <w:pStyle w:val="AppendixTableHeadings"/>
              <w:rPr>
                <w:rFonts w:ascii="Tahoma" w:hAnsi="Tahoma" w:cs="Tahoma"/>
                <w:sz w:val="20"/>
              </w:rPr>
            </w:pPr>
            <w:r w:rsidRPr="000A1C8E">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0A1C8E" w:rsidRDefault="00456002" w:rsidP="005C647E">
            <w:pPr>
              <w:pStyle w:val="AppendixTableHeadings"/>
              <w:rPr>
                <w:rFonts w:ascii="Tahoma" w:hAnsi="Tahoma" w:cs="Tahoma"/>
                <w:sz w:val="20"/>
              </w:rPr>
            </w:pPr>
            <w:r w:rsidRPr="000A1C8E">
              <w:rPr>
                <w:rFonts w:ascii="Tahoma" w:hAnsi="Tahoma" w:cs="Tahoma"/>
                <w:sz w:val="20"/>
              </w:rPr>
              <w:t>Programas</w:t>
            </w:r>
          </w:p>
        </w:tc>
      </w:tr>
      <w:tr w:rsidR="00456002" w:rsidRPr="000A1C8E" w:rsidTr="00D24437">
        <w:trPr>
          <w:trHeight w:val="521"/>
        </w:trPr>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b/>
                <w:color w:val="000000"/>
                <w:sz w:val="20"/>
                <w:szCs w:val="20"/>
              </w:rPr>
            </w:pPr>
            <w:r w:rsidRPr="000A1C8E">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color w:val="000000"/>
              </w:rPr>
            </w:pPr>
            <w:r w:rsidRPr="000A1C8E">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color w:val="000000"/>
              </w:rPr>
            </w:pPr>
            <w:r w:rsidRPr="000A1C8E">
              <w:rPr>
                <w:rFonts w:ascii="Tahoma" w:hAnsi="Tahoma" w:cs="Tahoma"/>
                <w:color w:val="000000"/>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0A1C8E" w:rsidRDefault="00456002" w:rsidP="005C647E">
            <w:pPr>
              <w:pStyle w:val="AppendixTableText"/>
              <w:jc w:val="left"/>
              <w:rPr>
                <w:rFonts w:ascii="Tahoma" w:hAnsi="Tahoma" w:cs="Tahoma"/>
                <w:color w:val="000000"/>
              </w:rPr>
            </w:pPr>
            <w:r w:rsidRPr="000A1C8E">
              <w:rPr>
                <w:rFonts w:ascii="Tahoma" w:hAnsi="Tahoma" w:cs="Tahoma"/>
                <w:color w:val="000000"/>
              </w:rPr>
              <w:t xml:space="preserve">Aplica-se a Licença Open, Select, Select Plus e Licença não </w:t>
            </w:r>
            <w:r w:rsidRPr="000A1C8E">
              <w:rPr>
                <w:rFonts w:ascii="Tahoma" w:hAnsi="Tahoma" w:cs="Tahoma"/>
              </w:rPr>
              <w:t>extensiva a toda a Organização/</w:t>
            </w:r>
            <w:r w:rsidR="00D24437" w:rsidRPr="000A1C8E">
              <w:rPr>
                <w:rFonts w:ascii="Tahoma" w:hAnsi="Tahoma" w:cs="Tahoma"/>
              </w:rPr>
              <w:t xml:space="preserve"> </w:t>
            </w:r>
            <w:r w:rsidRPr="000A1C8E">
              <w:rPr>
                <w:rFonts w:ascii="Tahoma" w:hAnsi="Tahoma" w:cs="Tahoma"/>
              </w:rPr>
              <w:t>Empresa</w:t>
            </w:r>
            <w:r w:rsidRPr="000A1C8E">
              <w:rPr>
                <w:rFonts w:ascii="Tahoma" w:hAnsi="Tahoma" w:cs="Tahoma"/>
                <w:color w:val="000000"/>
              </w:rPr>
              <w:t xml:space="preserve"> sob Open Value e Produtos Adicionais sob Contratos Enterprise. Não se aplica a Produtos Enterprise sob Open Value e Contratos Enterprise</w:t>
            </w:r>
          </w:p>
        </w:tc>
      </w:tr>
      <w:tr w:rsidR="00456002" w:rsidRPr="000A1C8E"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b/>
                <w:color w:val="000000"/>
                <w:sz w:val="20"/>
                <w:szCs w:val="20"/>
              </w:rPr>
            </w:pPr>
            <w:r w:rsidRPr="000A1C8E">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color w:val="000000"/>
              </w:rPr>
            </w:pPr>
            <w:r w:rsidRPr="000A1C8E">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color w:val="000000"/>
              </w:rPr>
            </w:pPr>
            <w:r w:rsidRPr="000A1C8E">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rPr>
                <w:rFonts w:cs="Tahoma"/>
                <w:color w:val="000000"/>
                <w:szCs w:val="18"/>
              </w:rPr>
            </w:pPr>
          </w:p>
        </w:tc>
      </w:tr>
      <w:tr w:rsidR="00456002" w:rsidRPr="000A1C8E"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b/>
                <w:color w:val="000000"/>
                <w:sz w:val="20"/>
                <w:szCs w:val="20"/>
              </w:rPr>
            </w:pPr>
            <w:r w:rsidRPr="000A1C8E">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color w:val="000000"/>
              </w:rPr>
            </w:pPr>
            <w:r w:rsidRPr="000A1C8E">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pStyle w:val="AppendixTableText"/>
              <w:rPr>
                <w:rFonts w:ascii="Tahoma" w:hAnsi="Tahoma" w:cs="Tahoma"/>
                <w:color w:val="000000"/>
              </w:rPr>
            </w:pPr>
            <w:r w:rsidRPr="000A1C8E">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0A1C8E" w:rsidRDefault="00456002" w:rsidP="005C647E">
            <w:pPr>
              <w:rPr>
                <w:rFonts w:cs="Tahoma"/>
                <w:color w:val="000000"/>
                <w:szCs w:val="18"/>
              </w:rPr>
            </w:pPr>
          </w:p>
        </w:tc>
      </w:tr>
    </w:tbl>
    <w:p w:rsidR="00456002" w:rsidRPr="000A1C8E" w:rsidRDefault="00456002" w:rsidP="00456002">
      <w:pPr>
        <w:ind w:right="720"/>
        <w:rPr>
          <w:rFonts w:cs="Tahoma"/>
        </w:rPr>
      </w:pPr>
    </w:p>
    <w:p w:rsidR="00456002" w:rsidRPr="000A1C8E" w:rsidRDefault="00456002" w:rsidP="00B147AB">
      <w:pPr>
        <w:pStyle w:val="AppendixBodyText"/>
        <w:spacing w:after="0"/>
        <w:ind w:right="720"/>
        <w:rPr>
          <w:rFonts w:ascii="Tahoma" w:hAnsi="Tahoma" w:cs="Tahoma"/>
        </w:rPr>
      </w:pPr>
      <w:r w:rsidRPr="000A1C8E">
        <w:rPr>
          <w:rFonts w:ascii="Tahoma" w:hAnsi="Tahoma" w:cs="Tahoma"/>
          <w:sz w:val="18"/>
          <w:szCs w:val="18"/>
        </w:rPr>
        <w:t>Os clientes que adquirirem o Microsoft Office Professional 2010 com um OEM poderão adquirir o Software Assurance para Microsoft Office Standard 2010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rsidR="00255158" w:rsidRPr="000A1C8E" w:rsidRDefault="00255158" w:rsidP="00B147AB">
      <w:pPr>
        <w:pStyle w:val="AppendixBodyText"/>
        <w:spacing w:after="0"/>
        <w:ind w:right="720"/>
        <w:rPr>
          <w:rFonts w:ascii="Tahoma" w:hAnsi="Tahoma" w:cs="Tahoma"/>
        </w:rPr>
      </w:pPr>
    </w:p>
    <w:p w:rsidR="00456002" w:rsidRPr="000A1C8E" w:rsidRDefault="00456002" w:rsidP="00456002">
      <w:pPr>
        <w:pStyle w:val="Heading2"/>
        <w:ind w:left="0" w:right="720"/>
        <w:rPr>
          <w:rFonts w:ascii="Tahoma" w:hAnsi="Tahoma" w:cs="Tahoma"/>
        </w:rPr>
      </w:pPr>
      <w:bookmarkStart w:id="652" w:name="_Toc323819651"/>
      <w:bookmarkStart w:id="653" w:name="_Toc336338202"/>
      <w:bookmarkStart w:id="654" w:name="_Toc361829285"/>
      <w:r w:rsidRPr="000A1C8E">
        <w:rPr>
          <w:rFonts w:ascii="Tahoma" w:hAnsi="Tahoma" w:cs="Tahoma"/>
        </w:rPr>
        <w:t>Licenças Step-up</w:t>
      </w:r>
      <w:bookmarkEnd w:id="652"/>
      <w:bookmarkEnd w:id="653"/>
      <w:bookmarkEnd w:id="654"/>
    </w:p>
    <w:p w:rsidR="00456002" w:rsidRPr="000A1C8E" w:rsidRDefault="00456002" w:rsidP="00B147AB">
      <w:pPr>
        <w:ind w:right="720"/>
        <w:rPr>
          <w:rFonts w:cs="Tahoma"/>
        </w:rPr>
      </w:pPr>
    </w:p>
    <w:p w:rsidR="00456002" w:rsidRPr="000A1C8E" w:rsidRDefault="00456002" w:rsidP="00B147AB">
      <w:pPr>
        <w:pStyle w:val="AppendixIndent"/>
        <w:ind w:left="0" w:right="720"/>
        <w:rPr>
          <w:rFonts w:ascii="Tahoma" w:hAnsi="Tahoma" w:cs="Tahoma"/>
          <w:sz w:val="18"/>
          <w:szCs w:val="18"/>
        </w:rPr>
      </w:pPr>
      <w:r w:rsidRPr="000A1C8E">
        <w:rPr>
          <w:rFonts w:ascii="Tahoma" w:hAnsi="Tahoma" w:cs="Tahoma"/>
          <w:sz w:val="18"/>
          <w:szCs w:val="18"/>
        </w:rPr>
        <w:t>Os clientes podem migrar da edição padrão para uma edição premium de determinados produtos com uma</w:t>
      </w:r>
      <w:r w:rsidR="00D24437" w:rsidRPr="000A1C8E">
        <w:rPr>
          <w:rFonts w:ascii="Tahoma" w:hAnsi="Tahoma" w:cs="Tahoma"/>
          <w:sz w:val="18"/>
          <w:szCs w:val="18"/>
        </w:rPr>
        <w:t> </w:t>
      </w:r>
      <w:r w:rsidRPr="000A1C8E">
        <w:rPr>
          <w:rFonts w:ascii="Tahoma" w:hAnsi="Tahoma" w:cs="Tahoma"/>
          <w:sz w:val="18"/>
          <w:szCs w:val="18"/>
        </w:rPr>
        <w:t xml:space="preserve">Licença Step-up. Os clientes devem ter uma licença com Software </w:t>
      </w:r>
      <w:r w:rsidRPr="000A1C8E">
        <w:rPr>
          <w:rFonts w:ascii="Tahoma" w:hAnsi="Tahoma" w:cs="Tahoma"/>
          <w:color w:val="000000"/>
          <w:sz w:val="18"/>
          <w:szCs w:val="18"/>
        </w:rPr>
        <w:t>Assurance ativo para o produto qualificado para adquirir essa Licença Step-up.</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A Licença Step-up deve ser adquirida, e é válida apenas quando adquirida, sob os mesmos contrato e registro do Programa de Licenciamento por Volume (se</w:t>
      </w:r>
      <w:r w:rsidR="00D24437" w:rsidRPr="000A1C8E">
        <w:rPr>
          <w:rFonts w:ascii="Tahoma" w:hAnsi="Tahoma" w:cs="Tahoma"/>
          <w:color w:val="000000"/>
          <w:sz w:val="18"/>
          <w:szCs w:val="18"/>
        </w:rPr>
        <w:t> </w:t>
      </w:r>
      <w:r w:rsidRPr="000A1C8E">
        <w:rPr>
          <w:rFonts w:ascii="Tahoma" w:hAnsi="Tahoma" w:cs="Tahoma"/>
          <w:color w:val="000000"/>
          <w:sz w:val="18"/>
          <w:szCs w:val="18"/>
        </w:rPr>
        <w:t>houver), sob o qual a cobertura de proteção de atualização do produto qualificado foi originalmente adquirida. O direito de uso de software do cliente sob uma licença Step-up está condicionado à posse e</w:t>
      </w:r>
      <w:r w:rsidR="00D24437" w:rsidRPr="000A1C8E">
        <w:rPr>
          <w:rFonts w:ascii="Tahoma" w:hAnsi="Tahoma" w:cs="Tahoma"/>
          <w:color w:val="000000"/>
          <w:sz w:val="18"/>
          <w:szCs w:val="18"/>
        </w:rPr>
        <w:t> </w:t>
      </w:r>
      <w:r w:rsidRPr="000A1C8E">
        <w:rPr>
          <w:rFonts w:ascii="Tahoma" w:hAnsi="Tahoma" w:cs="Tahoma"/>
          <w:color w:val="000000"/>
          <w:sz w:val="18"/>
          <w:szCs w:val="18"/>
        </w:rPr>
        <w:t xml:space="preserve">manutenção de uma Licença do </w:t>
      </w:r>
      <w:r w:rsidRPr="000A1C8E">
        <w:rPr>
          <w:rFonts w:ascii="Tahoma" w:hAnsi="Tahoma" w:cs="Tahoma"/>
          <w:sz w:val="18"/>
          <w:szCs w:val="18"/>
        </w:rPr>
        <w:t>produto qualificado.</w:t>
      </w:r>
      <w:r w:rsidR="00DC6D8B" w:rsidRPr="000A1C8E">
        <w:rPr>
          <w:rFonts w:ascii="Tahoma" w:hAnsi="Tahoma" w:cs="Tahoma"/>
          <w:sz w:val="18"/>
          <w:szCs w:val="18"/>
        </w:rPr>
        <w:t xml:space="preserve"> </w:t>
      </w:r>
      <w:r w:rsidRPr="000A1C8E">
        <w:rPr>
          <w:rFonts w:ascii="Tahoma" w:hAnsi="Tahoma" w:cs="Tahoma"/>
          <w:sz w:val="18"/>
          <w:szCs w:val="18"/>
        </w:rPr>
        <w:t>Os clientes não podem transferir a Licença do produto qualificado separadamente da licença Step-up.</w:t>
      </w:r>
      <w:r w:rsidR="00DC6D8B" w:rsidRPr="000A1C8E">
        <w:rPr>
          <w:rFonts w:ascii="Tahoma" w:hAnsi="Tahoma" w:cs="Tahoma"/>
          <w:sz w:val="18"/>
          <w:szCs w:val="18"/>
        </w:rPr>
        <w:t xml:space="preserve"> </w:t>
      </w:r>
      <w:r w:rsidRPr="000A1C8E">
        <w:rPr>
          <w:rFonts w:ascii="Tahoma" w:hAnsi="Tahoma" w:cs="Tahoma"/>
          <w:sz w:val="18"/>
          <w:szCs w:val="18"/>
        </w:rPr>
        <w:t>Para obter mais detalhes e informações sobre a</w:t>
      </w:r>
      <w:r w:rsidR="00D24437" w:rsidRPr="000A1C8E">
        <w:rPr>
          <w:rFonts w:ascii="Tahoma" w:hAnsi="Tahoma" w:cs="Tahoma"/>
          <w:sz w:val="18"/>
          <w:szCs w:val="18"/>
        </w:rPr>
        <w:t> </w:t>
      </w:r>
      <w:r w:rsidRPr="000A1C8E">
        <w:rPr>
          <w:rFonts w:ascii="Tahoma" w:hAnsi="Tahoma" w:cs="Tahoma"/>
          <w:sz w:val="18"/>
          <w:szCs w:val="18"/>
        </w:rPr>
        <w:t>disponibilidade da licença, consulte o Resumo de Licenciamento por Volume da Licença Step-up para Enterprise Edition no site: http://</w:t>
      </w:r>
      <w:hyperlink r:id="rId20" w:history="1">
        <w:r w:rsidRPr="000A1C8E">
          <w:rPr>
            <w:rStyle w:val="Hyperlink"/>
            <w:rFonts w:ascii="Tahoma" w:hAnsi="Tahoma" w:cs="Tahoma"/>
            <w:sz w:val="18"/>
            <w:szCs w:val="18"/>
          </w:rPr>
          <w:t>www.microsoft.com/licensing</w:t>
        </w:r>
      </w:hyperlink>
      <w:r w:rsidRPr="000A1C8E">
        <w:rPr>
          <w:rFonts w:ascii="Tahoma" w:hAnsi="Tahoma" w:cs="Tahoma"/>
          <w:sz w:val="18"/>
          <w:szCs w:val="18"/>
        </w:rPr>
        <w:t>.</w:t>
      </w:r>
    </w:p>
    <w:p w:rsidR="00ED589D" w:rsidRPr="000A1C8E" w:rsidRDefault="00ED589D" w:rsidP="00ED589D">
      <w:pPr>
        <w:rPr>
          <w:rFonts w:cs="Tahoma"/>
        </w:rPr>
      </w:pPr>
    </w:p>
    <w:p w:rsidR="00456002" w:rsidRPr="000A1C8E" w:rsidRDefault="00456002" w:rsidP="00456002">
      <w:pPr>
        <w:pStyle w:val="Heading2"/>
        <w:ind w:left="0" w:right="720"/>
        <w:rPr>
          <w:rFonts w:ascii="Tahoma" w:hAnsi="Tahoma" w:cs="Tahoma"/>
        </w:rPr>
      </w:pPr>
      <w:bookmarkStart w:id="655" w:name="_Toc323819652"/>
      <w:bookmarkStart w:id="656" w:name="_Toc336338203"/>
      <w:bookmarkStart w:id="657" w:name="_Toc361829286"/>
      <w:r w:rsidRPr="000A1C8E">
        <w:rPr>
          <w:rFonts w:ascii="Tahoma" w:hAnsi="Tahoma" w:cs="Tahoma"/>
        </w:rPr>
        <w:t>Licenças de Assinatura</w:t>
      </w:r>
      <w:bookmarkEnd w:id="655"/>
      <w:bookmarkEnd w:id="656"/>
      <w:bookmarkEnd w:id="657"/>
      <w:r w:rsidRPr="000A1C8E">
        <w:rPr>
          <w:rFonts w:ascii="Tahoma" w:hAnsi="Tahoma" w:cs="Tahoma"/>
        </w:rPr>
        <w:t xml:space="preserve"> </w:t>
      </w:r>
    </w:p>
    <w:p w:rsidR="00456002" w:rsidRPr="000A1C8E" w:rsidRDefault="00456002" w:rsidP="007C05C1">
      <w:pPr>
        <w:ind w:right="720"/>
        <w:rPr>
          <w:rFonts w:cs="Tahoma"/>
        </w:rPr>
      </w:pPr>
    </w:p>
    <w:p w:rsidR="00456002" w:rsidRPr="000A1C8E" w:rsidRDefault="00456002" w:rsidP="00B147AB">
      <w:pPr>
        <w:pStyle w:val="AppendixIndent"/>
        <w:spacing w:before="0"/>
        <w:ind w:left="0" w:right="720"/>
        <w:rPr>
          <w:rFonts w:ascii="Tahoma" w:hAnsi="Tahoma" w:cs="Tahoma"/>
        </w:rPr>
      </w:pPr>
      <w:r w:rsidRPr="000A1C8E">
        <w:rPr>
          <w:rFonts w:ascii="Tahoma" w:hAnsi="Tahoma" w:cs="Tahoma"/>
          <w:sz w:val="18"/>
        </w:rPr>
        <w:t>Este tipo de produto está disponível para Serviços Online e alguns produtos de software, não é específico à</w:t>
      </w:r>
      <w:r w:rsidR="002C14CD" w:rsidRPr="000A1C8E">
        <w:rPr>
          <w:rFonts w:ascii="Tahoma" w:hAnsi="Tahoma" w:cs="Tahoma"/>
          <w:sz w:val="18"/>
        </w:rPr>
        <w:t> </w:t>
      </w:r>
      <w:r w:rsidRPr="000A1C8E">
        <w:rPr>
          <w:rFonts w:ascii="Tahoma" w:hAnsi="Tahoma" w:cs="Tahoma"/>
          <w:sz w:val="18"/>
        </w:rPr>
        <w:t>versão e permite que os clientes usem o software e, no caso de um Serviço Online, o serviço durante o</w:t>
      </w:r>
      <w:r w:rsidR="002C14CD" w:rsidRPr="000A1C8E">
        <w:rPr>
          <w:rFonts w:ascii="Tahoma" w:hAnsi="Tahoma" w:cs="Tahoma"/>
          <w:sz w:val="18"/>
        </w:rPr>
        <w:t> </w:t>
      </w:r>
      <w:r w:rsidRPr="000A1C8E">
        <w:rPr>
          <w:rFonts w:ascii="Tahoma" w:hAnsi="Tahoma" w:cs="Tahoma"/>
          <w:sz w:val="18"/>
        </w:rPr>
        <w:t>prazo do registro Select ou Enterprise ou do contrato Open sob o qual ele foi adquirido.</w:t>
      </w:r>
      <w:r w:rsidR="00DC6D8B" w:rsidRPr="000A1C8E">
        <w:rPr>
          <w:rFonts w:ascii="Tahoma" w:hAnsi="Tahoma" w:cs="Tahoma"/>
          <w:sz w:val="18"/>
        </w:rPr>
        <w:t xml:space="preserve"> </w:t>
      </w:r>
      <w:r w:rsidRPr="000A1C8E">
        <w:rPr>
          <w:rFonts w:ascii="Tahoma" w:hAnsi="Tahoma" w:cs="Tahoma"/>
          <w:sz w:val="18"/>
        </w:rPr>
        <w:t xml:space="preserve">As licenças de assinatura adquiridas sob um Contrato Enterprise ou um Contrato Enterprise Subscription deverão ser adquiridas na ocasião do primeiro acesso ao serviço e são rateadas com base no número de meses restantes no prazo do registro ou contrato. Estão disponíveis nos seguintes programas: </w:t>
      </w:r>
    </w:p>
    <w:p w:rsidR="00456002" w:rsidRPr="000A1C8E" w:rsidRDefault="00456002" w:rsidP="00B147AB">
      <w:pPr>
        <w:pStyle w:val="AppendixIndent"/>
        <w:spacing w:before="0"/>
        <w:ind w:left="0" w:right="720"/>
        <w:rPr>
          <w:rFonts w:ascii="Tahoma" w:hAnsi="Tahoma" w:cs="Tahoma"/>
          <w:sz w:val="18"/>
        </w:rPr>
      </w:pPr>
    </w:p>
    <w:p w:rsidR="00456002" w:rsidRPr="000A1C8E" w:rsidRDefault="00456002" w:rsidP="00346F4B">
      <w:pPr>
        <w:pStyle w:val="AppendixBulletIndent"/>
        <w:numPr>
          <w:ilvl w:val="0"/>
          <w:numId w:val="66"/>
        </w:numPr>
        <w:tabs>
          <w:tab w:val="left" w:pos="1440"/>
        </w:tabs>
        <w:spacing w:after="60"/>
        <w:ind w:left="1440" w:right="720"/>
        <w:rPr>
          <w:rFonts w:ascii="Tahoma" w:hAnsi="Tahoma" w:cs="Tahoma"/>
        </w:rPr>
      </w:pPr>
      <w:r w:rsidRPr="000A1C8E">
        <w:rPr>
          <w:rFonts w:ascii="Tahoma" w:hAnsi="Tahoma" w:cs="Tahoma"/>
          <w:sz w:val="18"/>
        </w:rPr>
        <w:t>Open Value</w:t>
      </w:r>
    </w:p>
    <w:p w:rsidR="00456002" w:rsidRPr="000A1C8E" w:rsidRDefault="00456002" w:rsidP="00346F4B">
      <w:pPr>
        <w:pStyle w:val="AppendixBulletIndent"/>
        <w:numPr>
          <w:ilvl w:val="0"/>
          <w:numId w:val="66"/>
        </w:numPr>
        <w:tabs>
          <w:tab w:val="left" w:pos="1440"/>
        </w:tabs>
        <w:spacing w:after="60"/>
        <w:ind w:left="1440" w:right="720"/>
        <w:rPr>
          <w:rFonts w:ascii="Tahoma" w:hAnsi="Tahoma" w:cs="Tahoma"/>
        </w:rPr>
      </w:pPr>
      <w:r w:rsidRPr="000A1C8E">
        <w:rPr>
          <w:rFonts w:ascii="Tahoma" w:hAnsi="Tahoma" w:cs="Tahoma"/>
          <w:sz w:val="18"/>
        </w:rPr>
        <w:t xml:space="preserve">Open Value Subscription </w:t>
      </w:r>
    </w:p>
    <w:p w:rsidR="00456002" w:rsidRPr="000A1C8E" w:rsidRDefault="00456002" w:rsidP="00346F4B">
      <w:pPr>
        <w:pStyle w:val="AppendixBulletIndent"/>
        <w:numPr>
          <w:ilvl w:val="0"/>
          <w:numId w:val="66"/>
        </w:numPr>
        <w:tabs>
          <w:tab w:val="left" w:pos="1440"/>
        </w:tabs>
        <w:spacing w:after="60"/>
        <w:ind w:left="1440" w:right="720"/>
        <w:rPr>
          <w:rFonts w:ascii="Tahoma" w:hAnsi="Tahoma" w:cs="Tahoma"/>
        </w:rPr>
      </w:pPr>
      <w:r w:rsidRPr="000A1C8E">
        <w:rPr>
          <w:rFonts w:ascii="Tahoma" w:hAnsi="Tahoma" w:cs="Tahoma"/>
          <w:sz w:val="18"/>
        </w:rPr>
        <w:t xml:space="preserve">Select </w:t>
      </w:r>
    </w:p>
    <w:p w:rsidR="00456002" w:rsidRPr="000A1C8E" w:rsidRDefault="00456002" w:rsidP="00346F4B">
      <w:pPr>
        <w:pStyle w:val="AppendixBulletIndent"/>
        <w:numPr>
          <w:ilvl w:val="0"/>
          <w:numId w:val="66"/>
        </w:numPr>
        <w:tabs>
          <w:tab w:val="left" w:pos="1440"/>
        </w:tabs>
        <w:spacing w:after="60"/>
        <w:ind w:left="1440" w:right="720"/>
        <w:rPr>
          <w:rFonts w:ascii="Tahoma" w:hAnsi="Tahoma" w:cs="Tahoma"/>
        </w:rPr>
      </w:pPr>
      <w:r w:rsidRPr="000A1C8E">
        <w:rPr>
          <w:rFonts w:ascii="Tahoma" w:hAnsi="Tahoma" w:cs="Tahoma"/>
          <w:sz w:val="18"/>
        </w:rPr>
        <w:t>Select Plus</w:t>
      </w:r>
    </w:p>
    <w:p w:rsidR="00456002" w:rsidRPr="000A1C8E" w:rsidRDefault="00456002" w:rsidP="00346F4B">
      <w:pPr>
        <w:pStyle w:val="AppendixBulletIndent"/>
        <w:numPr>
          <w:ilvl w:val="0"/>
          <w:numId w:val="66"/>
        </w:numPr>
        <w:tabs>
          <w:tab w:val="left" w:pos="1440"/>
        </w:tabs>
        <w:spacing w:after="60"/>
        <w:ind w:left="1440" w:right="720"/>
        <w:rPr>
          <w:rFonts w:ascii="Tahoma" w:hAnsi="Tahoma" w:cs="Tahoma"/>
        </w:rPr>
      </w:pPr>
      <w:r w:rsidRPr="000A1C8E">
        <w:rPr>
          <w:rFonts w:ascii="Tahoma" w:hAnsi="Tahoma" w:cs="Tahoma"/>
          <w:sz w:val="18"/>
        </w:rPr>
        <w:t>Contrato School</w:t>
      </w:r>
    </w:p>
    <w:p w:rsidR="00456002" w:rsidRPr="000A1C8E" w:rsidRDefault="00456002" w:rsidP="00346F4B">
      <w:pPr>
        <w:pStyle w:val="AppendixBulletIndent"/>
        <w:numPr>
          <w:ilvl w:val="0"/>
          <w:numId w:val="66"/>
        </w:numPr>
        <w:tabs>
          <w:tab w:val="left" w:pos="1440"/>
        </w:tabs>
        <w:spacing w:after="60"/>
        <w:ind w:left="1440" w:right="720"/>
        <w:rPr>
          <w:rFonts w:ascii="Tahoma" w:hAnsi="Tahoma" w:cs="Tahoma"/>
        </w:rPr>
      </w:pPr>
      <w:r w:rsidRPr="000A1C8E">
        <w:rPr>
          <w:rFonts w:ascii="Tahoma" w:hAnsi="Tahoma" w:cs="Tahoma"/>
          <w:sz w:val="18"/>
        </w:rPr>
        <w:t>EES</w:t>
      </w:r>
    </w:p>
    <w:p w:rsidR="00456002" w:rsidRPr="000A1C8E" w:rsidRDefault="00456002" w:rsidP="00346F4B">
      <w:pPr>
        <w:pStyle w:val="AppendixBulletIndent"/>
        <w:numPr>
          <w:ilvl w:val="0"/>
          <w:numId w:val="66"/>
        </w:numPr>
        <w:tabs>
          <w:tab w:val="left" w:pos="1440"/>
        </w:tabs>
        <w:spacing w:after="60"/>
        <w:ind w:left="1440" w:right="720"/>
        <w:rPr>
          <w:rFonts w:ascii="Tahoma" w:hAnsi="Tahoma" w:cs="Tahoma"/>
        </w:rPr>
      </w:pPr>
      <w:r w:rsidRPr="000A1C8E">
        <w:rPr>
          <w:rFonts w:ascii="Tahoma" w:hAnsi="Tahoma" w:cs="Tahoma"/>
          <w:sz w:val="18"/>
        </w:rPr>
        <w:t>Contrato Enterprise</w:t>
      </w:r>
    </w:p>
    <w:p w:rsidR="00456002" w:rsidRPr="000A1C8E" w:rsidRDefault="00456002" w:rsidP="00346F4B">
      <w:pPr>
        <w:pStyle w:val="AppendixIndent"/>
        <w:numPr>
          <w:ilvl w:val="0"/>
          <w:numId w:val="66"/>
        </w:numPr>
        <w:tabs>
          <w:tab w:val="left" w:pos="1440"/>
        </w:tabs>
        <w:spacing w:before="0"/>
        <w:ind w:left="1440" w:right="720"/>
        <w:rPr>
          <w:rFonts w:ascii="Tahoma" w:hAnsi="Tahoma" w:cs="Tahoma"/>
        </w:rPr>
      </w:pPr>
      <w:r w:rsidRPr="000A1C8E">
        <w:rPr>
          <w:rFonts w:ascii="Tahoma" w:hAnsi="Tahoma" w:cs="Tahoma"/>
          <w:sz w:val="18"/>
        </w:rPr>
        <w:t>Contrato Enterprise Subscription</w:t>
      </w:r>
    </w:p>
    <w:p w:rsidR="00ED589D" w:rsidRPr="000A1C8E" w:rsidRDefault="00ED589D" w:rsidP="00B147AB">
      <w:pPr>
        <w:rPr>
          <w:rFonts w:cs="Tahoma"/>
        </w:rPr>
      </w:pPr>
    </w:p>
    <w:p w:rsidR="0087125A" w:rsidRPr="000A1C8E" w:rsidRDefault="0087125A" w:rsidP="00B147AB">
      <w:pPr>
        <w:rPr>
          <w:rFonts w:cs="Tahoma"/>
        </w:rPr>
      </w:pPr>
    </w:p>
    <w:p w:rsidR="0087125A" w:rsidRPr="000A1C8E" w:rsidRDefault="0087125A" w:rsidP="00B147AB">
      <w:pPr>
        <w:rPr>
          <w:rFonts w:cs="Tahoma"/>
        </w:rPr>
      </w:pPr>
    </w:p>
    <w:p w:rsidR="0087125A" w:rsidRPr="000A1C8E" w:rsidRDefault="0087125A" w:rsidP="00B147AB">
      <w:pPr>
        <w:rPr>
          <w:rFonts w:cs="Tahoma"/>
        </w:rPr>
      </w:pPr>
    </w:p>
    <w:p w:rsidR="0087125A" w:rsidRPr="000A1C8E" w:rsidRDefault="0087125A" w:rsidP="00B147AB">
      <w:pPr>
        <w:rPr>
          <w:rFonts w:cs="Tahoma"/>
        </w:rPr>
      </w:pPr>
    </w:p>
    <w:p w:rsidR="0087125A" w:rsidRPr="000A1C8E" w:rsidRDefault="0087125A" w:rsidP="00B147AB">
      <w:pPr>
        <w:rPr>
          <w:rFonts w:cs="Tahoma"/>
        </w:rPr>
      </w:pPr>
    </w:p>
    <w:p w:rsidR="0087125A" w:rsidRPr="000A1C8E" w:rsidRDefault="0087125A" w:rsidP="00B147AB">
      <w:pPr>
        <w:rPr>
          <w:rFonts w:cs="Tahoma"/>
        </w:rPr>
      </w:pPr>
    </w:p>
    <w:p w:rsidR="00456002" w:rsidRPr="000A1C8E" w:rsidRDefault="00456002" w:rsidP="0087125A">
      <w:pPr>
        <w:pStyle w:val="Heading2"/>
        <w:ind w:left="0" w:right="720"/>
        <w:rPr>
          <w:rFonts w:ascii="Tahoma" w:hAnsi="Tahoma" w:cs="Tahoma"/>
        </w:rPr>
      </w:pPr>
      <w:bookmarkStart w:id="658" w:name="_Toc323819653"/>
      <w:bookmarkStart w:id="659" w:name="_Toc336338204"/>
      <w:bookmarkStart w:id="660" w:name="_Toc361829287"/>
      <w:r w:rsidRPr="000A1C8E">
        <w:rPr>
          <w:rFonts w:ascii="Tahoma" w:hAnsi="Tahoma" w:cs="Tahoma"/>
        </w:rPr>
        <w:lastRenderedPageBreak/>
        <w:t>Atualização</w:t>
      </w:r>
      <w:bookmarkEnd w:id="658"/>
      <w:bookmarkEnd w:id="659"/>
      <w:bookmarkEnd w:id="660"/>
    </w:p>
    <w:p w:rsidR="00456002" w:rsidRPr="000A1C8E" w:rsidRDefault="00456002" w:rsidP="0087125A">
      <w:pPr>
        <w:pStyle w:val="AppendixIndent"/>
        <w:spacing w:before="0"/>
        <w:ind w:left="0" w:right="720"/>
        <w:rPr>
          <w:rFonts w:ascii="Tahoma" w:hAnsi="Tahoma" w:cs="Tahoma"/>
          <w:sz w:val="16"/>
          <w:szCs w:val="16"/>
        </w:rPr>
      </w:pPr>
    </w:p>
    <w:p w:rsidR="00456002" w:rsidRPr="000A1C8E" w:rsidRDefault="00456002" w:rsidP="0087125A">
      <w:pPr>
        <w:pStyle w:val="AppendixIndent"/>
        <w:spacing w:before="0"/>
        <w:ind w:left="0" w:right="720"/>
        <w:rPr>
          <w:rFonts w:ascii="Tahoma" w:hAnsi="Tahoma" w:cs="Tahoma"/>
        </w:rPr>
      </w:pPr>
      <w:r w:rsidRPr="000A1C8E">
        <w:rPr>
          <w:rFonts w:ascii="Tahoma" w:hAnsi="Tahoma" w:cs="Tahoma"/>
          <w:sz w:val="18"/>
        </w:rPr>
        <w:t xml:space="preserve">Este tipo de produto está disponível somente para o </w:t>
      </w:r>
      <w:r w:rsidRPr="000A1C8E">
        <w:rPr>
          <w:rFonts w:ascii="Tahoma" w:hAnsi="Tahoma" w:cs="Tahoma"/>
          <w:sz w:val="18"/>
          <w:u w:val="single"/>
        </w:rPr>
        <w:t>Sistema Operacional Windows Desktop</w:t>
      </w:r>
      <w:r w:rsidRPr="000A1C8E">
        <w:rPr>
          <w:rFonts w:ascii="Tahoma" w:hAnsi="Tahoma" w:cs="Tahoma"/>
          <w:sz w:val="18"/>
        </w:rPr>
        <w:t>, é específico à</w:t>
      </w:r>
      <w:r w:rsidR="00367329" w:rsidRPr="000A1C8E">
        <w:rPr>
          <w:rFonts w:ascii="Tahoma" w:hAnsi="Tahoma" w:cs="Tahoma"/>
          <w:sz w:val="18"/>
        </w:rPr>
        <w:t> </w:t>
      </w:r>
      <w:r w:rsidRPr="000A1C8E">
        <w:rPr>
          <w:rFonts w:ascii="Tahoma" w:hAnsi="Tahoma" w:cs="Tahoma"/>
          <w:sz w:val="18"/>
        </w:rPr>
        <w:t>versão e confere o direito de executar a versão do produto para a qual foi solicitado.</w:t>
      </w:r>
      <w:r w:rsidR="00DC6D8B" w:rsidRPr="000A1C8E">
        <w:rPr>
          <w:rFonts w:ascii="Tahoma" w:hAnsi="Tahoma" w:cs="Tahoma"/>
          <w:sz w:val="18"/>
        </w:rPr>
        <w:t xml:space="preserve"> </w:t>
      </w:r>
      <w:r w:rsidRPr="000A1C8E">
        <w:rPr>
          <w:rFonts w:ascii="Tahoma" w:hAnsi="Tahoma" w:cs="Tahoma"/>
          <w:sz w:val="18"/>
        </w:rPr>
        <w:t>Estão disponíveis nos</w:t>
      </w:r>
      <w:r w:rsidR="00367329" w:rsidRPr="000A1C8E">
        <w:rPr>
          <w:rFonts w:ascii="Tahoma" w:hAnsi="Tahoma" w:cs="Tahoma"/>
          <w:sz w:val="18"/>
        </w:rPr>
        <w:t> </w:t>
      </w:r>
      <w:r w:rsidRPr="000A1C8E">
        <w:rPr>
          <w:rFonts w:ascii="Tahoma" w:hAnsi="Tahoma" w:cs="Tahoma"/>
          <w:sz w:val="18"/>
        </w:rPr>
        <w:t>seguintes programas:</w:t>
      </w:r>
    </w:p>
    <w:p w:rsidR="00456002" w:rsidRPr="000A1C8E" w:rsidRDefault="00456002" w:rsidP="0087125A">
      <w:pPr>
        <w:pStyle w:val="AppendixIndent"/>
        <w:spacing w:before="0"/>
        <w:ind w:left="0" w:right="720"/>
        <w:rPr>
          <w:rFonts w:ascii="Tahoma" w:hAnsi="Tahoma" w:cs="Tahoma"/>
          <w:sz w:val="16"/>
          <w:szCs w:val="16"/>
        </w:rPr>
      </w:pPr>
    </w:p>
    <w:p w:rsidR="00385C82" w:rsidRPr="00BD3A67" w:rsidRDefault="00385C82" w:rsidP="0087125A">
      <w:pPr>
        <w:pStyle w:val="AppendixBulletIndent"/>
        <w:numPr>
          <w:ilvl w:val="0"/>
          <w:numId w:val="59"/>
        </w:numPr>
        <w:tabs>
          <w:tab w:val="left" w:pos="1440"/>
        </w:tabs>
        <w:spacing w:after="60"/>
        <w:ind w:left="1440" w:right="720"/>
        <w:rPr>
          <w:rFonts w:ascii="Tahoma" w:hAnsi="Tahoma" w:cs="Tahoma"/>
          <w:sz w:val="18"/>
          <w:szCs w:val="18"/>
        </w:rPr>
      </w:pPr>
      <w:r w:rsidRPr="00BD3A67">
        <w:rPr>
          <w:rFonts w:ascii="Tahoma" w:hAnsi="Tahoma" w:cs="Tahoma"/>
          <w:sz w:val="18"/>
          <w:szCs w:val="18"/>
        </w:rPr>
        <w:t>Licença Open</w:t>
      </w:r>
    </w:p>
    <w:p w:rsidR="00385C82" w:rsidRPr="00BD3A67"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BD3A67">
        <w:rPr>
          <w:rFonts w:ascii="Tahoma" w:hAnsi="Tahoma" w:cs="Tahoma"/>
          <w:sz w:val="18"/>
          <w:szCs w:val="18"/>
        </w:rPr>
        <w:t xml:space="preserve">Open Value Subscription [somente para pedidos com opção de compra (“buy-out”)] </w:t>
      </w:r>
    </w:p>
    <w:p w:rsidR="00385C82" w:rsidRPr="00BD3A67"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BD3A67">
        <w:rPr>
          <w:rFonts w:ascii="Tahoma" w:hAnsi="Tahoma" w:cs="Tahoma"/>
          <w:sz w:val="18"/>
          <w:szCs w:val="18"/>
        </w:rPr>
        <w:t xml:space="preserve">Select </w:t>
      </w:r>
    </w:p>
    <w:p w:rsidR="00385C82" w:rsidRPr="00BD3A67"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BD3A67">
        <w:rPr>
          <w:rFonts w:ascii="Tahoma" w:hAnsi="Tahoma" w:cs="Tahoma"/>
          <w:sz w:val="18"/>
          <w:szCs w:val="18"/>
        </w:rPr>
        <w:t>Select Plus</w:t>
      </w:r>
    </w:p>
    <w:p w:rsidR="00385C82" w:rsidRPr="00BD3A67"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BD3A67">
        <w:rPr>
          <w:rFonts w:ascii="Tahoma" w:hAnsi="Tahoma" w:cs="Tahoma"/>
          <w:sz w:val="18"/>
          <w:szCs w:val="18"/>
        </w:rPr>
        <w:t>Contrato School (somente para pedidos com opção de compra (“buy-out”))</w:t>
      </w:r>
    </w:p>
    <w:p w:rsidR="00385C82" w:rsidRPr="00BD3A67"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BD3A67">
        <w:rPr>
          <w:rFonts w:ascii="Tahoma" w:hAnsi="Tahoma" w:cs="Tahoma"/>
          <w:sz w:val="18"/>
          <w:szCs w:val="18"/>
        </w:rPr>
        <w:t>EES (somente para pedidos com opção de compra (“buy-out”))</w:t>
      </w:r>
    </w:p>
    <w:p w:rsidR="00385C82" w:rsidRPr="00BD3A67" w:rsidRDefault="00385C82" w:rsidP="00346F4B">
      <w:pPr>
        <w:pStyle w:val="AppendixBulletIndent"/>
        <w:numPr>
          <w:ilvl w:val="0"/>
          <w:numId w:val="59"/>
        </w:numPr>
        <w:tabs>
          <w:tab w:val="left" w:pos="1440"/>
        </w:tabs>
        <w:ind w:left="1440" w:right="720"/>
        <w:rPr>
          <w:rFonts w:ascii="Tahoma" w:hAnsi="Tahoma" w:cs="Tahoma"/>
          <w:sz w:val="18"/>
          <w:szCs w:val="18"/>
        </w:rPr>
      </w:pPr>
      <w:r w:rsidRPr="00BD3A67">
        <w:rPr>
          <w:rFonts w:ascii="Tahoma" w:hAnsi="Tahoma" w:cs="Tahoma"/>
          <w:sz w:val="18"/>
          <w:szCs w:val="18"/>
        </w:rPr>
        <w:t xml:space="preserve">Contrato Enterprise Subscription (somente para pedidos com opção de compra </w:t>
      </w:r>
      <w:r w:rsidR="00367329" w:rsidRPr="00BD3A67">
        <w:rPr>
          <w:rFonts w:ascii="Tahoma" w:hAnsi="Tahoma" w:cs="Tahoma"/>
          <w:sz w:val="18"/>
          <w:szCs w:val="18"/>
        </w:rPr>
        <w:br/>
      </w:r>
      <w:r w:rsidRPr="00BD3A67">
        <w:rPr>
          <w:rFonts w:ascii="Tahoma" w:hAnsi="Tahoma" w:cs="Tahoma"/>
          <w:sz w:val="18"/>
          <w:szCs w:val="18"/>
        </w:rPr>
        <w:t>(“buy-out”))</w:t>
      </w:r>
    </w:p>
    <w:p w:rsidR="00456002" w:rsidRPr="000A1C8E" w:rsidRDefault="00456002" w:rsidP="00B147AB">
      <w:pPr>
        <w:pStyle w:val="AppendixIndent"/>
        <w:spacing w:before="0"/>
        <w:ind w:left="0" w:right="720"/>
        <w:rPr>
          <w:rFonts w:ascii="Tahoma" w:hAnsi="Tahoma" w:cs="Tahoma"/>
          <w:sz w:val="16"/>
          <w:szCs w:val="16"/>
        </w:rPr>
      </w:pPr>
    </w:p>
    <w:p w:rsidR="00456002" w:rsidRPr="000A1C8E" w:rsidRDefault="00456002" w:rsidP="00B147AB">
      <w:pPr>
        <w:pStyle w:val="AppendixIndent"/>
        <w:spacing w:before="0"/>
        <w:ind w:left="0" w:right="720"/>
        <w:rPr>
          <w:rFonts w:ascii="Tahoma" w:hAnsi="Tahoma" w:cs="Tahoma"/>
        </w:rPr>
      </w:pPr>
      <w:r w:rsidRPr="000A1C8E">
        <w:rPr>
          <w:rFonts w:ascii="Tahoma" w:hAnsi="Tahoma" w:cs="Tahoma"/>
          <w:sz w:val="18"/>
        </w:rPr>
        <w:t>O cliente deverá ter uma licença básica de sistema operacional de desktop qualificada para poder adquirir a</w:t>
      </w:r>
      <w:r w:rsidR="00367329" w:rsidRPr="000A1C8E">
        <w:rPr>
          <w:rFonts w:ascii="Tahoma" w:hAnsi="Tahoma" w:cs="Tahoma"/>
          <w:sz w:val="18"/>
        </w:rPr>
        <w:t> </w:t>
      </w:r>
      <w:r w:rsidRPr="000A1C8E">
        <w:rPr>
          <w:rFonts w:ascii="Tahoma" w:hAnsi="Tahoma" w:cs="Tahoma"/>
          <w:sz w:val="18"/>
        </w:rPr>
        <w:t>licença de Atualização de Sistema Operacional Windows Desktop. Consulte a seção sobre produtos de sistema para obter uma lista dos sistemas operacionais de desktop qualificados. Essa lista varia conforme o</w:t>
      </w:r>
      <w:r w:rsidR="00367329" w:rsidRPr="000A1C8E">
        <w:rPr>
          <w:rFonts w:ascii="Tahoma" w:hAnsi="Tahoma" w:cs="Tahoma"/>
          <w:sz w:val="18"/>
        </w:rPr>
        <w:t> </w:t>
      </w:r>
      <w:r w:rsidRPr="000A1C8E">
        <w:rPr>
          <w:rFonts w:ascii="Tahoma" w:hAnsi="Tahoma" w:cs="Tahoma"/>
          <w:sz w:val="18"/>
        </w:rPr>
        <w:t>programa e as circunstâncias do pedido.</w:t>
      </w:r>
    </w:p>
    <w:p w:rsidR="001C1727" w:rsidRPr="000A1C8E" w:rsidRDefault="001C1727" w:rsidP="00367329">
      <w:pPr>
        <w:pStyle w:val="AppendixBodyText"/>
        <w:spacing w:after="0"/>
        <w:ind w:right="720"/>
        <w:rPr>
          <w:rFonts w:ascii="Tahoma" w:hAnsi="Tahoma" w:cs="Tahoma"/>
          <w:sz w:val="18"/>
          <w:szCs w:val="18"/>
        </w:rPr>
      </w:pPr>
      <w:bookmarkStart w:id="661" w:name="_Toc323819654"/>
      <w:bookmarkStart w:id="662" w:name="_Toc336338205"/>
    </w:p>
    <w:p w:rsidR="00456002" w:rsidRPr="000A1C8E" w:rsidRDefault="00456002" w:rsidP="00862623">
      <w:pPr>
        <w:pStyle w:val="Heading2"/>
        <w:keepNext/>
        <w:ind w:left="0" w:right="720"/>
        <w:rPr>
          <w:rFonts w:ascii="Tahoma" w:hAnsi="Tahoma" w:cs="Tahoma"/>
        </w:rPr>
      </w:pPr>
      <w:bookmarkStart w:id="663" w:name="_Toc361829288"/>
      <w:r w:rsidRPr="000A1C8E">
        <w:rPr>
          <w:rFonts w:ascii="Tahoma" w:hAnsi="Tahoma" w:cs="Tahoma"/>
        </w:rPr>
        <w:t>Atualização e Software Assurance</w:t>
      </w:r>
      <w:bookmarkEnd w:id="661"/>
      <w:bookmarkEnd w:id="662"/>
      <w:bookmarkEnd w:id="663"/>
      <w:r w:rsidRPr="000A1C8E">
        <w:rPr>
          <w:rFonts w:ascii="Tahoma" w:hAnsi="Tahoma" w:cs="Tahoma"/>
        </w:rPr>
        <w:t xml:space="preserve"> </w:t>
      </w:r>
    </w:p>
    <w:p w:rsidR="00456002" w:rsidRPr="000A1C8E" w:rsidRDefault="00456002" w:rsidP="00862623">
      <w:pPr>
        <w:keepNext/>
        <w:ind w:right="720"/>
        <w:rPr>
          <w:rFonts w:cs="Tahoma"/>
        </w:rPr>
      </w:pPr>
    </w:p>
    <w:p w:rsidR="00456002" w:rsidRPr="000A1C8E" w:rsidRDefault="00456002" w:rsidP="00B147AB">
      <w:pPr>
        <w:pStyle w:val="AppendixIndent"/>
        <w:spacing w:before="0"/>
        <w:ind w:left="0" w:right="720"/>
        <w:rPr>
          <w:rFonts w:ascii="Tahoma" w:hAnsi="Tahoma" w:cs="Tahoma"/>
        </w:rPr>
      </w:pPr>
      <w:r w:rsidRPr="000A1C8E">
        <w:rPr>
          <w:rFonts w:ascii="Tahoma" w:hAnsi="Tahoma" w:cs="Tahoma"/>
          <w:sz w:val="18"/>
        </w:rPr>
        <w:t>Este tipo de produto está disponível somente para o Sistema Operacional Windows Desktop, não é específico à versão e permite que os clientes adquiram a Atualização e o Software Assurance para o</w:t>
      </w:r>
      <w:r w:rsidR="00367329" w:rsidRPr="000A1C8E">
        <w:rPr>
          <w:rFonts w:ascii="Tahoma" w:hAnsi="Tahoma" w:cs="Tahoma"/>
          <w:sz w:val="18"/>
        </w:rPr>
        <w:t> </w:t>
      </w:r>
      <w:r w:rsidRPr="000A1C8E">
        <w:rPr>
          <w:rFonts w:ascii="Tahoma" w:hAnsi="Tahoma" w:cs="Tahoma"/>
          <w:sz w:val="18"/>
        </w:rPr>
        <w:t>sistema</w:t>
      </w:r>
      <w:r w:rsidR="00367329" w:rsidRPr="000A1C8E">
        <w:rPr>
          <w:rFonts w:ascii="Tahoma" w:hAnsi="Tahoma" w:cs="Tahoma"/>
          <w:sz w:val="18"/>
        </w:rPr>
        <w:t> </w:t>
      </w:r>
      <w:r w:rsidRPr="000A1C8E">
        <w:rPr>
          <w:rFonts w:ascii="Tahoma" w:hAnsi="Tahoma" w:cs="Tahoma"/>
          <w:sz w:val="18"/>
        </w:rPr>
        <w:t>operacional de desktop ao mesmo tempo. Estão disponíveis nos seguintes programas:</w:t>
      </w:r>
    </w:p>
    <w:p w:rsidR="00116EDC" w:rsidRPr="000A1C8E" w:rsidRDefault="00116EDC" w:rsidP="00B147AB">
      <w:pPr>
        <w:pStyle w:val="AppendixIndent"/>
        <w:spacing w:before="0"/>
        <w:ind w:left="0" w:right="720"/>
        <w:rPr>
          <w:rFonts w:ascii="Tahoma" w:hAnsi="Tahoma" w:cs="Tahoma"/>
          <w:sz w:val="16"/>
          <w:szCs w:val="16"/>
        </w:rPr>
      </w:pPr>
    </w:p>
    <w:p w:rsidR="00456002" w:rsidRPr="000A1C8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0A1C8E">
        <w:rPr>
          <w:rFonts w:ascii="Tahoma" w:hAnsi="Tahoma" w:cs="Tahoma"/>
          <w:sz w:val="18"/>
        </w:rPr>
        <w:t>Licença Open</w:t>
      </w:r>
    </w:p>
    <w:p w:rsidR="00456002" w:rsidRPr="000A1C8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0A1C8E">
        <w:rPr>
          <w:rFonts w:ascii="Tahoma" w:hAnsi="Tahoma" w:cs="Tahoma"/>
          <w:sz w:val="18"/>
        </w:rPr>
        <w:t>Open Value</w:t>
      </w:r>
    </w:p>
    <w:p w:rsidR="00456002" w:rsidRPr="000A1C8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0A1C8E">
        <w:rPr>
          <w:rFonts w:ascii="Tahoma" w:hAnsi="Tahoma" w:cs="Tahoma"/>
          <w:sz w:val="18"/>
        </w:rPr>
        <w:t>Open Value Subscription</w:t>
      </w:r>
    </w:p>
    <w:p w:rsidR="00456002" w:rsidRPr="000A1C8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0A1C8E">
        <w:rPr>
          <w:rFonts w:ascii="Tahoma" w:hAnsi="Tahoma" w:cs="Tahoma"/>
          <w:sz w:val="18"/>
        </w:rPr>
        <w:t xml:space="preserve">Select </w:t>
      </w:r>
    </w:p>
    <w:p w:rsidR="00456002" w:rsidRPr="000A1C8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0A1C8E">
        <w:rPr>
          <w:rFonts w:ascii="Tahoma" w:hAnsi="Tahoma" w:cs="Tahoma"/>
          <w:sz w:val="18"/>
        </w:rPr>
        <w:t>Select Plus</w:t>
      </w:r>
    </w:p>
    <w:p w:rsidR="00456002" w:rsidRPr="000A1C8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0A1C8E">
        <w:rPr>
          <w:rFonts w:ascii="Tahoma" w:hAnsi="Tahoma" w:cs="Tahoma"/>
          <w:sz w:val="18"/>
        </w:rPr>
        <w:t>Contrato School</w:t>
      </w:r>
    </w:p>
    <w:p w:rsidR="00456002" w:rsidRPr="000A1C8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0A1C8E">
        <w:rPr>
          <w:rFonts w:ascii="Tahoma" w:hAnsi="Tahoma" w:cs="Tahoma"/>
          <w:sz w:val="18"/>
        </w:rPr>
        <w:t>ESS</w:t>
      </w:r>
    </w:p>
    <w:p w:rsidR="00456002" w:rsidRPr="000A1C8E"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0A1C8E">
        <w:rPr>
          <w:rFonts w:ascii="Tahoma" w:hAnsi="Tahoma" w:cs="Tahoma"/>
          <w:sz w:val="18"/>
        </w:rPr>
        <w:t>Contrato Enterprise</w:t>
      </w:r>
    </w:p>
    <w:p w:rsidR="00456002" w:rsidRPr="000A1C8E" w:rsidRDefault="00456002" w:rsidP="00346F4B">
      <w:pPr>
        <w:pStyle w:val="AppendixBulletIndent"/>
        <w:numPr>
          <w:ilvl w:val="0"/>
          <w:numId w:val="60"/>
        </w:numPr>
        <w:tabs>
          <w:tab w:val="clear" w:pos="360"/>
          <w:tab w:val="num" w:pos="1440"/>
        </w:tabs>
        <w:ind w:left="1440" w:right="720"/>
        <w:rPr>
          <w:rFonts w:ascii="Tahoma" w:hAnsi="Tahoma" w:cs="Tahoma"/>
        </w:rPr>
      </w:pPr>
      <w:r w:rsidRPr="000A1C8E">
        <w:rPr>
          <w:rFonts w:ascii="Tahoma" w:hAnsi="Tahoma" w:cs="Tahoma"/>
          <w:sz w:val="18"/>
        </w:rPr>
        <w:t>Contrato Enterprise Subscription</w:t>
      </w:r>
    </w:p>
    <w:p w:rsidR="00456002" w:rsidRPr="000A1C8E" w:rsidRDefault="00456002" w:rsidP="00B147AB">
      <w:pPr>
        <w:pStyle w:val="AppendixIndent"/>
        <w:spacing w:before="0"/>
        <w:ind w:left="0" w:right="720"/>
        <w:rPr>
          <w:rFonts w:ascii="Tahoma" w:hAnsi="Tahoma" w:cs="Tahoma"/>
          <w:sz w:val="16"/>
          <w:szCs w:val="16"/>
        </w:rPr>
      </w:pPr>
    </w:p>
    <w:p w:rsidR="00456002" w:rsidRPr="000A1C8E" w:rsidRDefault="00456002" w:rsidP="00ED589D">
      <w:pPr>
        <w:pStyle w:val="AppendixIndent"/>
        <w:spacing w:before="0"/>
        <w:ind w:left="0" w:right="720"/>
        <w:rPr>
          <w:rFonts w:ascii="Tahoma" w:hAnsi="Tahoma" w:cs="Tahoma"/>
        </w:rPr>
      </w:pPr>
      <w:r w:rsidRPr="000A1C8E">
        <w:rPr>
          <w:rFonts w:ascii="Tahoma" w:hAnsi="Tahoma" w:cs="Tahoma"/>
          <w:sz w:val="18"/>
        </w:rPr>
        <w:t>O cliente deverá ter a licença básica do sistema operacional de desktop qualificada para poder adquirir a</w:t>
      </w:r>
      <w:r w:rsidR="00367329" w:rsidRPr="000A1C8E">
        <w:rPr>
          <w:rFonts w:ascii="Tahoma" w:hAnsi="Tahoma" w:cs="Tahoma"/>
          <w:sz w:val="18"/>
        </w:rPr>
        <w:t> </w:t>
      </w:r>
      <w:r w:rsidRPr="000A1C8E">
        <w:rPr>
          <w:rFonts w:ascii="Tahoma" w:hAnsi="Tahoma" w:cs="Tahoma"/>
          <w:sz w:val="18"/>
        </w:rPr>
        <w:t>atualização. O Software Assurance deverá ser adquirido por ocasião da aquisição da atualização correspondente, exceto no caso de programas de assinatura, quando a atualização deverá ser comprada na</w:t>
      </w:r>
      <w:r w:rsidR="00367329" w:rsidRPr="000A1C8E">
        <w:rPr>
          <w:rFonts w:ascii="Tahoma" w:hAnsi="Tahoma" w:cs="Tahoma"/>
          <w:sz w:val="18"/>
        </w:rPr>
        <w:t> </w:t>
      </w:r>
      <w:r w:rsidRPr="000A1C8E">
        <w:rPr>
          <w:rFonts w:ascii="Tahoma" w:hAnsi="Tahoma" w:cs="Tahoma"/>
          <w:sz w:val="18"/>
        </w:rPr>
        <w:t>renovação do prazo de um Software Assurance existente.</w:t>
      </w:r>
    </w:p>
    <w:p w:rsidR="00ED589D" w:rsidRPr="000A1C8E" w:rsidRDefault="00ED589D" w:rsidP="00B147AB">
      <w:pPr>
        <w:pStyle w:val="AppendixIndent"/>
        <w:spacing w:before="0"/>
        <w:ind w:left="0" w:right="720"/>
        <w:rPr>
          <w:rFonts w:ascii="Tahoma" w:hAnsi="Tahoma" w:cs="Tahoma"/>
          <w:sz w:val="16"/>
          <w:szCs w:val="16"/>
        </w:rPr>
      </w:pPr>
    </w:p>
    <w:p w:rsidR="00456002" w:rsidRPr="000A1C8E" w:rsidRDefault="00456002" w:rsidP="00456002">
      <w:pPr>
        <w:pStyle w:val="Heading2"/>
        <w:ind w:left="0" w:right="720"/>
        <w:rPr>
          <w:rFonts w:ascii="Tahoma" w:hAnsi="Tahoma" w:cs="Tahoma"/>
        </w:rPr>
      </w:pPr>
      <w:bookmarkStart w:id="664" w:name="_Toc323819656"/>
      <w:bookmarkStart w:id="665" w:name="_Toc336338206"/>
      <w:bookmarkStart w:id="666" w:name="_Toc361829289"/>
      <w:r w:rsidRPr="000A1C8E">
        <w:rPr>
          <w:rFonts w:ascii="Tahoma" w:hAnsi="Tahoma" w:cs="Tahoma"/>
        </w:rPr>
        <w:t>Licenças Work-at-Home</w:t>
      </w:r>
      <w:bookmarkEnd w:id="664"/>
      <w:bookmarkEnd w:id="665"/>
      <w:bookmarkEnd w:id="666"/>
    </w:p>
    <w:p w:rsidR="00456002" w:rsidRPr="000A1C8E" w:rsidRDefault="00456002" w:rsidP="00B147AB">
      <w:pPr>
        <w:ind w:right="720"/>
        <w:rPr>
          <w:rFonts w:cs="Tahoma"/>
          <w:sz w:val="16"/>
          <w:szCs w:val="16"/>
        </w:rPr>
      </w:pPr>
    </w:p>
    <w:p w:rsidR="00456002" w:rsidRPr="000A1C8E" w:rsidRDefault="00456002" w:rsidP="00B147AB">
      <w:pPr>
        <w:pStyle w:val="AppendixIndent"/>
        <w:spacing w:before="0"/>
        <w:ind w:left="0" w:right="720"/>
        <w:rPr>
          <w:rFonts w:ascii="Tahoma" w:hAnsi="Tahoma" w:cs="Tahoma"/>
        </w:rPr>
      </w:pPr>
      <w:r w:rsidRPr="000A1C8E">
        <w:rPr>
          <w:rFonts w:ascii="Tahoma" w:hAnsi="Tahoma" w:cs="Tahoma"/>
          <w:sz w:val="18"/>
        </w:rPr>
        <w:t>Estão disponíveis nos seguintes programas:</w:t>
      </w:r>
    </w:p>
    <w:p w:rsidR="00456002" w:rsidRPr="000A1C8E" w:rsidRDefault="00456002" w:rsidP="00367329">
      <w:pPr>
        <w:pStyle w:val="AppendixIndent"/>
        <w:spacing w:before="0"/>
        <w:ind w:left="0" w:right="720"/>
        <w:rPr>
          <w:rFonts w:ascii="Tahoma" w:hAnsi="Tahoma" w:cs="Tahoma"/>
          <w:sz w:val="16"/>
          <w:szCs w:val="16"/>
        </w:rPr>
      </w:pPr>
    </w:p>
    <w:p w:rsidR="00456002" w:rsidRPr="000A1C8E"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0A1C8E">
        <w:rPr>
          <w:rFonts w:ascii="Tahoma" w:hAnsi="Tahoma" w:cs="Tahoma"/>
          <w:sz w:val="18"/>
        </w:rPr>
        <w:t xml:space="preserve">Select </w:t>
      </w:r>
    </w:p>
    <w:p w:rsidR="00456002" w:rsidRPr="000A1C8E"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0A1C8E">
        <w:rPr>
          <w:rFonts w:ascii="Tahoma" w:hAnsi="Tahoma" w:cs="Tahoma"/>
          <w:sz w:val="18"/>
        </w:rPr>
        <w:t>Select Plus</w:t>
      </w:r>
    </w:p>
    <w:p w:rsidR="00456002" w:rsidRPr="000A1C8E" w:rsidRDefault="00456002" w:rsidP="00346F4B">
      <w:pPr>
        <w:pStyle w:val="AppendixBulletIndent"/>
        <w:numPr>
          <w:ilvl w:val="0"/>
          <w:numId w:val="62"/>
        </w:numPr>
        <w:tabs>
          <w:tab w:val="clear" w:pos="360"/>
          <w:tab w:val="num" w:pos="1440"/>
        </w:tabs>
        <w:ind w:left="1440" w:right="720"/>
        <w:rPr>
          <w:rFonts w:ascii="Tahoma" w:hAnsi="Tahoma" w:cs="Tahoma"/>
        </w:rPr>
      </w:pPr>
      <w:r w:rsidRPr="000A1C8E">
        <w:rPr>
          <w:rFonts w:ascii="Tahoma" w:hAnsi="Tahoma" w:cs="Tahoma"/>
          <w:sz w:val="18"/>
        </w:rPr>
        <w:t>Contrato Enterprise</w:t>
      </w:r>
    </w:p>
    <w:p w:rsidR="00456002" w:rsidRPr="000A1C8E" w:rsidRDefault="00456002" w:rsidP="00367329">
      <w:pPr>
        <w:pStyle w:val="AppendixIndent"/>
        <w:spacing w:before="0"/>
        <w:ind w:left="0" w:right="720"/>
        <w:rPr>
          <w:rFonts w:ascii="Tahoma" w:hAnsi="Tahoma" w:cs="Tahoma"/>
          <w:sz w:val="16"/>
          <w:szCs w:val="16"/>
        </w:rPr>
      </w:pPr>
    </w:p>
    <w:p w:rsidR="00023FE7" w:rsidRPr="000A1C8E" w:rsidRDefault="00456002" w:rsidP="00A12176">
      <w:pPr>
        <w:rPr>
          <w:rFonts w:cs="Tahoma"/>
        </w:rPr>
      </w:pPr>
      <w:r w:rsidRPr="000A1C8E">
        <w:rPr>
          <w:rFonts w:cs="Tahoma"/>
        </w:rPr>
        <w:t>Uma licença Work-at-Home só poderá ser adquirida em conjunto com um produto que ela estiver licenciada para executar em um desktop At Work. A oferta Work-at-Home não é uma oferta de plano de compra para funcionários. O</w:t>
      </w:r>
      <w:r w:rsidR="00367329" w:rsidRPr="000A1C8E">
        <w:rPr>
          <w:rFonts w:cs="Tahoma"/>
        </w:rPr>
        <w:t> </w:t>
      </w:r>
      <w:r w:rsidRPr="000A1C8E">
        <w:rPr>
          <w:rFonts w:cs="Tahoma"/>
        </w:rPr>
        <w:t>cliente da Licença Select, do Select Plus ou do Contrato Enterprise (não o funcionário) detém os direitos da licença</w:t>
      </w:r>
      <w:r w:rsidR="00367329" w:rsidRPr="000A1C8E">
        <w:rPr>
          <w:rFonts w:cs="Tahoma"/>
        </w:rPr>
        <w:t> </w:t>
      </w:r>
      <w:r w:rsidRPr="000A1C8E">
        <w:rPr>
          <w:rFonts w:cs="Tahoma"/>
        </w:rPr>
        <w:t>Work-at-Home.</w:t>
      </w:r>
      <w:r w:rsidR="00DC6D8B" w:rsidRPr="000A1C8E">
        <w:rPr>
          <w:rFonts w:cs="Tahoma"/>
        </w:rPr>
        <w:t xml:space="preserve"> </w:t>
      </w:r>
      <w:r w:rsidRPr="000A1C8E">
        <w:rPr>
          <w:rFonts w:cs="Tahoma"/>
        </w:rPr>
        <w:t>Para os direitos da licença Work-at-Home disponíveis para clientes qualificados da instituição acadêmica, consulte o Contrato/Registro.</w:t>
      </w:r>
      <w:r w:rsidR="00DC6D8B" w:rsidRPr="000A1C8E">
        <w:rPr>
          <w:rFonts w:cs="Tahoma"/>
        </w:rPr>
        <w:t xml:space="preserve"> </w:t>
      </w:r>
    </w:p>
    <w:p w:rsidR="00456002" w:rsidRPr="000A1C8E" w:rsidRDefault="00023FE7" w:rsidP="0033459E">
      <w:pPr>
        <w:pStyle w:val="Heading1"/>
        <w:rPr>
          <w:rFonts w:cs="Tahoma"/>
        </w:rPr>
      </w:pPr>
      <w:bookmarkStart w:id="667" w:name="_Section_5_–"/>
      <w:bookmarkEnd w:id="667"/>
      <w:r w:rsidRPr="000A1C8E">
        <w:rPr>
          <w:rFonts w:cs="Tahoma"/>
        </w:rPr>
        <w:br w:type="page"/>
      </w:r>
      <w:bookmarkStart w:id="668" w:name="_Toc336338207"/>
      <w:bookmarkStart w:id="669" w:name="_Toc361829290"/>
      <w:r w:rsidRPr="000A1C8E">
        <w:rPr>
          <w:rFonts w:cs="Tahoma"/>
        </w:rPr>
        <w:lastRenderedPageBreak/>
        <w:t>Seção 5 –</w:t>
      </w:r>
      <w:bookmarkStart w:id="670" w:name="Sect5_OnlineServices"/>
      <w:r w:rsidRPr="000A1C8E">
        <w:rPr>
          <w:rFonts w:cs="Tahoma"/>
        </w:rPr>
        <w:t xml:space="preserve"> PREÇOS DE SERVIÇOS ONLINE, PAGAMENTO e TERMOS Complementares</w:t>
      </w:r>
      <w:bookmarkEnd w:id="668"/>
      <w:bookmarkEnd w:id="669"/>
      <w:bookmarkEnd w:id="670"/>
    </w:p>
    <w:p w:rsidR="00456002" w:rsidRPr="000A1C8E" w:rsidRDefault="00456002" w:rsidP="00456002">
      <w:pPr>
        <w:outlineLvl w:val="2"/>
        <w:rPr>
          <w:rFonts w:cs="Tahoma"/>
          <w:sz w:val="16"/>
          <w:szCs w:val="16"/>
        </w:rPr>
      </w:pPr>
    </w:p>
    <w:p w:rsidR="00D85FDD" w:rsidRPr="000A1C8E" w:rsidRDefault="00D85FDD" w:rsidP="003C3A72">
      <w:pPr>
        <w:pStyle w:val="Heading2"/>
        <w:ind w:left="0"/>
        <w:rPr>
          <w:rFonts w:ascii="Tahoma" w:hAnsi="Tahoma" w:cs="Tahoma"/>
        </w:rPr>
      </w:pPr>
      <w:bookmarkStart w:id="671" w:name="_Toc361829291"/>
      <w:r w:rsidRPr="000A1C8E">
        <w:rPr>
          <w:rFonts w:ascii="Tahoma" w:hAnsi="Tahoma" w:cs="Tahoma"/>
          <w:sz w:val="32"/>
        </w:rPr>
        <w:t>Termos de Pagamento e Preços de Serviços Online</w:t>
      </w:r>
      <w:bookmarkEnd w:id="671"/>
    </w:p>
    <w:p w:rsidR="00D85FDD" w:rsidRPr="000A1C8E" w:rsidRDefault="00D85FDD" w:rsidP="00212CC6">
      <w:pPr>
        <w:outlineLvl w:val="2"/>
        <w:rPr>
          <w:rFonts w:cs="Tahoma"/>
          <w:sz w:val="16"/>
          <w:szCs w:val="16"/>
        </w:rPr>
      </w:pPr>
    </w:p>
    <w:p w:rsidR="00456002" w:rsidRPr="000A1C8E" w:rsidRDefault="00456002" w:rsidP="00212CC6">
      <w:pPr>
        <w:outlineLvl w:val="2"/>
        <w:rPr>
          <w:rFonts w:cs="Tahoma"/>
        </w:rPr>
      </w:pPr>
      <w:r w:rsidRPr="000A1C8E">
        <w:rPr>
          <w:rFonts w:cs="Tahoma"/>
          <w:szCs w:val="18"/>
        </w:rPr>
        <w:t>Os Serviços Online são produtos que incluem software com serviços disponíveis em uma assinatura baseada conforme descrito nos Direitos de Uso de Produto e fornecidos online.</w:t>
      </w:r>
      <w:r w:rsidR="00DC6D8B" w:rsidRPr="000A1C8E">
        <w:rPr>
          <w:rFonts w:cs="Tahoma"/>
          <w:szCs w:val="18"/>
        </w:rPr>
        <w:t xml:space="preserve"> </w:t>
      </w:r>
      <w:r w:rsidRPr="000A1C8E">
        <w:rPr>
          <w:rFonts w:cs="Tahoma"/>
          <w:szCs w:val="18"/>
        </w:rPr>
        <w:t>Alguns contratos de licença por volume direcionam os clientes para a Lista de Produtos para obter uma lista dos “Serviços Online” disponíveis. Para fins dessa referência, os Serviços Online incluem:</w:t>
      </w:r>
    </w:p>
    <w:p w:rsidR="002D25C8" w:rsidRPr="000A1C8E" w:rsidRDefault="002D25C8" w:rsidP="00212CC6">
      <w:pPr>
        <w:outlineLvl w:val="2"/>
        <w:rPr>
          <w:rFonts w:cs="Tahoma"/>
          <w:sz w:val="16"/>
          <w:szCs w:val="16"/>
        </w:rPr>
      </w:pPr>
    </w:p>
    <w:p w:rsidR="00456002" w:rsidRPr="000A1C8E" w:rsidRDefault="001B413E" w:rsidP="00346F4B">
      <w:pPr>
        <w:numPr>
          <w:ilvl w:val="0"/>
          <w:numId w:val="67"/>
        </w:numPr>
        <w:spacing w:after="60"/>
        <w:rPr>
          <w:rFonts w:cs="Tahoma"/>
        </w:rPr>
      </w:pPr>
      <w:r w:rsidRPr="000A1C8E">
        <w:rPr>
          <w:rFonts w:eastAsia="Calibri" w:cs="Tahoma"/>
          <w:color w:val="000000"/>
          <w:szCs w:val="18"/>
        </w:rPr>
        <w:t>Microsoft Dynamics CRM Online</w:t>
      </w:r>
    </w:p>
    <w:p w:rsidR="00456002" w:rsidRPr="000A1C8E" w:rsidRDefault="00456002" w:rsidP="00346F4B">
      <w:pPr>
        <w:numPr>
          <w:ilvl w:val="0"/>
          <w:numId w:val="67"/>
        </w:numPr>
        <w:spacing w:after="60"/>
        <w:rPr>
          <w:rFonts w:cs="Tahoma"/>
        </w:rPr>
      </w:pPr>
      <w:r w:rsidRPr="000A1C8E">
        <w:rPr>
          <w:rFonts w:eastAsia="Calibri" w:cs="Tahoma"/>
          <w:color w:val="000000"/>
          <w:szCs w:val="18"/>
        </w:rPr>
        <w:t>Arquivamento do Exchange Online para Exchange Server</w:t>
      </w:r>
    </w:p>
    <w:p w:rsidR="00456002" w:rsidRPr="000A1C8E" w:rsidRDefault="00456002" w:rsidP="00346F4B">
      <w:pPr>
        <w:numPr>
          <w:ilvl w:val="0"/>
          <w:numId w:val="67"/>
        </w:numPr>
        <w:spacing w:after="60"/>
        <w:rPr>
          <w:rFonts w:cs="Tahoma"/>
        </w:rPr>
      </w:pPr>
      <w:r w:rsidRPr="000A1C8E">
        <w:rPr>
          <w:rFonts w:eastAsia="Calibri" w:cs="Tahoma"/>
          <w:color w:val="000000"/>
          <w:szCs w:val="18"/>
        </w:rPr>
        <w:t xml:space="preserve">Quiosque do Exchange Online, Plano 1 e Plano 2 </w:t>
      </w:r>
    </w:p>
    <w:p w:rsidR="00456002" w:rsidRPr="000A1C8E" w:rsidRDefault="00456002" w:rsidP="00346F4B">
      <w:pPr>
        <w:numPr>
          <w:ilvl w:val="0"/>
          <w:numId w:val="67"/>
        </w:numPr>
        <w:spacing w:after="60"/>
        <w:rPr>
          <w:rFonts w:cs="Tahoma"/>
        </w:rPr>
      </w:pPr>
      <w:r w:rsidRPr="000A1C8E">
        <w:rPr>
          <w:rFonts w:eastAsia="Calibri" w:cs="Tahoma"/>
          <w:color w:val="000000"/>
          <w:szCs w:val="18"/>
        </w:rPr>
        <w:t>Lync Online Planos 1, 2 e 3</w:t>
      </w:r>
    </w:p>
    <w:p w:rsidR="00456002" w:rsidRPr="000A1C8E" w:rsidRDefault="00456002" w:rsidP="00346F4B">
      <w:pPr>
        <w:numPr>
          <w:ilvl w:val="0"/>
          <w:numId w:val="67"/>
        </w:numPr>
        <w:spacing w:after="60"/>
        <w:rPr>
          <w:rFonts w:cs="Tahoma"/>
        </w:rPr>
      </w:pPr>
      <w:r w:rsidRPr="000A1C8E">
        <w:rPr>
          <w:rFonts w:eastAsia="Calibri" w:cs="Tahoma"/>
          <w:color w:val="000000"/>
          <w:szCs w:val="18"/>
        </w:rPr>
        <w:t>Microsoft Exchange Hosted Continuity</w:t>
      </w:r>
    </w:p>
    <w:p w:rsidR="00456002" w:rsidRPr="000A1C8E" w:rsidRDefault="00456002" w:rsidP="00346F4B">
      <w:pPr>
        <w:numPr>
          <w:ilvl w:val="0"/>
          <w:numId w:val="67"/>
        </w:numPr>
        <w:spacing w:after="60"/>
        <w:rPr>
          <w:rFonts w:cs="Tahoma"/>
        </w:rPr>
      </w:pPr>
      <w:r w:rsidRPr="000A1C8E">
        <w:rPr>
          <w:rFonts w:eastAsia="Calibri" w:cs="Tahoma"/>
          <w:color w:val="000000"/>
          <w:szCs w:val="18"/>
        </w:rPr>
        <w:t>Microsoft Exchange Hosted Encryption</w:t>
      </w:r>
      <w:r w:rsidR="00DC6D8B" w:rsidRPr="000A1C8E">
        <w:rPr>
          <w:rFonts w:eastAsia="Calibri" w:cs="Tahoma"/>
          <w:color w:val="000000"/>
          <w:szCs w:val="18"/>
        </w:rPr>
        <w:t xml:space="preserve"> </w:t>
      </w:r>
    </w:p>
    <w:p w:rsidR="00456002" w:rsidRPr="000A1C8E" w:rsidRDefault="00456002" w:rsidP="00346F4B">
      <w:pPr>
        <w:numPr>
          <w:ilvl w:val="0"/>
          <w:numId w:val="67"/>
        </w:numPr>
        <w:spacing w:after="60"/>
        <w:rPr>
          <w:rFonts w:cs="Tahoma"/>
        </w:rPr>
      </w:pPr>
      <w:r w:rsidRPr="000A1C8E">
        <w:rPr>
          <w:rFonts w:eastAsia="Calibri" w:cs="Tahoma"/>
          <w:color w:val="000000"/>
          <w:szCs w:val="18"/>
        </w:rPr>
        <w:t>Office 365 Enterprise K1, E1, E2, E2, E3 e E4</w:t>
      </w:r>
    </w:p>
    <w:p w:rsidR="00456002" w:rsidRPr="000A1C8E" w:rsidRDefault="00456002" w:rsidP="00346F4B">
      <w:pPr>
        <w:numPr>
          <w:ilvl w:val="0"/>
          <w:numId w:val="67"/>
        </w:numPr>
        <w:spacing w:after="60"/>
        <w:rPr>
          <w:rFonts w:cs="Tahoma"/>
        </w:rPr>
      </w:pPr>
      <w:r w:rsidRPr="000A1C8E">
        <w:rPr>
          <w:rFonts w:eastAsia="Calibri" w:cs="Tahoma"/>
          <w:color w:val="000000"/>
          <w:szCs w:val="18"/>
        </w:rPr>
        <w:t>O Lync Server Public Instant Messaging Connectivity com Serviço de Mensagens Instantâneas AOL (America Online) e Serviço Windows Live Messenger</w:t>
      </w:r>
    </w:p>
    <w:p w:rsidR="00456002" w:rsidRPr="000A1C8E" w:rsidRDefault="00456002" w:rsidP="00346F4B">
      <w:pPr>
        <w:numPr>
          <w:ilvl w:val="0"/>
          <w:numId w:val="67"/>
        </w:numPr>
        <w:spacing w:after="60"/>
        <w:rPr>
          <w:rFonts w:cs="Tahoma"/>
        </w:rPr>
      </w:pPr>
      <w:r w:rsidRPr="000A1C8E">
        <w:rPr>
          <w:rFonts w:eastAsia="Calibri" w:cs="Tahoma"/>
          <w:color w:val="000000"/>
          <w:szCs w:val="18"/>
        </w:rPr>
        <w:t xml:space="preserve">Lync Server Public Instant Messaging Connectivity com Serviço de Mensagens Instantâneas Yahoo </w:t>
      </w:r>
    </w:p>
    <w:p w:rsidR="00456002" w:rsidRPr="000A1C8E" w:rsidRDefault="00456002" w:rsidP="00346F4B">
      <w:pPr>
        <w:numPr>
          <w:ilvl w:val="0"/>
          <w:numId w:val="67"/>
        </w:numPr>
        <w:spacing w:after="60"/>
        <w:rPr>
          <w:rFonts w:cs="Tahoma"/>
        </w:rPr>
      </w:pPr>
      <w:r w:rsidRPr="000A1C8E">
        <w:rPr>
          <w:rFonts w:eastAsia="Calibri" w:cs="Tahoma"/>
          <w:color w:val="000000"/>
          <w:szCs w:val="18"/>
        </w:rPr>
        <w:t>Office Groove Enterprise Services</w:t>
      </w:r>
    </w:p>
    <w:p w:rsidR="00061A45" w:rsidRPr="000A1C8E" w:rsidRDefault="008368B4" w:rsidP="00346F4B">
      <w:pPr>
        <w:numPr>
          <w:ilvl w:val="0"/>
          <w:numId w:val="67"/>
        </w:numPr>
        <w:spacing w:after="60"/>
        <w:rPr>
          <w:rFonts w:cs="Tahoma"/>
        </w:rPr>
      </w:pPr>
      <w:r w:rsidRPr="000A1C8E">
        <w:rPr>
          <w:rFonts w:eastAsia="Calibri" w:cs="Tahoma"/>
          <w:color w:val="000000"/>
          <w:szCs w:val="18"/>
        </w:rPr>
        <w:t>Office 365 ProPlus</w:t>
      </w:r>
    </w:p>
    <w:p w:rsidR="00456002" w:rsidRPr="000A1C8E" w:rsidRDefault="00456002" w:rsidP="00346F4B">
      <w:pPr>
        <w:numPr>
          <w:ilvl w:val="0"/>
          <w:numId w:val="67"/>
        </w:numPr>
        <w:spacing w:after="60"/>
        <w:rPr>
          <w:rFonts w:cs="Tahoma"/>
        </w:rPr>
      </w:pPr>
      <w:r w:rsidRPr="000A1C8E">
        <w:rPr>
          <w:rFonts w:eastAsia="Calibri" w:cs="Tahoma"/>
          <w:color w:val="000000"/>
          <w:szCs w:val="18"/>
        </w:rPr>
        <w:t>Office Live Meeting Standard e Professional Editions</w:t>
      </w:r>
    </w:p>
    <w:p w:rsidR="008368B4" w:rsidRPr="000A1C8E" w:rsidRDefault="008368B4" w:rsidP="00346F4B">
      <w:pPr>
        <w:numPr>
          <w:ilvl w:val="0"/>
          <w:numId w:val="67"/>
        </w:numPr>
        <w:spacing w:after="60"/>
        <w:rPr>
          <w:rFonts w:cs="Tahoma"/>
        </w:rPr>
      </w:pPr>
      <w:r w:rsidRPr="000A1C8E">
        <w:rPr>
          <w:rFonts w:eastAsia="Calibri" w:cs="Tahoma"/>
          <w:color w:val="000000"/>
          <w:szCs w:val="18"/>
        </w:rPr>
        <w:t>Project Online</w:t>
      </w:r>
    </w:p>
    <w:p w:rsidR="008368B4" w:rsidRPr="000A1C8E" w:rsidRDefault="008368B4" w:rsidP="00346F4B">
      <w:pPr>
        <w:numPr>
          <w:ilvl w:val="0"/>
          <w:numId w:val="67"/>
        </w:numPr>
        <w:spacing w:after="60"/>
        <w:rPr>
          <w:rFonts w:cs="Tahoma"/>
        </w:rPr>
      </w:pPr>
      <w:r w:rsidRPr="000A1C8E">
        <w:rPr>
          <w:rFonts w:eastAsia="Calibri" w:cs="Tahoma"/>
          <w:color w:val="000000"/>
          <w:szCs w:val="18"/>
        </w:rPr>
        <w:t>Project Pro para Office 365</w:t>
      </w:r>
    </w:p>
    <w:p w:rsidR="00456002" w:rsidRPr="000A1C8E" w:rsidRDefault="00456002" w:rsidP="00346F4B">
      <w:pPr>
        <w:numPr>
          <w:ilvl w:val="0"/>
          <w:numId w:val="67"/>
        </w:numPr>
        <w:spacing w:after="60"/>
        <w:rPr>
          <w:rFonts w:cs="Tahoma"/>
        </w:rPr>
      </w:pPr>
      <w:r w:rsidRPr="000A1C8E">
        <w:rPr>
          <w:rFonts w:eastAsia="Calibri" w:cs="Tahoma"/>
          <w:color w:val="000000"/>
          <w:szCs w:val="18"/>
        </w:rPr>
        <w:t xml:space="preserve">SharePoint Online Plano 1 e Plano 2 </w:t>
      </w:r>
    </w:p>
    <w:p w:rsidR="00456002" w:rsidRPr="000A1C8E" w:rsidRDefault="00456002" w:rsidP="00346F4B">
      <w:pPr>
        <w:numPr>
          <w:ilvl w:val="0"/>
          <w:numId w:val="67"/>
        </w:numPr>
        <w:spacing w:after="60"/>
        <w:rPr>
          <w:rFonts w:cs="Tahoma"/>
        </w:rPr>
      </w:pPr>
      <w:r w:rsidRPr="000A1C8E">
        <w:rPr>
          <w:rFonts w:eastAsia="Calibri" w:cs="Tahoma"/>
          <w:color w:val="000000"/>
          <w:szCs w:val="18"/>
        </w:rPr>
        <w:t>System Center Advisor</w:t>
      </w:r>
    </w:p>
    <w:p w:rsidR="008368B4" w:rsidRPr="000A1C8E" w:rsidRDefault="008368B4" w:rsidP="00346F4B">
      <w:pPr>
        <w:numPr>
          <w:ilvl w:val="0"/>
          <w:numId w:val="67"/>
        </w:numPr>
        <w:spacing w:after="60"/>
        <w:rPr>
          <w:rFonts w:cs="Tahoma"/>
        </w:rPr>
      </w:pPr>
      <w:r w:rsidRPr="000A1C8E">
        <w:rPr>
          <w:rFonts w:eastAsia="Calibri" w:cs="Tahoma"/>
          <w:color w:val="000000"/>
          <w:szCs w:val="18"/>
        </w:rPr>
        <w:t>Visio Pro para Office 365</w:t>
      </w:r>
    </w:p>
    <w:p w:rsidR="00456002" w:rsidRPr="000A1C8E" w:rsidRDefault="00456002" w:rsidP="00346F4B">
      <w:pPr>
        <w:numPr>
          <w:ilvl w:val="0"/>
          <w:numId w:val="67"/>
        </w:numPr>
        <w:spacing w:after="60"/>
        <w:rPr>
          <w:rFonts w:cs="Tahoma"/>
        </w:rPr>
      </w:pPr>
      <w:r w:rsidRPr="000A1C8E">
        <w:rPr>
          <w:rFonts w:eastAsia="Calibri" w:cs="Tahoma"/>
          <w:color w:val="000000"/>
          <w:szCs w:val="18"/>
        </w:rPr>
        <w:t>Serviços do Windows Azure</w:t>
      </w:r>
    </w:p>
    <w:p w:rsidR="00456002" w:rsidRPr="000A1C8E" w:rsidRDefault="00456002" w:rsidP="00346F4B">
      <w:pPr>
        <w:numPr>
          <w:ilvl w:val="0"/>
          <w:numId w:val="67"/>
        </w:numPr>
        <w:spacing w:after="60"/>
        <w:rPr>
          <w:rFonts w:cs="Tahoma"/>
        </w:rPr>
      </w:pPr>
      <w:r w:rsidRPr="000A1C8E">
        <w:rPr>
          <w:rFonts w:eastAsia="Calibri" w:cs="Tahoma"/>
          <w:color w:val="000000"/>
          <w:szCs w:val="18"/>
        </w:rPr>
        <w:t>Windows Intune e Complemento do Windows Intune para System Center Configuration Manager e System Center Endpoint Protection</w:t>
      </w:r>
    </w:p>
    <w:p w:rsidR="002D25C8" w:rsidRPr="000A1C8E" w:rsidRDefault="002D25C8" w:rsidP="00212CC6">
      <w:pPr>
        <w:rPr>
          <w:rFonts w:cs="Tahoma"/>
          <w:sz w:val="16"/>
          <w:szCs w:val="16"/>
        </w:rPr>
      </w:pPr>
    </w:p>
    <w:p w:rsidR="00456002" w:rsidRPr="000A1C8E" w:rsidRDefault="00456002" w:rsidP="00116EDC">
      <w:pPr>
        <w:outlineLvl w:val="2"/>
        <w:rPr>
          <w:rFonts w:cs="Tahoma"/>
        </w:rPr>
      </w:pPr>
      <w:r w:rsidRPr="000A1C8E">
        <w:rPr>
          <w:rFonts w:cs="Tahoma"/>
          <w:szCs w:val="18"/>
        </w:rPr>
        <w:t>Existem outras ofertas além daquelas identificadas na seção de Serviços Online dos Direitos de Uso de Produto.</w:t>
      </w:r>
      <w:r w:rsidR="00DC6D8B" w:rsidRPr="000A1C8E">
        <w:rPr>
          <w:rFonts w:cs="Tahoma"/>
          <w:szCs w:val="18"/>
        </w:rPr>
        <w:t xml:space="preserve"> </w:t>
      </w:r>
      <w:r w:rsidRPr="000A1C8E">
        <w:rPr>
          <w:rFonts w:cs="Tahoma"/>
          <w:szCs w:val="18"/>
        </w:rPr>
        <w:t>As</w:t>
      </w:r>
      <w:r w:rsidR="00367329" w:rsidRPr="000A1C8E">
        <w:rPr>
          <w:rFonts w:cs="Tahoma"/>
          <w:szCs w:val="18"/>
        </w:rPr>
        <w:t> </w:t>
      </w:r>
      <w:r w:rsidRPr="000A1C8E">
        <w:rPr>
          <w:rFonts w:cs="Tahoma"/>
          <w:szCs w:val="18"/>
        </w:rPr>
        <w:t>seções restantes desses “Termos de Preços e Pagamentos dos Serviços Online” se aplicam aos Serviços Online identificados por nome anteriormente e a essas outras ofertas.</w:t>
      </w:r>
    </w:p>
    <w:p w:rsidR="00116EDC" w:rsidRPr="000A1C8E" w:rsidRDefault="00116EDC" w:rsidP="00116EDC">
      <w:pPr>
        <w:outlineLvl w:val="2"/>
        <w:rPr>
          <w:rFonts w:cs="Tahoma"/>
          <w:sz w:val="16"/>
          <w:szCs w:val="16"/>
        </w:rPr>
      </w:pPr>
    </w:p>
    <w:p w:rsidR="00456002" w:rsidRPr="000A1C8E" w:rsidRDefault="00456002" w:rsidP="004C37C0">
      <w:pPr>
        <w:pStyle w:val="Heading2"/>
        <w:ind w:left="0"/>
        <w:rPr>
          <w:rFonts w:ascii="Tahoma" w:hAnsi="Tahoma" w:cs="Tahoma"/>
        </w:rPr>
      </w:pPr>
      <w:bookmarkStart w:id="672" w:name="_Toc336338208"/>
      <w:bookmarkStart w:id="673" w:name="_Toc361829292"/>
      <w:r w:rsidRPr="000A1C8E">
        <w:rPr>
          <w:rFonts w:ascii="Tahoma" w:hAnsi="Tahoma" w:cs="Tahoma"/>
        </w:rPr>
        <w:t>Prazo da assinatura de Serviços Online</w:t>
      </w:r>
      <w:bookmarkEnd w:id="672"/>
      <w:bookmarkEnd w:id="673"/>
    </w:p>
    <w:p w:rsidR="00456002" w:rsidRPr="000A1C8E" w:rsidRDefault="00456002" w:rsidP="004C37C0">
      <w:pPr>
        <w:outlineLvl w:val="2"/>
        <w:rPr>
          <w:rFonts w:cs="Tahoma"/>
          <w:sz w:val="16"/>
          <w:szCs w:val="16"/>
        </w:rPr>
      </w:pPr>
    </w:p>
    <w:p w:rsidR="006A5DAE" w:rsidRPr="000A1C8E" w:rsidRDefault="00456002" w:rsidP="004C37C0">
      <w:pPr>
        <w:outlineLvl w:val="2"/>
        <w:rPr>
          <w:rFonts w:cs="Tahoma"/>
          <w:spacing w:val="-2"/>
        </w:rPr>
      </w:pPr>
      <w:r w:rsidRPr="000A1C8E">
        <w:rPr>
          <w:rFonts w:cs="Tahoma"/>
          <w:spacing w:val="-2"/>
          <w:szCs w:val="18"/>
        </w:rPr>
        <w:t>A compra inicial de uma nova assinatura de serviços online determinará a duração do prazo da assinatura.</w:t>
      </w:r>
      <w:r w:rsidR="00DC6D8B" w:rsidRPr="000A1C8E">
        <w:rPr>
          <w:rFonts w:cs="Tahoma"/>
          <w:spacing w:val="-2"/>
          <w:szCs w:val="18"/>
        </w:rPr>
        <w:t xml:space="preserve"> </w:t>
      </w:r>
      <w:r w:rsidRPr="000A1C8E">
        <w:rPr>
          <w:rFonts w:cs="Tahoma"/>
          <w:spacing w:val="-2"/>
          <w:szCs w:val="18"/>
        </w:rPr>
        <w:t>Alguns serviços permitem ao cliente optar entre um prazo de assinatura de um ano ou uma assinatura que acaba na data de</w:t>
      </w:r>
      <w:r w:rsidR="00367329" w:rsidRPr="000A1C8E">
        <w:rPr>
          <w:rFonts w:cs="Tahoma"/>
          <w:spacing w:val="-2"/>
          <w:szCs w:val="18"/>
        </w:rPr>
        <w:t> </w:t>
      </w:r>
      <w:r w:rsidRPr="000A1C8E">
        <w:rPr>
          <w:rFonts w:cs="Tahoma"/>
          <w:spacing w:val="-2"/>
          <w:szCs w:val="18"/>
        </w:rPr>
        <w:t>término do contrato ou registro do cliente (“coextensiva”) conforme indicado na tabela a seguir.</w:t>
      </w:r>
      <w:r w:rsidR="00DC6D8B" w:rsidRPr="000A1C8E">
        <w:rPr>
          <w:rFonts w:cs="Tahoma"/>
          <w:spacing w:val="-2"/>
          <w:szCs w:val="18"/>
        </w:rPr>
        <w:t xml:space="preserve"> </w:t>
      </w:r>
      <w:r w:rsidRPr="000A1C8E">
        <w:rPr>
          <w:rFonts w:cs="Tahoma"/>
          <w:spacing w:val="-2"/>
          <w:szCs w:val="18"/>
        </w:rPr>
        <w:t>O Select Plus não</w:t>
      </w:r>
      <w:r w:rsidR="00367329" w:rsidRPr="000A1C8E">
        <w:rPr>
          <w:rFonts w:cs="Tahoma"/>
          <w:spacing w:val="-2"/>
          <w:szCs w:val="18"/>
        </w:rPr>
        <w:t> </w:t>
      </w:r>
      <w:r w:rsidRPr="000A1C8E">
        <w:rPr>
          <w:rFonts w:cs="Tahoma"/>
          <w:spacing w:val="-2"/>
          <w:szCs w:val="18"/>
        </w:rPr>
        <w:t>oferece a opção coextensiva, mas permite ao cliente optar pelos termos de assinatura, incluindo 1 ano, 3 anos ou para alinhar o segundo aniversário a partir da data de início do prazo.</w:t>
      </w:r>
      <w:r w:rsidR="00DC6D8B" w:rsidRPr="000A1C8E">
        <w:rPr>
          <w:rFonts w:cs="Tahoma"/>
          <w:spacing w:val="-2"/>
          <w:szCs w:val="18"/>
        </w:rPr>
        <w:t xml:space="preserve"> </w:t>
      </w:r>
      <w:r w:rsidRPr="000A1C8E">
        <w:rPr>
          <w:rFonts w:cs="Tahoma"/>
          <w:spacing w:val="-2"/>
          <w:szCs w:val="18"/>
        </w:rPr>
        <w:t>O prazo de assinatura de um ano pode não</w:t>
      </w:r>
      <w:r w:rsidR="00367329" w:rsidRPr="000A1C8E">
        <w:rPr>
          <w:rFonts w:cs="Tahoma"/>
          <w:spacing w:val="-2"/>
          <w:szCs w:val="18"/>
        </w:rPr>
        <w:t> </w:t>
      </w:r>
      <w:r w:rsidRPr="000A1C8E">
        <w:rPr>
          <w:rFonts w:cs="Tahoma"/>
          <w:spacing w:val="-2"/>
          <w:szCs w:val="18"/>
        </w:rPr>
        <w:t>estar alinhado nem expirar na data de término do contrato do cliente.</w:t>
      </w:r>
      <w:r w:rsidR="00DC6D8B" w:rsidRPr="000A1C8E">
        <w:rPr>
          <w:rFonts w:cs="Tahoma"/>
          <w:spacing w:val="-2"/>
          <w:szCs w:val="18"/>
        </w:rPr>
        <w:t xml:space="preserve"> </w:t>
      </w:r>
      <w:r w:rsidRPr="000A1C8E">
        <w:rPr>
          <w:rFonts w:cs="Tahoma"/>
          <w:spacing w:val="-2"/>
          <w:szCs w:val="18"/>
        </w:rPr>
        <w:t>Se o prazo de assinatura de um ano se encerrar após o contrato, o cliente deverá ter um contrato de licenciamento por volume ativo para solicitar licenças adicionais ou renovar o serviço.</w:t>
      </w:r>
      <w:r w:rsidR="00DC6D8B" w:rsidRPr="000A1C8E">
        <w:rPr>
          <w:rFonts w:cs="Tahoma"/>
          <w:spacing w:val="-2"/>
          <w:szCs w:val="18"/>
        </w:rPr>
        <w:t xml:space="preserve"> </w:t>
      </w:r>
      <w:r w:rsidRPr="000A1C8E">
        <w:rPr>
          <w:rFonts w:cs="Tahoma"/>
          <w:spacing w:val="-2"/>
          <w:szCs w:val="18"/>
        </w:rPr>
        <w:t>Se o cliente fizer compras adicionais de um serviço, o prazo da assinatura da compra adicional deverá estar alinhado com o prazo da assinatura existente do cliente para o mesmo serviço.</w:t>
      </w:r>
      <w:r w:rsidR="00DC6D8B" w:rsidRPr="000A1C8E">
        <w:rPr>
          <w:rFonts w:cs="Tahoma"/>
          <w:spacing w:val="-2"/>
          <w:szCs w:val="18"/>
        </w:rPr>
        <w:t xml:space="preserve"> </w:t>
      </w:r>
      <w:r w:rsidRPr="000A1C8E">
        <w:rPr>
          <w:rFonts w:cs="Tahoma"/>
          <w:spacing w:val="-2"/>
          <w:szCs w:val="18"/>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DC6D8B" w:rsidRPr="000A1C8E">
        <w:rPr>
          <w:rFonts w:cs="Tahoma"/>
          <w:spacing w:val="-2"/>
          <w:szCs w:val="18"/>
        </w:rPr>
        <w:t xml:space="preserve"> </w:t>
      </w:r>
      <w:r w:rsidRPr="000A1C8E">
        <w:rPr>
          <w:rFonts w:cs="Tahoma"/>
          <w:spacing w:val="-2"/>
          <w:szCs w:val="18"/>
        </w:rPr>
        <w:t xml:space="preserve">Para informações específicas dos Serviços do Windows Azure, consulte a seção Serviços do Windows Azure abaixo.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0A1C8E"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0A1C8E" w:rsidRDefault="00456002" w:rsidP="005C647E">
            <w:pPr>
              <w:jc w:val="center"/>
              <w:rPr>
                <w:rFonts w:eastAsia="Calibri" w:cs="Tahoma"/>
                <w:b/>
                <w:bCs/>
                <w:sz w:val="20"/>
                <w:szCs w:val="18"/>
              </w:rPr>
            </w:pPr>
            <w:r w:rsidRPr="000A1C8E">
              <w:rPr>
                <w:rFonts w:eastAsia="Calibri" w:cs="Tahoma"/>
                <w:b/>
                <w:bCs/>
                <w:sz w:val="20"/>
                <w:szCs w:val="18"/>
              </w:rPr>
              <w:lastRenderedPageBreak/>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0A1C8E" w:rsidRDefault="00456002" w:rsidP="005C647E">
            <w:pPr>
              <w:jc w:val="center"/>
              <w:rPr>
                <w:rFonts w:eastAsia="Calibri" w:cs="Tahoma"/>
                <w:b/>
                <w:bCs/>
                <w:sz w:val="20"/>
                <w:szCs w:val="18"/>
              </w:rPr>
            </w:pPr>
            <w:r w:rsidRPr="000A1C8E">
              <w:rPr>
                <w:rFonts w:eastAsia="Calibri" w:cs="Tahoma"/>
                <w:b/>
                <w:bCs/>
                <w:sz w:val="20"/>
                <w:szCs w:val="18"/>
              </w:rPr>
              <w:t>Serviços Online Disponíveis Apenas para Termo de Assinatura Coextensiva</w:t>
            </w:r>
          </w:p>
        </w:tc>
      </w:tr>
      <w:tr w:rsidR="00456002" w:rsidRPr="000A1C8E"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Bing Maps Enterprise</w:t>
            </w:r>
          </w:p>
          <w:p w:rsidR="00AD481C" w:rsidRPr="000A1C8E" w:rsidRDefault="00AD481C" w:rsidP="00346F4B">
            <w:pPr>
              <w:numPr>
                <w:ilvl w:val="0"/>
                <w:numId w:val="68"/>
              </w:numPr>
              <w:spacing w:after="60"/>
              <w:ind w:left="720" w:right="259"/>
              <w:rPr>
                <w:rFonts w:cs="Tahoma"/>
              </w:rPr>
            </w:pPr>
            <w:r w:rsidRPr="000A1C8E">
              <w:rPr>
                <w:rFonts w:eastAsia="Calibri" w:cs="Tahoma"/>
                <w:color w:val="000000"/>
                <w:szCs w:val="18"/>
              </w:rPr>
              <w:t>Gerenciamento de Ativos Móveis do Bing Maps</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Exchange Online Protection</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Forefront Protection 2010 for Exchange Server</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 xml:space="preserve">Forefront Protection 2010 para SharePoint </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Forefront Protection Suite</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Forefront Security for Office Communications Server</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Forefront Threat Management Gateway Web Protection Service</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O Lync Server Public Instant Messaging Connectivity com Serviço de Mensagens Instantâneas AOL (America Online) e Serviço Windows Live Messenger</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 xml:space="preserve">Lync Server Public Instant Messaging Connectivity com Serviço de Mensagens Instantâneas Yahoo </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Microsoft Exchange Hosted Encryption</w:t>
            </w:r>
            <w:r w:rsidR="00DC6D8B" w:rsidRPr="000A1C8E">
              <w:rPr>
                <w:rFonts w:eastAsia="Calibri" w:cs="Tahoma"/>
                <w:color w:val="000000"/>
                <w:szCs w:val="18"/>
              </w:rPr>
              <w:t xml:space="preserve"> </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Microsoft Learning Solutions</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Office Groove Enterprise Services</w:t>
            </w:r>
          </w:p>
          <w:p w:rsidR="00456002" w:rsidRPr="000A1C8E" w:rsidRDefault="00456002" w:rsidP="00346F4B">
            <w:pPr>
              <w:numPr>
                <w:ilvl w:val="0"/>
                <w:numId w:val="68"/>
              </w:numPr>
              <w:spacing w:after="60"/>
              <w:ind w:left="720" w:right="259"/>
              <w:rPr>
                <w:rFonts w:cs="Tahoma"/>
              </w:rPr>
            </w:pPr>
            <w:r w:rsidRPr="000A1C8E">
              <w:rPr>
                <w:rFonts w:eastAsia="Calibri" w:cs="Tahoma"/>
                <w:color w:val="000000"/>
                <w:szCs w:val="18"/>
              </w:rPr>
              <w:t>System Center 2012 Endpoint Protection</w:t>
            </w:r>
          </w:p>
          <w:p w:rsidR="00456002" w:rsidRPr="000A1C8E" w:rsidRDefault="00456002" w:rsidP="00346F4B">
            <w:pPr>
              <w:numPr>
                <w:ilvl w:val="0"/>
                <w:numId w:val="68"/>
              </w:numPr>
              <w:spacing w:after="60"/>
              <w:ind w:left="720" w:right="259"/>
              <w:rPr>
                <w:rFonts w:eastAsia="Calibri" w:cs="Tahoma"/>
                <w:color w:val="000000"/>
                <w:szCs w:val="18"/>
              </w:rPr>
            </w:pPr>
            <w:r w:rsidRPr="000A1C8E">
              <w:rPr>
                <w:rFonts w:eastAsia="Calibri" w:cs="Tahoma"/>
                <w:color w:val="000000"/>
                <w:szCs w:val="18"/>
              </w:rPr>
              <w:t>Serviços do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0A1C8E" w:rsidRDefault="001B413E" w:rsidP="00346F4B">
            <w:pPr>
              <w:numPr>
                <w:ilvl w:val="0"/>
                <w:numId w:val="69"/>
              </w:numPr>
              <w:spacing w:after="60"/>
              <w:ind w:left="576" w:right="187"/>
              <w:rPr>
                <w:rFonts w:cs="Tahoma"/>
              </w:rPr>
            </w:pPr>
            <w:r w:rsidRPr="000A1C8E">
              <w:rPr>
                <w:rFonts w:eastAsia="Calibri" w:cs="Tahoma"/>
                <w:color w:val="000000"/>
                <w:szCs w:val="18"/>
              </w:rPr>
              <w:t xml:space="preserve">Microsoft Dynamics CRM Online </w:t>
            </w:r>
          </w:p>
          <w:p w:rsidR="00456002" w:rsidRPr="000A1C8E" w:rsidRDefault="00456002" w:rsidP="00346F4B">
            <w:pPr>
              <w:numPr>
                <w:ilvl w:val="0"/>
                <w:numId w:val="69"/>
              </w:numPr>
              <w:spacing w:after="60"/>
              <w:ind w:left="576" w:right="187"/>
              <w:rPr>
                <w:rFonts w:cs="Tahoma"/>
              </w:rPr>
            </w:pPr>
            <w:r w:rsidRPr="000A1C8E">
              <w:rPr>
                <w:rFonts w:eastAsia="Calibri" w:cs="Tahoma"/>
                <w:color w:val="000000"/>
                <w:szCs w:val="18"/>
              </w:rPr>
              <w:t>Dynamics Mobile</w:t>
            </w:r>
          </w:p>
          <w:p w:rsidR="00456002" w:rsidRPr="000A1C8E" w:rsidRDefault="00456002" w:rsidP="00346F4B">
            <w:pPr>
              <w:numPr>
                <w:ilvl w:val="0"/>
                <w:numId w:val="69"/>
              </w:numPr>
              <w:spacing w:after="60"/>
              <w:ind w:left="576" w:right="187"/>
              <w:rPr>
                <w:rFonts w:cs="Tahoma"/>
              </w:rPr>
            </w:pPr>
            <w:r w:rsidRPr="000A1C8E">
              <w:rPr>
                <w:rFonts w:eastAsia="Calibri" w:cs="Tahoma"/>
                <w:color w:val="000000"/>
                <w:szCs w:val="18"/>
              </w:rPr>
              <w:t>Dynamics Onprem Mobile</w:t>
            </w:r>
          </w:p>
          <w:p w:rsidR="009B3FA2" w:rsidRPr="000A1C8E" w:rsidRDefault="009B3FA2" w:rsidP="00346F4B">
            <w:pPr>
              <w:numPr>
                <w:ilvl w:val="0"/>
                <w:numId w:val="69"/>
              </w:numPr>
              <w:spacing w:after="60"/>
              <w:ind w:left="576" w:right="187"/>
              <w:rPr>
                <w:rFonts w:cs="Tahoma"/>
              </w:rPr>
            </w:pPr>
            <w:r w:rsidRPr="000A1C8E">
              <w:rPr>
                <w:rFonts w:eastAsia="Calibri" w:cs="Tahoma"/>
                <w:color w:val="000000"/>
                <w:szCs w:val="18"/>
              </w:rPr>
              <w:t>Arquivamento do Exchange Online para Exchange Online</w:t>
            </w:r>
          </w:p>
          <w:p w:rsidR="00456002" w:rsidRPr="000A1C8E" w:rsidRDefault="00456002" w:rsidP="00346F4B">
            <w:pPr>
              <w:numPr>
                <w:ilvl w:val="0"/>
                <w:numId w:val="69"/>
              </w:numPr>
              <w:spacing w:after="60"/>
              <w:ind w:left="576" w:right="187"/>
              <w:rPr>
                <w:rFonts w:cs="Tahoma"/>
              </w:rPr>
            </w:pPr>
            <w:r w:rsidRPr="000A1C8E">
              <w:rPr>
                <w:rFonts w:eastAsia="Calibri" w:cs="Tahoma"/>
                <w:color w:val="000000"/>
                <w:szCs w:val="18"/>
              </w:rPr>
              <w:t>Arquivamento do Exchange Online para Exchange Server</w:t>
            </w:r>
          </w:p>
          <w:p w:rsidR="00456002" w:rsidRPr="000A1C8E" w:rsidRDefault="00456002" w:rsidP="004C37C0">
            <w:pPr>
              <w:numPr>
                <w:ilvl w:val="0"/>
                <w:numId w:val="69"/>
              </w:numPr>
              <w:spacing w:after="60"/>
              <w:ind w:left="576" w:right="187"/>
              <w:rPr>
                <w:rFonts w:cs="Tahoma"/>
              </w:rPr>
            </w:pPr>
            <w:r w:rsidRPr="000A1C8E">
              <w:rPr>
                <w:rFonts w:eastAsia="Calibri" w:cs="Tahoma"/>
                <w:color w:val="000000"/>
                <w:szCs w:val="18"/>
              </w:rPr>
              <w:t>Quiosque do Exchange Online, Plano 1 e</w:t>
            </w:r>
            <w:r w:rsidR="004C37C0" w:rsidRPr="000A1C8E">
              <w:rPr>
                <w:rFonts w:eastAsia="Calibri" w:cs="Tahoma"/>
                <w:color w:val="000000"/>
                <w:szCs w:val="18"/>
              </w:rPr>
              <w:t> </w:t>
            </w:r>
            <w:r w:rsidRPr="000A1C8E">
              <w:rPr>
                <w:rFonts w:eastAsia="Calibri" w:cs="Tahoma"/>
                <w:color w:val="000000"/>
                <w:szCs w:val="18"/>
              </w:rPr>
              <w:t xml:space="preserve">Plano 2 </w:t>
            </w:r>
          </w:p>
          <w:p w:rsidR="00456002" w:rsidRPr="000A1C8E" w:rsidRDefault="00456002" w:rsidP="00346F4B">
            <w:pPr>
              <w:numPr>
                <w:ilvl w:val="0"/>
                <w:numId w:val="69"/>
              </w:numPr>
              <w:spacing w:after="60"/>
              <w:ind w:left="576" w:right="187"/>
              <w:rPr>
                <w:rFonts w:cs="Tahoma"/>
              </w:rPr>
            </w:pPr>
            <w:r w:rsidRPr="000A1C8E">
              <w:rPr>
                <w:rFonts w:eastAsia="Calibri" w:cs="Tahoma"/>
                <w:color w:val="000000"/>
                <w:szCs w:val="18"/>
              </w:rPr>
              <w:t>Lync Online Planos 1, 2 e 3</w:t>
            </w:r>
          </w:p>
          <w:p w:rsidR="009B3FA2" w:rsidRPr="000A1C8E" w:rsidRDefault="00456002" w:rsidP="00346F4B">
            <w:pPr>
              <w:numPr>
                <w:ilvl w:val="0"/>
                <w:numId w:val="69"/>
              </w:numPr>
              <w:spacing w:after="60"/>
              <w:ind w:left="576" w:right="187"/>
              <w:rPr>
                <w:rFonts w:cs="Tahoma"/>
              </w:rPr>
            </w:pPr>
            <w:r w:rsidRPr="000A1C8E">
              <w:rPr>
                <w:rFonts w:eastAsia="Calibri" w:cs="Tahoma"/>
                <w:color w:val="000000"/>
                <w:szCs w:val="18"/>
              </w:rPr>
              <w:t>Office 365 Education A2, A3 e A4</w:t>
            </w:r>
          </w:p>
          <w:p w:rsidR="00456002" w:rsidRPr="000A1C8E" w:rsidRDefault="009B3FA2" w:rsidP="00346F4B">
            <w:pPr>
              <w:numPr>
                <w:ilvl w:val="0"/>
                <w:numId w:val="69"/>
              </w:numPr>
              <w:spacing w:after="60"/>
              <w:ind w:left="576" w:right="187"/>
              <w:rPr>
                <w:rFonts w:cs="Tahoma"/>
              </w:rPr>
            </w:pPr>
            <w:r w:rsidRPr="000A1C8E">
              <w:rPr>
                <w:rFonts w:eastAsia="Calibri" w:cs="Tahoma"/>
                <w:color w:val="000000"/>
                <w:szCs w:val="18"/>
              </w:rPr>
              <w:t>Office 365 Enterprise K1, K2,E1, E2, E2, E3 e E4</w:t>
            </w:r>
          </w:p>
          <w:p w:rsidR="00061A45" w:rsidRPr="000A1C8E" w:rsidRDefault="008368B4" w:rsidP="00346F4B">
            <w:pPr>
              <w:numPr>
                <w:ilvl w:val="0"/>
                <w:numId w:val="69"/>
              </w:numPr>
              <w:spacing w:after="60"/>
              <w:ind w:left="576" w:right="187"/>
              <w:rPr>
                <w:rFonts w:cs="Tahoma"/>
              </w:rPr>
            </w:pPr>
            <w:r w:rsidRPr="000A1C8E">
              <w:rPr>
                <w:rFonts w:eastAsia="Calibri" w:cs="Tahoma"/>
                <w:color w:val="000000"/>
                <w:szCs w:val="18"/>
              </w:rPr>
              <w:t>Office 365 ProPlus</w:t>
            </w:r>
          </w:p>
          <w:p w:rsidR="00456002" w:rsidRPr="000A1C8E" w:rsidRDefault="00456002" w:rsidP="00346F4B">
            <w:pPr>
              <w:numPr>
                <w:ilvl w:val="0"/>
                <w:numId w:val="69"/>
              </w:numPr>
              <w:spacing w:after="60"/>
              <w:ind w:left="576" w:right="187"/>
              <w:rPr>
                <w:rFonts w:cs="Tahoma"/>
              </w:rPr>
            </w:pPr>
            <w:r w:rsidRPr="000A1C8E">
              <w:rPr>
                <w:rFonts w:eastAsia="Calibri" w:cs="Tahoma"/>
                <w:color w:val="000000"/>
                <w:szCs w:val="18"/>
              </w:rPr>
              <w:t>Aplicativos da Web do Office</w:t>
            </w:r>
          </w:p>
          <w:p w:rsidR="008368B4" w:rsidRPr="000A1C8E" w:rsidRDefault="008368B4" w:rsidP="00346F4B">
            <w:pPr>
              <w:numPr>
                <w:ilvl w:val="0"/>
                <w:numId w:val="69"/>
              </w:numPr>
              <w:spacing w:after="60"/>
              <w:ind w:left="576" w:right="187"/>
              <w:rPr>
                <w:rFonts w:cs="Tahoma"/>
              </w:rPr>
            </w:pPr>
            <w:r w:rsidRPr="000A1C8E">
              <w:rPr>
                <w:rFonts w:eastAsia="Calibri" w:cs="Tahoma"/>
                <w:color w:val="000000"/>
                <w:szCs w:val="18"/>
              </w:rPr>
              <w:t>Project Online</w:t>
            </w:r>
          </w:p>
          <w:p w:rsidR="008368B4" w:rsidRPr="000A1C8E" w:rsidRDefault="008368B4" w:rsidP="00346F4B">
            <w:pPr>
              <w:numPr>
                <w:ilvl w:val="0"/>
                <w:numId w:val="69"/>
              </w:numPr>
              <w:spacing w:after="60"/>
              <w:ind w:left="576" w:right="187"/>
              <w:rPr>
                <w:rFonts w:cs="Tahoma"/>
              </w:rPr>
            </w:pPr>
            <w:r w:rsidRPr="000A1C8E">
              <w:rPr>
                <w:rFonts w:eastAsia="Calibri" w:cs="Tahoma"/>
                <w:color w:val="000000"/>
                <w:szCs w:val="18"/>
              </w:rPr>
              <w:t>Project Pro para Office 365</w:t>
            </w:r>
          </w:p>
          <w:p w:rsidR="00456002" w:rsidRPr="000A1C8E" w:rsidRDefault="00456002" w:rsidP="00346F4B">
            <w:pPr>
              <w:numPr>
                <w:ilvl w:val="0"/>
                <w:numId w:val="69"/>
              </w:numPr>
              <w:spacing w:after="60"/>
              <w:ind w:left="576" w:right="187"/>
              <w:rPr>
                <w:rFonts w:cs="Tahoma"/>
              </w:rPr>
            </w:pPr>
            <w:r w:rsidRPr="000A1C8E">
              <w:rPr>
                <w:rFonts w:eastAsia="Calibri" w:cs="Tahoma"/>
                <w:color w:val="000000"/>
                <w:szCs w:val="18"/>
              </w:rPr>
              <w:t xml:space="preserve">SharePoint Online Plano 1 e Plano 2 </w:t>
            </w:r>
          </w:p>
          <w:p w:rsidR="00456002" w:rsidRPr="000A1C8E" w:rsidRDefault="00456002" w:rsidP="00346F4B">
            <w:pPr>
              <w:numPr>
                <w:ilvl w:val="0"/>
                <w:numId w:val="69"/>
              </w:numPr>
              <w:spacing w:after="60"/>
              <w:ind w:left="576" w:right="187"/>
              <w:rPr>
                <w:rFonts w:cs="Tahoma"/>
              </w:rPr>
            </w:pPr>
            <w:r w:rsidRPr="000A1C8E">
              <w:rPr>
                <w:rFonts w:eastAsia="Calibri" w:cs="Tahoma"/>
                <w:color w:val="000000"/>
                <w:szCs w:val="18"/>
              </w:rPr>
              <w:t>Windows Intune</w:t>
            </w:r>
          </w:p>
          <w:p w:rsidR="00456002" w:rsidRPr="000A1C8E" w:rsidRDefault="003929D1" w:rsidP="00346F4B">
            <w:pPr>
              <w:numPr>
                <w:ilvl w:val="0"/>
                <w:numId w:val="69"/>
              </w:numPr>
              <w:spacing w:after="60"/>
              <w:ind w:left="576" w:right="187"/>
              <w:rPr>
                <w:rFonts w:cs="Tahoma"/>
              </w:rPr>
            </w:pPr>
            <w:r w:rsidRPr="000A1C8E">
              <w:rPr>
                <w:rFonts w:eastAsia="Calibri" w:cs="Tahoma"/>
                <w:color w:val="000000"/>
                <w:szCs w:val="18"/>
              </w:rPr>
              <w:t>Complemento do Windows Intune</w:t>
            </w:r>
          </w:p>
          <w:p w:rsidR="009B3FA2" w:rsidRPr="000A1C8E" w:rsidRDefault="009B3FA2" w:rsidP="00346F4B">
            <w:pPr>
              <w:numPr>
                <w:ilvl w:val="0"/>
                <w:numId w:val="69"/>
              </w:numPr>
              <w:spacing w:after="60"/>
              <w:ind w:left="576" w:right="187"/>
              <w:rPr>
                <w:rFonts w:eastAsia="Calibri" w:cs="Tahoma"/>
                <w:szCs w:val="18"/>
              </w:rPr>
            </w:pPr>
            <w:r w:rsidRPr="000A1C8E">
              <w:rPr>
                <w:rFonts w:eastAsia="Calibri" w:cs="Tahoma"/>
                <w:color w:val="000000"/>
                <w:szCs w:val="18"/>
              </w:rPr>
              <w:t>Yammer Enterprise</w:t>
            </w:r>
          </w:p>
        </w:tc>
      </w:tr>
    </w:tbl>
    <w:p w:rsidR="00171817" w:rsidRPr="000A1C8E" w:rsidRDefault="00171817" w:rsidP="00212CC6">
      <w:pPr>
        <w:pStyle w:val="Heading2"/>
        <w:ind w:left="0"/>
        <w:rPr>
          <w:rFonts w:ascii="Tahoma" w:hAnsi="Tahoma" w:cs="Tahoma"/>
          <w:sz w:val="14"/>
          <w:szCs w:val="14"/>
        </w:rPr>
      </w:pPr>
    </w:p>
    <w:p w:rsidR="00456002" w:rsidRPr="000A1C8E" w:rsidRDefault="00456002" w:rsidP="004C37C0">
      <w:pPr>
        <w:pStyle w:val="Heading2"/>
        <w:ind w:left="0"/>
        <w:rPr>
          <w:rFonts w:ascii="Tahoma" w:hAnsi="Tahoma" w:cs="Tahoma"/>
        </w:rPr>
      </w:pPr>
      <w:bookmarkStart w:id="674" w:name="_Toc336338209"/>
      <w:bookmarkStart w:id="675" w:name="_Toc361829293"/>
      <w:r w:rsidRPr="000A1C8E">
        <w:rPr>
          <w:rFonts w:ascii="Tahoma" w:hAnsi="Tahoma" w:cs="Tahoma"/>
        </w:rPr>
        <w:t>Compras e renovação automática em Serviços Online</w:t>
      </w:r>
      <w:bookmarkEnd w:id="674"/>
      <w:bookmarkEnd w:id="675"/>
      <w:r w:rsidRPr="000A1C8E">
        <w:rPr>
          <w:rFonts w:ascii="Tahoma" w:hAnsi="Tahoma" w:cs="Tahoma"/>
        </w:rPr>
        <w:t xml:space="preserve"> </w:t>
      </w:r>
    </w:p>
    <w:p w:rsidR="00456002" w:rsidRPr="000A1C8E" w:rsidRDefault="00456002" w:rsidP="004C37C0">
      <w:pPr>
        <w:outlineLvl w:val="2"/>
        <w:rPr>
          <w:rFonts w:cs="Tahoma"/>
          <w:b/>
          <w:sz w:val="14"/>
          <w:szCs w:val="14"/>
        </w:rPr>
      </w:pPr>
    </w:p>
    <w:p w:rsidR="00456002" w:rsidRPr="000A1C8E" w:rsidRDefault="00456002" w:rsidP="004C37C0">
      <w:pPr>
        <w:outlineLvl w:val="2"/>
        <w:rPr>
          <w:rFonts w:cs="Tahoma"/>
        </w:rPr>
      </w:pPr>
      <w:r w:rsidRPr="000A1C8E">
        <w:rPr>
          <w:rFonts w:cs="Tahoma"/>
          <w:szCs w:val="18"/>
        </w:rPr>
        <w:t>Os clientes deverão ter um contrato de Licenciamento por Volume ativo para solicitar ou renovar assinaturas de serviços online no Licenciamento por Volume.</w:t>
      </w:r>
      <w:r w:rsidR="00DC6D8B" w:rsidRPr="000A1C8E">
        <w:rPr>
          <w:rFonts w:cs="Tahoma"/>
          <w:szCs w:val="18"/>
        </w:rPr>
        <w:t xml:space="preserve"> </w:t>
      </w:r>
      <w:r w:rsidRPr="000A1C8E">
        <w:rPr>
          <w:rFonts w:cs="Tahoma"/>
          <w:szCs w:val="18"/>
        </w:rPr>
        <w:t>Uma assinatura de serviços online será automaticamente renovada no</w:t>
      </w:r>
      <w:r w:rsidR="00367329" w:rsidRPr="000A1C8E">
        <w:rPr>
          <w:rFonts w:cs="Tahoma"/>
          <w:szCs w:val="18"/>
        </w:rPr>
        <w:t> </w:t>
      </w:r>
      <w:r w:rsidRPr="000A1C8E">
        <w:rPr>
          <w:rFonts w:cs="Tahoma"/>
          <w:szCs w:val="18"/>
        </w:rPr>
        <w:t xml:space="preserve">dia seguinte ao término do prazo da assinatura, a não ser que o cliente opte por não renová-la </w:t>
      </w:r>
      <w:r w:rsidRPr="000A1C8E">
        <w:rPr>
          <w:rFonts w:cs="Tahoma"/>
          <w:color w:val="000000"/>
          <w:szCs w:val="18"/>
        </w:rPr>
        <w:t>recusando a renovação automática</w:t>
      </w:r>
      <w:r w:rsidRPr="000A1C8E">
        <w:rPr>
          <w:rFonts w:cs="Tahoma"/>
          <w:bCs/>
          <w:color w:val="000000"/>
        </w:rPr>
        <w:t xml:space="preserve"> no mínimo 5</w:t>
      </w:r>
      <w:r w:rsidR="00DC6D8B" w:rsidRPr="000A1C8E">
        <w:rPr>
          <w:rFonts w:cs="Tahoma"/>
          <w:bCs/>
          <w:color w:val="000000"/>
        </w:rPr>
        <w:t xml:space="preserve"> </w:t>
      </w:r>
      <w:r w:rsidRPr="000A1C8E">
        <w:rPr>
          <w:rFonts w:cs="Tahoma"/>
          <w:szCs w:val="18"/>
        </w:rPr>
        <w:t>dias antes da assinatura expirar.</w:t>
      </w:r>
      <w:r w:rsidR="00DC6D8B" w:rsidRPr="000A1C8E">
        <w:rPr>
          <w:rFonts w:cs="Tahoma"/>
          <w:szCs w:val="18"/>
        </w:rPr>
        <w:t xml:space="preserve"> </w:t>
      </w:r>
      <w:r w:rsidRPr="000A1C8E">
        <w:rPr>
          <w:rFonts w:cs="Tahoma"/>
          <w:szCs w:val="18"/>
        </w:rPr>
        <w:t>Na renovação automática, a Microsoft enviará à</w:t>
      </w:r>
      <w:r w:rsidR="00367329" w:rsidRPr="000A1C8E">
        <w:rPr>
          <w:rFonts w:cs="Tahoma"/>
          <w:szCs w:val="18"/>
        </w:rPr>
        <w:t> </w:t>
      </w:r>
      <w:r w:rsidRPr="000A1C8E">
        <w:rPr>
          <w:rFonts w:cs="Tahoma"/>
          <w:szCs w:val="18"/>
        </w:rPr>
        <w:t>parte registrada para cobrança uma fatura referente ao número de licenças em vias de terminar com a mesma opção de prazo de assinatura, se o contrato inicial do cliente permanecer ativo.</w:t>
      </w:r>
      <w:r w:rsidR="00DC6D8B" w:rsidRPr="000A1C8E">
        <w:rPr>
          <w:rFonts w:cs="Tahoma"/>
          <w:szCs w:val="18"/>
        </w:rPr>
        <w:t xml:space="preserve"> </w:t>
      </w:r>
      <w:r w:rsidRPr="000A1C8E">
        <w:rPr>
          <w:rFonts w:cs="Tahoma"/>
          <w:szCs w:val="18"/>
        </w:rPr>
        <w:t>As assinaturas dos serviços online com contratos Government e Academic só serão renovadas automaticamente se o cliente escolher a opção de renovação automática.</w:t>
      </w:r>
      <w:r w:rsidR="00DC6D8B" w:rsidRPr="000A1C8E">
        <w:rPr>
          <w:rFonts w:cs="Tahoma"/>
          <w:szCs w:val="18"/>
        </w:rPr>
        <w:t xml:space="preserve"> </w:t>
      </w:r>
      <w:r w:rsidRPr="000A1C8E">
        <w:rPr>
          <w:rFonts w:cs="Tahoma"/>
          <w:szCs w:val="18"/>
        </w:rPr>
        <w:t>Os preços serão redefinidos por ocasião da renovação.</w:t>
      </w:r>
      <w:r w:rsidR="00DC6D8B" w:rsidRPr="000A1C8E">
        <w:rPr>
          <w:rFonts w:cs="Tahoma"/>
          <w:szCs w:val="18"/>
        </w:rPr>
        <w:t xml:space="preserve"> </w:t>
      </w:r>
      <w:r w:rsidRPr="000A1C8E">
        <w:rPr>
          <w:rFonts w:cs="Tahoma"/>
          <w:szCs w:val="18"/>
        </w:rPr>
        <w:t>A opção de renovação automática não</w:t>
      </w:r>
      <w:r w:rsidR="00367329" w:rsidRPr="000A1C8E">
        <w:rPr>
          <w:rFonts w:cs="Tahoma"/>
          <w:szCs w:val="18"/>
        </w:rPr>
        <w:t> </w:t>
      </w:r>
      <w:r w:rsidRPr="000A1C8E">
        <w:rPr>
          <w:rFonts w:cs="Tahoma"/>
          <w:szCs w:val="18"/>
        </w:rPr>
        <w:t>está disponível para Serviços do Windows Azure.</w:t>
      </w:r>
    </w:p>
    <w:p w:rsidR="00116EDC" w:rsidRPr="000A1C8E" w:rsidRDefault="00116EDC" w:rsidP="00116EDC">
      <w:pPr>
        <w:rPr>
          <w:rFonts w:cs="Tahoma"/>
        </w:rPr>
      </w:pPr>
    </w:p>
    <w:p w:rsidR="00456002" w:rsidRPr="000A1C8E" w:rsidRDefault="00456002" w:rsidP="00171817">
      <w:pPr>
        <w:pStyle w:val="Heading2"/>
        <w:ind w:left="0"/>
        <w:rPr>
          <w:rFonts w:ascii="Tahoma" w:hAnsi="Tahoma" w:cs="Tahoma"/>
        </w:rPr>
      </w:pPr>
      <w:bookmarkStart w:id="676" w:name="_Toc336338210"/>
      <w:bookmarkStart w:id="677" w:name="_Toc361829294"/>
      <w:r w:rsidRPr="000A1C8E">
        <w:rPr>
          <w:rFonts w:ascii="Tahoma" w:hAnsi="Tahoma" w:cs="Tahoma"/>
        </w:rPr>
        <w:t>Gerenciamento do status da renovação e da renovação automática</w:t>
      </w:r>
      <w:bookmarkEnd w:id="676"/>
      <w:bookmarkEnd w:id="677"/>
    </w:p>
    <w:p w:rsidR="00456002" w:rsidRPr="000A1C8E" w:rsidRDefault="00456002" w:rsidP="00171817">
      <w:pPr>
        <w:outlineLvl w:val="2"/>
        <w:rPr>
          <w:rFonts w:cs="Tahoma"/>
          <w:b/>
          <w:sz w:val="14"/>
          <w:szCs w:val="14"/>
        </w:rPr>
      </w:pPr>
    </w:p>
    <w:p w:rsidR="00456002" w:rsidRPr="000A1C8E" w:rsidRDefault="00456002" w:rsidP="00171817">
      <w:pPr>
        <w:outlineLvl w:val="2"/>
        <w:rPr>
          <w:rFonts w:cs="Tahoma"/>
        </w:rPr>
      </w:pPr>
      <w:r w:rsidRPr="000A1C8E">
        <w:rPr>
          <w:rFonts w:cs="Tahoma"/>
          <w:szCs w:val="18"/>
        </w:rPr>
        <w:t>Os clientes receberão notificações de renovação antes do fim do prazo da assinatura dos serviços online.</w:t>
      </w:r>
      <w:r w:rsidR="00DC6D8B" w:rsidRPr="000A1C8E">
        <w:rPr>
          <w:rFonts w:cs="Tahoma"/>
          <w:szCs w:val="18"/>
        </w:rPr>
        <w:t xml:space="preserve"> </w:t>
      </w:r>
      <w:r w:rsidRPr="000A1C8E">
        <w:rPr>
          <w:rFonts w:cs="Tahoma"/>
          <w:szCs w:val="18"/>
        </w:rPr>
        <w:t>Os clientes poderão cancelar a renovação ou alterar um pedido de renovação automática caso procedam pelo menos 30 dias antes do fim do prazo da assinatura.</w:t>
      </w:r>
      <w:r w:rsidR="00DC6D8B" w:rsidRPr="000A1C8E">
        <w:rPr>
          <w:rFonts w:cs="Tahoma"/>
          <w:szCs w:val="18"/>
        </w:rPr>
        <w:t xml:space="preserve"> </w:t>
      </w:r>
      <w:r w:rsidRPr="000A1C8E">
        <w:rPr>
          <w:rFonts w:cs="Tahoma"/>
          <w:szCs w:val="18"/>
        </w:rPr>
        <w:t>Além disso, poderão alterar um pedido de renovação fazendo um pedido ao revendedor 30 dias antes do término da assinatura.</w:t>
      </w:r>
      <w:r w:rsidR="00DC6D8B" w:rsidRPr="000A1C8E">
        <w:rPr>
          <w:rFonts w:cs="Tahoma"/>
          <w:szCs w:val="18"/>
        </w:rPr>
        <w:t xml:space="preserve"> </w:t>
      </w:r>
      <w:r w:rsidRPr="000A1C8E">
        <w:rPr>
          <w:rFonts w:cs="Tahoma"/>
          <w:szCs w:val="18"/>
        </w:rPr>
        <w:t>Os clientes poderão cancelar a renovação de uma assinatura, enviando à Microsoft uma notificação por escrito com 30 dias de antecedência em um formulário disponibilizado pelo revendedor da Microsoft ou no site http://microsoft.com/licensing/contracts.</w:t>
      </w:r>
      <w:r w:rsidR="00DC6D8B" w:rsidRPr="000A1C8E">
        <w:rPr>
          <w:rFonts w:cs="Tahoma"/>
          <w:szCs w:val="18"/>
        </w:rPr>
        <w:t xml:space="preserve"> </w:t>
      </w:r>
      <w:r w:rsidRPr="000A1C8E">
        <w:rPr>
          <w:rFonts w:cs="Tahoma"/>
          <w:szCs w:val="18"/>
        </w:rPr>
        <w:t>Todas as renovações de serviços iniciam um novo prazo de assinatura que começa no primeiro dia do mês do calendário seguinte após o término do prazo da assinatura anterior.</w:t>
      </w:r>
    </w:p>
    <w:p w:rsidR="00456002" w:rsidRPr="000A1C8E" w:rsidRDefault="00456002" w:rsidP="00171817">
      <w:pPr>
        <w:outlineLvl w:val="2"/>
        <w:rPr>
          <w:rFonts w:cs="Tahoma"/>
          <w:b/>
          <w:sz w:val="14"/>
          <w:szCs w:val="14"/>
        </w:rPr>
      </w:pPr>
    </w:p>
    <w:p w:rsidR="00456002" w:rsidRPr="000A1C8E" w:rsidRDefault="00456002" w:rsidP="00171817">
      <w:pPr>
        <w:outlineLvl w:val="2"/>
        <w:rPr>
          <w:rFonts w:cs="Tahoma"/>
        </w:rPr>
      </w:pPr>
      <w:r w:rsidRPr="000A1C8E">
        <w:rPr>
          <w:rFonts w:cs="Tahoma"/>
          <w:szCs w:val="18"/>
        </w:rPr>
        <w:t>Os clientes podem aumentar o compromisso de assinatura dos serviços online, mas não podem reduzi-los durante o</w:t>
      </w:r>
      <w:r w:rsidR="00367329" w:rsidRPr="000A1C8E">
        <w:rPr>
          <w:rFonts w:cs="Tahoma"/>
          <w:szCs w:val="18"/>
        </w:rPr>
        <w:t> </w:t>
      </w:r>
      <w:r w:rsidRPr="000A1C8E">
        <w:rPr>
          <w:rFonts w:cs="Tahoma"/>
          <w:szCs w:val="18"/>
        </w:rPr>
        <w:t>prazo da assinatura dos serviços online, salvo se for permitido em seus contratos. Para assegurar que usuários adicionais sejam provisionados, o cliente deverá fazer um pedido para cada aumento no serviço da assinatura.</w:t>
      </w:r>
      <w:r w:rsidR="00DC6D8B" w:rsidRPr="000A1C8E">
        <w:rPr>
          <w:rFonts w:cs="Tahoma"/>
          <w:szCs w:val="18"/>
        </w:rPr>
        <w:t xml:space="preserve"> </w:t>
      </w:r>
    </w:p>
    <w:p w:rsidR="00456002" w:rsidRPr="000A1C8E" w:rsidRDefault="00456002" w:rsidP="00456002">
      <w:pPr>
        <w:pStyle w:val="Heading2"/>
        <w:ind w:left="0"/>
        <w:rPr>
          <w:rFonts w:ascii="Tahoma" w:hAnsi="Tahoma" w:cs="Tahoma"/>
        </w:rPr>
      </w:pPr>
      <w:bookmarkStart w:id="678" w:name="_Toc336338211"/>
      <w:bookmarkStart w:id="679" w:name="_Toc361829295"/>
      <w:r w:rsidRPr="000A1C8E">
        <w:rPr>
          <w:rFonts w:ascii="Tahoma" w:hAnsi="Tahoma" w:cs="Tahoma"/>
        </w:rPr>
        <w:lastRenderedPageBreak/>
        <w:t>Cancelamento de Serviços Online</w:t>
      </w:r>
      <w:bookmarkEnd w:id="678"/>
      <w:bookmarkEnd w:id="679"/>
    </w:p>
    <w:p w:rsidR="00456002" w:rsidRPr="000A1C8E" w:rsidRDefault="00456002" w:rsidP="00456002">
      <w:pPr>
        <w:outlineLvl w:val="2"/>
        <w:rPr>
          <w:rFonts w:cs="Tahoma"/>
        </w:rPr>
      </w:pPr>
    </w:p>
    <w:p w:rsidR="00456002" w:rsidRPr="000A1C8E" w:rsidRDefault="00456002" w:rsidP="00116EDC">
      <w:pPr>
        <w:outlineLvl w:val="2"/>
        <w:rPr>
          <w:rFonts w:cs="Tahoma"/>
          <w:spacing w:val="-2"/>
        </w:rPr>
      </w:pPr>
      <w:r w:rsidRPr="000A1C8E">
        <w:rPr>
          <w:rFonts w:cs="Tahoma"/>
          <w:spacing w:val="-2"/>
          <w:szCs w:val="18"/>
        </w:rPr>
        <w:t>É possível cancelar assinaturas de um serviço online sem penalidades em até 30 (trinta) dias após o pedido inicial ou</w:t>
      </w:r>
      <w:r w:rsidR="00367329" w:rsidRPr="000A1C8E">
        <w:rPr>
          <w:rFonts w:cs="Tahoma"/>
          <w:spacing w:val="-2"/>
          <w:szCs w:val="18"/>
        </w:rPr>
        <w:t> </w:t>
      </w:r>
      <w:r w:rsidRPr="000A1C8E">
        <w:rPr>
          <w:rFonts w:cs="Tahoma"/>
          <w:spacing w:val="-2"/>
          <w:szCs w:val="18"/>
        </w:rPr>
        <w:t>a reserva de licença inicial de um serviço, o que ocorrer primeiro.</w:t>
      </w:r>
      <w:r w:rsidR="00DC6D8B" w:rsidRPr="000A1C8E">
        <w:rPr>
          <w:rFonts w:cs="Tahoma"/>
          <w:spacing w:val="-2"/>
          <w:szCs w:val="18"/>
        </w:rPr>
        <w:t xml:space="preserve"> </w:t>
      </w:r>
      <w:r w:rsidRPr="000A1C8E">
        <w:rPr>
          <w:rFonts w:cs="Tahoma"/>
          <w:spacing w:val="-2"/>
          <w:szCs w:val="18"/>
        </w:rPr>
        <w:t>Consulte as seções desta Lista de Produtos referentes a produtos específicos para obter informações sobre termos de cancelamento adicionais que possam existir.</w:t>
      </w:r>
    </w:p>
    <w:p w:rsidR="00116EDC" w:rsidRPr="000A1C8E" w:rsidRDefault="00116EDC" w:rsidP="00116EDC">
      <w:pPr>
        <w:outlineLvl w:val="2"/>
        <w:rPr>
          <w:rFonts w:cs="Tahoma"/>
        </w:rPr>
      </w:pPr>
    </w:p>
    <w:p w:rsidR="00456002" w:rsidRPr="000A1C8E" w:rsidRDefault="00456002" w:rsidP="00456002">
      <w:pPr>
        <w:pStyle w:val="Heading2"/>
        <w:ind w:left="0"/>
        <w:rPr>
          <w:rFonts w:ascii="Tahoma" w:hAnsi="Tahoma" w:cs="Tahoma"/>
        </w:rPr>
      </w:pPr>
      <w:bookmarkStart w:id="680" w:name="_Toc328145982"/>
      <w:bookmarkStart w:id="681" w:name="_Toc336338212"/>
      <w:bookmarkStart w:id="682" w:name="_Toc361829296"/>
      <w:r w:rsidRPr="000A1C8E">
        <w:rPr>
          <w:rFonts w:ascii="Tahoma" w:hAnsi="Tahoma" w:cs="Tahoma"/>
        </w:rPr>
        <w:t>Opções de termos de pagamento de Serviços Online</w:t>
      </w:r>
      <w:bookmarkEnd w:id="680"/>
      <w:bookmarkEnd w:id="681"/>
      <w:bookmarkEnd w:id="682"/>
    </w:p>
    <w:p w:rsidR="00456002" w:rsidRPr="000A1C8E" w:rsidRDefault="00456002" w:rsidP="00456002">
      <w:pPr>
        <w:ind w:left="720"/>
        <w:outlineLvl w:val="2"/>
        <w:rPr>
          <w:rFonts w:cs="Tahoma"/>
        </w:rPr>
      </w:pPr>
    </w:p>
    <w:p w:rsidR="00456002" w:rsidRPr="000A1C8E" w:rsidRDefault="00456002" w:rsidP="00456002">
      <w:pPr>
        <w:outlineLvl w:val="2"/>
        <w:rPr>
          <w:rFonts w:cs="Tahoma"/>
        </w:rPr>
      </w:pPr>
      <w:r w:rsidRPr="000A1C8E">
        <w:rPr>
          <w:rFonts w:cs="Tahoma"/>
          <w:szCs w:val="18"/>
        </w:rPr>
        <w:t>Os clientes deverão pagar por assinaturas dos serviços online de um ano integralmente no início do prazo da assinatura.</w:t>
      </w:r>
      <w:r w:rsidR="00DC6D8B" w:rsidRPr="000A1C8E">
        <w:rPr>
          <w:rFonts w:cs="Tahoma"/>
          <w:szCs w:val="18"/>
        </w:rPr>
        <w:t xml:space="preserve"> </w:t>
      </w:r>
      <w:r w:rsidRPr="000A1C8E">
        <w:rPr>
          <w:rFonts w:cs="Tahoma"/>
          <w:szCs w:val="18"/>
        </w:rPr>
        <w:t>Os clientes que optarem pelos termos da assinatura coextensiva, ou “Alinhar-se com o 2° Aniversário” no Select Plus, dispõem destas duas formas de pagamento: (1) pagamento integral ao efetuar o pedido cobrindo todo o</w:t>
      </w:r>
      <w:r w:rsidR="00367329" w:rsidRPr="000A1C8E">
        <w:rPr>
          <w:rFonts w:cs="Tahoma"/>
          <w:szCs w:val="18"/>
        </w:rPr>
        <w:t> </w:t>
      </w:r>
      <w:r w:rsidRPr="000A1C8E">
        <w:rPr>
          <w:rFonts w:cs="Tahoma"/>
          <w:szCs w:val="18"/>
        </w:rPr>
        <w:t>prazo da assinatura ou (2) pagamentos parcelados, sendo o primeiro pagamento ao efetuar o pedido que cobre o</w:t>
      </w:r>
      <w:r w:rsidR="00367329" w:rsidRPr="000A1C8E">
        <w:rPr>
          <w:rFonts w:cs="Tahoma"/>
          <w:szCs w:val="18"/>
        </w:rPr>
        <w:t> </w:t>
      </w:r>
      <w:r w:rsidRPr="000A1C8E">
        <w:rPr>
          <w:rFonts w:cs="Tahoma"/>
          <w:szCs w:val="18"/>
        </w:rPr>
        <w:t>restante do ano contratual corrente e os demais pagamentos com vencimento em cada aniversário do contrato (no</w:t>
      </w:r>
      <w:r w:rsidR="00367329" w:rsidRPr="000A1C8E">
        <w:rPr>
          <w:rFonts w:cs="Tahoma"/>
          <w:szCs w:val="18"/>
        </w:rPr>
        <w:t> </w:t>
      </w:r>
      <w:r w:rsidRPr="000A1C8E">
        <w:rPr>
          <w:rFonts w:cs="Tahoma"/>
          <w:szCs w:val="18"/>
        </w:rPr>
        <w:t>caso do Select Plus, o aniversário da afiliada é usado em vez do aniversário do contrato).</w:t>
      </w:r>
      <w:r w:rsidR="00DC6D8B" w:rsidRPr="000A1C8E">
        <w:rPr>
          <w:rFonts w:cs="Tahoma"/>
          <w:szCs w:val="18"/>
        </w:rPr>
        <w:t xml:space="preserve"> </w:t>
      </w:r>
      <w:r w:rsidRPr="000A1C8E">
        <w:rPr>
          <w:rFonts w:cs="Tahoma"/>
          <w:szCs w:val="18"/>
        </w:rPr>
        <w:t>Uma terceira opção está disponível para os clientes do Select Plus: cobrança no aniversário do pedido, sendo o primeiro pagamento ao</w:t>
      </w:r>
      <w:r w:rsidR="00367329" w:rsidRPr="000A1C8E">
        <w:rPr>
          <w:rFonts w:cs="Tahoma"/>
          <w:szCs w:val="18"/>
        </w:rPr>
        <w:t> </w:t>
      </w:r>
      <w:r w:rsidRPr="000A1C8E">
        <w:rPr>
          <w:rFonts w:cs="Tahoma"/>
          <w:szCs w:val="18"/>
        </w:rPr>
        <w:t>efetuar o pedido que cobre 12 meses e os demais pagamentos com vencimento em cada aniversário do pedido (o</w:t>
      </w:r>
      <w:r w:rsidR="00367329" w:rsidRPr="000A1C8E">
        <w:rPr>
          <w:rFonts w:cs="Tahoma"/>
          <w:szCs w:val="18"/>
        </w:rPr>
        <w:t> </w:t>
      </w:r>
      <w:r w:rsidRPr="000A1C8E">
        <w:rPr>
          <w:rFonts w:cs="Tahoma"/>
          <w:szCs w:val="18"/>
        </w:rPr>
        <w:t>último pagamento cobrirá o saldo entre o aniversário do pedido e a data de término da cobertura da assinatura).</w:t>
      </w:r>
    </w:p>
    <w:p w:rsidR="00456002" w:rsidRPr="000A1C8E" w:rsidRDefault="00456002" w:rsidP="00456002">
      <w:pPr>
        <w:outlineLvl w:val="2"/>
        <w:rPr>
          <w:rFonts w:cs="Tahoma"/>
        </w:rPr>
      </w:pPr>
    </w:p>
    <w:p w:rsidR="00456002" w:rsidRPr="000A1C8E" w:rsidRDefault="00456002" w:rsidP="00456002">
      <w:pPr>
        <w:outlineLvl w:val="2"/>
        <w:rPr>
          <w:rFonts w:cs="Tahoma"/>
        </w:rPr>
      </w:pPr>
      <w:r w:rsidRPr="000A1C8E">
        <w:rPr>
          <w:rFonts w:cs="Tahoma"/>
          <w:szCs w:val="18"/>
        </w:rPr>
        <w:t>Além disso, os clientes do Open Value também podem optar por uma forma de pagamento mensal.</w:t>
      </w:r>
      <w:r w:rsidR="00DC6D8B" w:rsidRPr="000A1C8E">
        <w:rPr>
          <w:rFonts w:cs="Tahoma"/>
          <w:szCs w:val="18"/>
        </w:rPr>
        <w:t xml:space="preserve"> </w:t>
      </w:r>
      <w:r w:rsidRPr="000A1C8E">
        <w:rPr>
          <w:rFonts w:cs="Tahoma"/>
          <w:szCs w:val="18"/>
        </w:rPr>
        <w:t>Nessa opção, uma parte registrada para cobrança receberá automaticamente uma fatura referente à quantidade de assinaturas solicitadas pelo cliente a cada mês durante o prazo da assinatura.</w:t>
      </w:r>
    </w:p>
    <w:p w:rsidR="00456002" w:rsidRPr="000A1C8E" w:rsidRDefault="00456002" w:rsidP="00456002">
      <w:pPr>
        <w:outlineLvl w:val="2"/>
        <w:rPr>
          <w:rFonts w:cs="Tahoma"/>
        </w:rPr>
      </w:pPr>
    </w:p>
    <w:p w:rsidR="00456002" w:rsidRPr="000A1C8E" w:rsidRDefault="00456002" w:rsidP="004C37C0">
      <w:pPr>
        <w:outlineLvl w:val="2"/>
        <w:rPr>
          <w:rFonts w:cs="Tahoma"/>
          <w:spacing w:val="-2"/>
        </w:rPr>
      </w:pPr>
      <w:r w:rsidRPr="000A1C8E">
        <w:rPr>
          <w:rFonts w:cs="Tahoma"/>
          <w:spacing w:val="-2"/>
          <w:szCs w:val="18"/>
        </w:rPr>
        <w:t>Os termos de pagamento e preços das assinaturas adquiridas por meio de revendedores serão determinados pelo contrato entre o cliente e seu revendedor.</w:t>
      </w:r>
      <w:r w:rsidR="00DC6D8B" w:rsidRPr="000A1C8E">
        <w:rPr>
          <w:rFonts w:cs="Tahoma"/>
          <w:spacing w:val="-2"/>
          <w:szCs w:val="18"/>
        </w:rPr>
        <w:t xml:space="preserve"> </w:t>
      </w:r>
      <w:r w:rsidRPr="000A1C8E">
        <w:rPr>
          <w:rFonts w:cs="Tahoma"/>
          <w:spacing w:val="-2"/>
          <w:szCs w:val="18"/>
        </w:rPr>
        <w:t>A não ser que o cliente tenha celebrado o Aditamento do Registro Enterprise</w:t>
      </w:r>
      <w:r w:rsidR="004C37C0" w:rsidRPr="000A1C8E">
        <w:rPr>
          <w:rFonts w:cs="Tahoma"/>
          <w:spacing w:val="-2"/>
          <w:szCs w:val="18"/>
        </w:rPr>
        <w:t> </w:t>
      </w:r>
      <w:r w:rsidRPr="000A1C8E">
        <w:rPr>
          <w:rFonts w:cs="Tahoma"/>
          <w:spacing w:val="-2"/>
          <w:szCs w:val="18"/>
        </w:rPr>
        <w:t>- Adicionando Serviços Online Enterprise, não obstante qualquer disposição em contrário no contrato, ele deverá solicitar uma assinatura dos serviços online antes de a assinatura ser usada pela primeira vez.</w:t>
      </w:r>
      <w:r w:rsidR="00DC6D8B" w:rsidRPr="000A1C8E">
        <w:rPr>
          <w:rFonts w:cs="Tahoma"/>
          <w:spacing w:val="-2"/>
          <w:szCs w:val="18"/>
        </w:rPr>
        <w:t xml:space="preserve"> </w:t>
      </w:r>
      <w:r w:rsidRPr="000A1C8E">
        <w:rPr>
          <w:rFonts w:cs="Tahoma"/>
          <w:spacing w:val="-2"/>
          <w:szCs w:val="18"/>
        </w:rPr>
        <w:t>Os clientes com um Contrato Enterprise não poderão enviar um pedido de adequação (“true-up”) para licenças de assinatura adicionais.</w:t>
      </w:r>
      <w:r w:rsidR="00DC6D8B" w:rsidRPr="000A1C8E">
        <w:rPr>
          <w:rFonts w:cs="Tahoma"/>
          <w:spacing w:val="-2"/>
          <w:szCs w:val="18"/>
        </w:rPr>
        <w:t xml:space="preserve"> </w:t>
      </w:r>
    </w:p>
    <w:p w:rsidR="00456002" w:rsidRPr="000A1C8E" w:rsidRDefault="00456002" w:rsidP="00DF28F2">
      <w:pPr>
        <w:outlineLvl w:val="2"/>
        <w:rPr>
          <w:rFonts w:cs="Tahoma"/>
        </w:rPr>
      </w:pPr>
    </w:p>
    <w:p w:rsidR="00456002" w:rsidRPr="000A1C8E" w:rsidRDefault="006A5DAE" w:rsidP="00116EDC">
      <w:pPr>
        <w:outlineLvl w:val="2"/>
        <w:rPr>
          <w:rFonts w:cs="Tahoma"/>
          <w:szCs w:val="18"/>
        </w:rPr>
      </w:pPr>
      <w:r w:rsidRPr="000A1C8E">
        <w:rPr>
          <w:rFonts w:cs="Tahoma"/>
          <w:szCs w:val="18"/>
        </w:rPr>
        <w:t>Para informações específicas dos Serviços do Windows Azure, consulte a seção Serviços do Windows Azure abaixo.</w:t>
      </w:r>
    </w:p>
    <w:p w:rsidR="004C37C0" w:rsidRPr="000A1C8E" w:rsidRDefault="004C37C0" w:rsidP="00116EDC">
      <w:pPr>
        <w:outlineLvl w:val="2"/>
        <w:rPr>
          <w:rFonts w:cs="Tahoma"/>
        </w:rPr>
      </w:pPr>
    </w:p>
    <w:p w:rsidR="00456002" w:rsidRPr="000A1C8E" w:rsidRDefault="00456002" w:rsidP="00456002">
      <w:pPr>
        <w:pStyle w:val="Heading2"/>
        <w:ind w:left="0"/>
        <w:rPr>
          <w:rFonts w:ascii="Tahoma" w:hAnsi="Tahoma" w:cs="Tahoma"/>
        </w:rPr>
      </w:pPr>
      <w:bookmarkStart w:id="683" w:name="_Toc328145983"/>
      <w:bookmarkStart w:id="684" w:name="_Toc336338213"/>
      <w:bookmarkStart w:id="685" w:name="_Toc361829297"/>
      <w:r w:rsidRPr="000A1C8E">
        <w:rPr>
          <w:rFonts w:ascii="Tahoma" w:hAnsi="Tahoma" w:cs="Tahoma"/>
        </w:rPr>
        <w:t>Requisitos de compra mínima para Serviços Online no Licenciamento por Volume</w:t>
      </w:r>
      <w:bookmarkEnd w:id="683"/>
      <w:bookmarkEnd w:id="684"/>
      <w:bookmarkEnd w:id="685"/>
    </w:p>
    <w:p w:rsidR="00456002" w:rsidRPr="000A1C8E" w:rsidRDefault="00456002" w:rsidP="00DF28F2">
      <w:pPr>
        <w:outlineLvl w:val="2"/>
        <w:rPr>
          <w:rFonts w:cs="Tahoma"/>
          <w:b/>
          <w:szCs w:val="18"/>
        </w:rPr>
      </w:pPr>
    </w:p>
    <w:p w:rsidR="00116EDC" w:rsidRPr="000A1C8E" w:rsidRDefault="00456002" w:rsidP="00116EDC">
      <w:pPr>
        <w:outlineLvl w:val="2"/>
        <w:rPr>
          <w:rFonts w:cs="Tahoma"/>
        </w:rPr>
      </w:pPr>
      <w:r w:rsidRPr="000A1C8E">
        <w:rPr>
          <w:rFonts w:cs="Tahoma"/>
          <w:szCs w:val="18"/>
        </w:rPr>
        <w:t>Um cliente estará qualificado para o programa Open Value com uma compra mínima de 5 licenças.</w:t>
      </w:r>
      <w:r w:rsidR="00DC6D8B" w:rsidRPr="000A1C8E">
        <w:rPr>
          <w:rFonts w:cs="Tahoma"/>
          <w:szCs w:val="18"/>
        </w:rPr>
        <w:t xml:space="preserve"> </w:t>
      </w:r>
      <w:r w:rsidRPr="000A1C8E">
        <w:rPr>
          <w:rFonts w:cs="Tahoma"/>
          <w:szCs w:val="18"/>
        </w:rPr>
        <w:t>Essa regra também se aplicará à contagem de quantidades de Licenças de Assinatura de Usuário (USLs) de Serviços Online.</w:t>
      </w:r>
      <w:r w:rsidR="00DC6D8B" w:rsidRPr="000A1C8E">
        <w:rPr>
          <w:rFonts w:cs="Tahoma"/>
          <w:szCs w:val="18"/>
        </w:rPr>
        <w:t xml:space="preserve"> </w:t>
      </w:r>
      <w:r w:rsidRPr="000A1C8E">
        <w:rPr>
          <w:rFonts w:cs="Tahoma"/>
          <w:szCs w:val="18"/>
        </w:rPr>
        <w:t>Uma USL poderá ser contabilizada para a quantidade mínima de 5 licenças.</w:t>
      </w:r>
      <w:r w:rsidR="00DC6D8B" w:rsidRPr="000A1C8E">
        <w:rPr>
          <w:rFonts w:cs="Tahoma"/>
          <w:szCs w:val="18"/>
        </w:rPr>
        <w:t xml:space="preserve"> </w:t>
      </w:r>
      <w:r w:rsidRPr="000A1C8E">
        <w:rPr>
          <w:rFonts w:cs="Tahoma"/>
          <w:szCs w:val="18"/>
        </w:rPr>
        <w:t>Um pedido de 5 USLs satisfaz o requisito mínimo do programa Open Value.</w:t>
      </w:r>
      <w:r w:rsidR="00DC6D8B" w:rsidRPr="000A1C8E">
        <w:rPr>
          <w:rFonts w:cs="Tahoma"/>
          <w:szCs w:val="18"/>
        </w:rPr>
        <w:t xml:space="preserve"> </w:t>
      </w:r>
      <w:r w:rsidRPr="000A1C8E">
        <w:rPr>
          <w:rFonts w:cs="Tahoma"/>
          <w:szCs w:val="18"/>
        </w:rPr>
        <w:t>Porém, só as 5 USLs não satisfazem o mínimo para Open Value Companywide e Open Value Subscription.</w:t>
      </w:r>
      <w:r w:rsidR="00DC6D8B" w:rsidRPr="000A1C8E">
        <w:rPr>
          <w:rFonts w:cs="Tahoma"/>
          <w:szCs w:val="18"/>
        </w:rPr>
        <w:t xml:space="preserve"> </w:t>
      </w:r>
      <w:r w:rsidRPr="000A1C8E">
        <w:rPr>
          <w:rFonts w:cs="Tahoma"/>
          <w:szCs w:val="18"/>
        </w:rPr>
        <w:t>No caso de OV Companywide e OV Subscription, o pedido inicial deve incluir um mínimo de</w:t>
      </w:r>
      <w:r w:rsidR="00367329" w:rsidRPr="000A1C8E">
        <w:rPr>
          <w:rFonts w:cs="Tahoma"/>
          <w:szCs w:val="18"/>
        </w:rPr>
        <w:t> </w:t>
      </w:r>
      <w:r w:rsidRPr="000A1C8E">
        <w:rPr>
          <w:rFonts w:cs="Tahoma"/>
          <w:szCs w:val="18"/>
        </w:rPr>
        <w:t>5 Licenças de Plataforma de Desktop ou Componente de Desktop além de quaisquer USLs.</w:t>
      </w:r>
      <w:r w:rsidR="00DC6D8B" w:rsidRPr="000A1C8E">
        <w:rPr>
          <w:rFonts w:cs="Tahoma"/>
          <w:szCs w:val="18"/>
        </w:rPr>
        <w:t xml:space="preserve"> </w:t>
      </w:r>
    </w:p>
    <w:p w:rsidR="00116EDC" w:rsidRPr="000A1C8E" w:rsidRDefault="00116EDC" w:rsidP="00116EDC">
      <w:pPr>
        <w:outlineLvl w:val="2"/>
        <w:rPr>
          <w:rFonts w:cs="Tahoma"/>
        </w:rPr>
      </w:pPr>
    </w:p>
    <w:p w:rsidR="00776E3B" w:rsidRPr="000A1C8E" w:rsidRDefault="00776E3B" w:rsidP="00776E3B">
      <w:pPr>
        <w:pStyle w:val="Heading3"/>
        <w:rPr>
          <w:rFonts w:ascii="Tahoma" w:hAnsi="Tahoma" w:cs="Tahoma"/>
        </w:rPr>
      </w:pPr>
      <w:bookmarkStart w:id="686" w:name="_Toc336338214"/>
      <w:bookmarkStart w:id="687" w:name="_Toc361829298"/>
      <w:r w:rsidRPr="000A1C8E">
        <w:rPr>
          <w:rFonts w:ascii="Tahoma" w:hAnsi="Tahoma" w:cs="Tahoma"/>
          <w:sz w:val="24"/>
        </w:rPr>
        <w:t>Serviços do Windows Azure</w:t>
      </w:r>
      <w:bookmarkEnd w:id="686"/>
      <w:bookmarkEnd w:id="687"/>
    </w:p>
    <w:p w:rsidR="00776E3B" w:rsidRPr="000A1C8E" w:rsidRDefault="00776E3B" w:rsidP="00DF28F2">
      <w:pPr>
        <w:outlineLvl w:val="1"/>
        <w:rPr>
          <w:rFonts w:cs="Tahoma"/>
        </w:rPr>
      </w:pPr>
    </w:p>
    <w:p w:rsidR="006A5DAE" w:rsidRPr="000A1C8E" w:rsidRDefault="005242EC" w:rsidP="005242EC">
      <w:pPr>
        <w:spacing w:after="60"/>
        <w:outlineLvl w:val="1"/>
        <w:rPr>
          <w:rFonts w:cs="Tahoma"/>
        </w:rPr>
      </w:pPr>
      <w:r w:rsidRPr="000A1C8E">
        <w:rPr>
          <w:rFonts w:cs="Tahoma"/>
          <w:b/>
          <w:szCs w:val="18"/>
        </w:rPr>
        <w:t>Definições</w:t>
      </w:r>
    </w:p>
    <w:p w:rsidR="006A5DAE" w:rsidRPr="000A1C8E" w:rsidRDefault="006A5DAE" w:rsidP="006A5DAE">
      <w:pPr>
        <w:outlineLvl w:val="1"/>
        <w:rPr>
          <w:rFonts w:cs="Tahoma"/>
        </w:rPr>
      </w:pPr>
      <w:r w:rsidRPr="000A1C8E">
        <w:rPr>
          <w:rFonts w:cs="Tahoma"/>
          <w:szCs w:val="18"/>
          <w:u w:val="single"/>
        </w:rPr>
        <w:t>Taxas de Compromissos</w:t>
      </w:r>
      <w:r w:rsidR="00DC6D8B" w:rsidRPr="000A1C8E">
        <w:rPr>
          <w:rFonts w:cs="Tahoma"/>
          <w:b/>
          <w:szCs w:val="18"/>
        </w:rPr>
        <w:t xml:space="preserve"> </w:t>
      </w:r>
      <w:r w:rsidRPr="000A1C8E">
        <w:rPr>
          <w:rFonts w:cs="Tahoma"/>
          <w:szCs w:val="18"/>
        </w:rPr>
        <w:t>significa os preços estabelecidos para todo o uso dos Serviços do Windows Azure até o</w:t>
      </w:r>
      <w:r w:rsidR="000A1C8E">
        <w:rPr>
          <w:rFonts w:cs="Tahoma"/>
          <w:szCs w:val="18"/>
        </w:rPr>
        <w:t xml:space="preserve"> </w:t>
      </w:r>
      <w:r w:rsidRPr="000A1C8E">
        <w:rPr>
          <w:rFonts w:cs="Tahoma"/>
          <w:szCs w:val="18"/>
        </w:rPr>
        <w:t>Compromisso Anual Alocado.</w:t>
      </w:r>
    </w:p>
    <w:p w:rsidR="006A5DAE" w:rsidRPr="000A1C8E" w:rsidRDefault="006A5DAE" w:rsidP="006A5DAE">
      <w:pPr>
        <w:outlineLvl w:val="1"/>
        <w:rPr>
          <w:rFonts w:cs="Tahoma"/>
        </w:rPr>
      </w:pPr>
    </w:p>
    <w:p w:rsidR="006A5DAE" w:rsidRPr="000A1C8E" w:rsidRDefault="006A5DAE" w:rsidP="006A5DAE">
      <w:pPr>
        <w:outlineLvl w:val="1"/>
        <w:rPr>
          <w:rFonts w:cs="Tahoma"/>
        </w:rPr>
      </w:pPr>
      <w:r w:rsidRPr="000A1C8E">
        <w:rPr>
          <w:rFonts w:cs="Tahoma"/>
          <w:szCs w:val="18"/>
          <w:u w:val="single"/>
        </w:rPr>
        <w:t>Taxas de Consumo</w:t>
      </w:r>
      <w:r w:rsidRPr="000A1C8E">
        <w:rPr>
          <w:rFonts w:cs="Tahoma"/>
          <w:szCs w:val="18"/>
        </w:rPr>
        <w:t xml:space="preserve"> significa os preços estabelecidos para todo o uso dos Serviços do Windows Azure em excesso do</w:t>
      </w:r>
      <w:r w:rsidR="00367329" w:rsidRPr="000A1C8E">
        <w:rPr>
          <w:rFonts w:cs="Tahoma"/>
          <w:szCs w:val="18"/>
        </w:rPr>
        <w:t> </w:t>
      </w:r>
      <w:r w:rsidRPr="000A1C8E">
        <w:rPr>
          <w:rFonts w:cs="Tahoma"/>
          <w:szCs w:val="18"/>
        </w:rPr>
        <w:t>Compromisso Anual Alocado. As Taxas de Consumo também podem ser denominadas “Taxas Excedentes” ou “Excedente” em outros documentos da Microsoft ou do Windows Azure.</w:t>
      </w:r>
    </w:p>
    <w:p w:rsidR="006A5DAE" w:rsidRPr="000A1C8E" w:rsidRDefault="006A5DAE" w:rsidP="006A5DAE">
      <w:pPr>
        <w:outlineLvl w:val="1"/>
        <w:rPr>
          <w:rFonts w:cs="Tahoma"/>
        </w:rPr>
      </w:pPr>
    </w:p>
    <w:p w:rsidR="006A5DAE" w:rsidRPr="000A1C8E" w:rsidRDefault="006A5DAE" w:rsidP="006A5DAE">
      <w:pPr>
        <w:outlineLvl w:val="1"/>
        <w:rPr>
          <w:rFonts w:cs="Tahoma"/>
        </w:rPr>
      </w:pPr>
      <w:r w:rsidRPr="000A1C8E">
        <w:rPr>
          <w:rFonts w:cs="Tahoma"/>
          <w:szCs w:val="18"/>
          <w:u w:val="single"/>
        </w:rPr>
        <w:t>Compromisso Monetário</w:t>
      </w:r>
      <w:r w:rsidRPr="000A1C8E">
        <w:rPr>
          <w:rFonts w:cs="Tahoma"/>
          <w:szCs w:val="18"/>
        </w:rPr>
        <w:t xml:space="preserve"> significa o valor monetário total que um cliente se compromete a pagar pelo período da assinatura para seu uso dos Serviços do Windows Azure.</w:t>
      </w:r>
    </w:p>
    <w:p w:rsidR="00BD1A6A" w:rsidRPr="000A1C8E" w:rsidRDefault="00BD1A6A" w:rsidP="006A5DAE">
      <w:pPr>
        <w:outlineLvl w:val="1"/>
        <w:rPr>
          <w:rFonts w:cs="Tahoma"/>
        </w:rPr>
      </w:pPr>
    </w:p>
    <w:p w:rsidR="006A5DAE" w:rsidRPr="000A1C8E" w:rsidRDefault="006A5DAE" w:rsidP="006A5DAE">
      <w:pPr>
        <w:outlineLvl w:val="1"/>
        <w:rPr>
          <w:rFonts w:cs="Tahoma"/>
        </w:rPr>
      </w:pPr>
      <w:r w:rsidRPr="000A1C8E">
        <w:rPr>
          <w:rFonts w:cs="Tahoma"/>
          <w:szCs w:val="18"/>
          <w:u w:val="single"/>
        </w:rPr>
        <w:t>Compromisso Anual Alocado</w:t>
      </w:r>
      <w:r w:rsidRPr="000A1C8E">
        <w:rPr>
          <w:rFonts w:cs="Tahoma"/>
          <w:szCs w:val="18"/>
        </w:rPr>
        <w:t xml:space="preserve"> significa a parte do Compromisso Monetário alocada anualmente pelo prazo do Registro. Para a opção de assinatura de um ano, o Compromisso Anual Alocado é igual ao Compromisso Monetário.</w:t>
      </w:r>
    </w:p>
    <w:p w:rsidR="001C1727" w:rsidRPr="000A1C8E" w:rsidRDefault="001C1727">
      <w:pPr>
        <w:rPr>
          <w:rFonts w:cs="Tahoma"/>
        </w:rPr>
      </w:pPr>
    </w:p>
    <w:p w:rsidR="00E24A83" w:rsidRPr="000A1C8E" w:rsidRDefault="00E24A83">
      <w:pPr>
        <w:rPr>
          <w:rFonts w:cs="Tahoma"/>
        </w:rPr>
      </w:pPr>
    </w:p>
    <w:p w:rsidR="006A5DAE" w:rsidRPr="000A1C8E" w:rsidRDefault="006A5DAE" w:rsidP="005242EC">
      <w:pPr>
        <w:spacing w:after="60"/>
        <w:outlineLvl w:val="1"/>
        <w:rPr>
          <w:rFonts w:cs="Tahoma"/>
        </w:rPr>
      </w:pPr>
      <w:r w:rsidRPr="000A1C8E">
        <w:rPr>
          <w:rFonts w:cs="Tahoma"/>
          <w:b/>
          <w:szCs w:val="18"/>
        </w:rPr>
        <w:lastRenderedPageBreak/>
        <w:t>Prazo da Assinatura</w:t>
      </w:r>
    </w:p>
    <w:p w:rsidR="006A5DAE" w:rsidRPr="000A1C8E" w:rsidRDefault="006A5DAE" w:rsidP="006A5DAE">
      <w:pPr>
        <w:outlineLvl w:val="1"/>
        <w:rPr>
          <w:rFonts w:cs="Tahoma"/>
        </w:rPr>
      </w:pPr>
      <w:r w:rsidRPr="000A1C8E">
        <w:rPr>
          <w:rFonts w:cs="Tahoma"/>
          <w:szCs w:val="18"/>
        </w:rPr>
        <w:t xml:space="preserve">No caso dos Serviços do Windows Azure, os clientes podem optar entre um prazo de assinatura de um ano ou um prazo de assinatura que acaba na data de término do registro do cliente (“coextensiva”). </w:t>
      </w:r>
      <w:r w:rsidRPr="000A1C8E">
        <w:rPr>
          <w:rFonts w:cs="Tahoma"/>
        </w:rPr>
        <w:t>Os clientes que escolhem a</w:t>
      </w:r>
      <w:r w:rsidR="00367329" w:rsidRPr="000A1C8E">
        <w:rPr>
          <w:rFonts w:cs="Tahoma"/>
        </w:rPr>
        <w:t> </w:t>
      </w:r>
      <w:r w:rsidRPr="000A1C8E">
        <w:rPr>
          <w:rFonts w:cs="Tahoma"/>
        </w:rPr>
        <w:t>opção de um ano devem ter pelo menos 12 meses restantes no seu prazo de registro e aqueles que escolhem a opção coextensiva devem ter pelo menos dois meses restantes no seu prazo de registro</w:t>
      </w:r>
      <w:r w:rsidRPr="000A1C8E">
        <w:rPr>
          <w:rFonts w:cs="Tahoma"/>
          <w:szCs w:val="18"/>
        </w:rPr>
        <w:t>.</w:t>
      </w:r>
    </w:p>
    <w:p w:rsidR="006A5DAE" w:rsidRPr="000A1C8E" w:rsidRDefault="006A5DAE" w:rsidP="006A5DAE">
      <w:pPr>
        <w:rPr>
          <w:rFonts w:cs="Tahoma"/>
        </w:rPr>
      </w:pPr>
    </w:p>
    <w:p w:rsidR="006A5DAE" w:rsidRPr="000A1C8E" w:rsidRDefault="005242EC" w:rsidP="005242EC">
      <w:pPr>
        <w:spacing w:after="60"/>
        <w:outlineLvl w:val="1"/>
        <w:rPr>
          <w:rFonts w:cs="Tahoma"/>
        </w:rPr>
      </w:pPr>
      <w:r w:rsidRPr="000A1C8E">
        <w:rPr>
          <w:rFonts w:cs="Tahoma"/>
          <w:b/>
          <w:szCs w:val="18"/>
        </w:rPr>
        <w:t>Compromisso Monetário</w:t>
      </w:r>
    </w:p>
    <w:p w:rsidR="006A5DAE" w:rsidRPr="000A1C8E" w:rsidRDefault="006A5DAE" w:rsidP="006A5DAE">
      <w:pPr>
        <w:outlineLvl w:val="1"/>
        <w:rPr>
          <w:rFonts w:cs="Tahoma"/>
        </w:rPr>
      </w:pPr>
      <w:r w:rsidRPr="000A1C8E">
        <w:rPr>
          <w:rFonts w:cs="Tahoma"/>
          <w:szCs w:val="18"/>
        </w:rPr>
        <w:t>O pedido inicial dos clientes deve incluir um Compromisso Monetário e pode ser substituído a qualquer momento antes do último mês do seu prazo de registro. O Compromisso Monetário de acordo com a opção de assinatura de um ano será rateado pelos 12 meses seguintes. O Compromisso Monetário de acordo com a opção de assinatura coextensiva será alocado proporcionalmente pelo prazo de registro.</w:t>
      </w:r>
    </w:p>
    <w:p w:rsidR="006A5DAE" w:rsidRPr="000A1C8E" w:rsidRDefault="006A5DAE" w:rsidP="006A5DAE">
      <w:pPr>
        <w:outlineLvl w:val="1"/>
        <w:rPr>
          <w:rFonts w:cs="Tahoma"/>
        </w:rPr>
      </w:pPr>
    </w:p>
    <w:p w:rsidR="006A5DAE" w:rsidRPr="000A1C8E" w:rsidRDefault="006A5DAE" w:rsidP="006A5DAE">
      <w:pPr>
        <w:rPr>
          <w:rFonts w:cs="Tahoma"/>
        </w:rPr>
      </w:pPr>
      <w:r w:rsidRPr="000A1C8E">
        <w:rPr>
          <w:rFonts w:cs="Tahoma"/>
        </w:rPr>
        <w:t>Os clientes podem aumentar seu Compromisso Monetário a qualquer momento, fazendo pedidos adicionais.</w:t>
      </w:r>
      <w:r w:rsidR="00DC6D8B" w:rsidRPr="000A1C8E">
        <w:rPr>
          <w:rFonts w:cs="Tahoma"/>
        </w:rPr>
        <w:t xml:space="preserve"> </w:t>
      </w:r>
      <w:r w:rsidRPr="000A1C8E">
        <w:rPr>
          <w:rFonts w:cs="Tahoma"/>
        </w:rPr>
        <w:t xml:space="preserve">Os pedidos adicionais serão incluídos no Compromisso Anual Alocado atual e estarão disponíveis para uso no primeiro dia do mês depois que a Microsoft processar tal pedido. Para a </w:t>
      </w:r>
      <w:r w:rsidRPr="000A1C8E">
        <w:rPr>
          <w:rFonts w:cs="Tahoma"/>
          <w:szCs w:val="18"/>
        </w:rPr>
        <w:t>opção de assinatura coextensiva,</w:t>
      </w:r>
      <w:r w:rsidRPr="000A1C8E">
        <w:rPr>
          <w:rFonts w:cs="Tahoma"/>
        </w:rPr>
        <w:t xml:space="preserve"> os Compromissos Anuais Alocados futuros do cliente serão incrementados pelo valor do pedido adicional multiplicado por 12, divididos pelo número de meses inteiros restantes no ano em que o pedido adicional foi feito.</w:t>
      </w:r>
    </w:p>
    <w:p w:rsidR="006A5DAE" w:rsidRPr="000A1C8E" w:rsidRDefault="006A5DAE" w:rsidP="006A5DAE">
      <w:pPr>
        <w:rPr>
          <w:rFonts w:cs="Tahoma"/>
        </w:rPr>
      </w:pPr>
    </w:p>
    <w:p w:rsidR="006A5DAE" w:rsidRPr="000A1C8E" w:rsidRDefault="006A5DAE" w:rsidP="006A5DAE">
      <w:pPr>
        <w:outlineLvl w:val="1"/>
        <w:rPr>
          <w:rFonts w:cs="Tahoma"/>
        </w:rPr>
      </w:pPr>
      <w:r w:rsidRPr="000A1C8E">
        <w:rPr>
          <w:rFonts w:cs="Tahoma"/>
          <w:szCs w:val="18"/>
        </w:rPr>
        <w:t xml:space="preserve">Os clientes devem consumir seu </w:t>
      </w:r>
      <w:r w:rsidRPr="000A1C8E">
        <w:rPr>
          <w:rFonts w:cs="Tahoma"/>
        </w:rPr>
        <w:t>Compromisso Anual Alocado</w:t>
      </w:r>
      <w:r w:rsidRPr="000A1C8E">
        <w:rPr>
          <w:rFonts w:cs="Tahoma"/>
          <w:szCs w:val="18"/>
        </w:rPr>
        <w:t xml:space="preserve"> até o último dia do 12</w:t>
      </w:r>
      <w:r w:rsidRPr="000A1C8E">
        <w:rPr>
          <w:rFonts w:cs="Tahoma"/>
          <w:szCs w:val="18"/>
          <w:vertAlign w:val="superscript"/>
        </w:rPr>
        <w:t>o</w:t>
      </w:r>
      <w:r w:rsidRPr="000A1C8E">
        <w:rPr>
          <w:rFonts w:cs="Tahoma"/>
          <w:szCs w:val="18"/>
        </w:rPr>
        <w:t xml:space="preserve"> mês após o pedido para a opção de assinatura de um ano e até o último dia do mês que antecede o aniversário do registro todo ano para a opção de assinatura coextensiva. Qualquer parte não usada do </w:t>
      </w:r>
      <w:r w:rsidRPr="000A1C8E">
        <w:rPr>
          <w:rFonts w:cs="Tahoma"/>
        </w:rPr>
        <w:t xml:space="preserve">Compromisso Anual Alocado </w:t>
      </w:r>
      <w:r w:rsidRPr="000A1C8E">
        <w:rPr>
          <w:rFonts w:cs="Tahoma"/>
          <w:szCs w:val="18"/>
        </w:rPr>
        <w:t xml:space="preserve">não </w:t>
      </w:r>
      <w:r w:rsidRPr="000A1C8E">
        <w:rPr>
          <w:rFonts w:cs="Tahoma"/>
        </w:rPr>
        <w:t>será transferida para o próximo período</w:t>
      </w:r>
      <w:r w:rsidRPr="000A1C8E">
        <w:rPr>
          <w:rFonts w:cs="Tahoma"/>
          <w:szCs w:val="18"/>
        </w:rPr>
        <w:t xml:space="preserve"> e será perdida. </w:t>
      </w:r>
    </w:p>
    <w:p w:rsidR="006A5DAE" w:rsidRPr="000A1C8E" w:rsidRDefault="006A5DAE" w:rsidP="006A5DAE">
      <w:pPr>
        <w:rPr>
          <w:rFonts w:cs="Tahoma"/>
        </w:rPr>
      </w:pPr>
    </w:p>
    <w:p w:rsidR="006A5DAE" w:rsidRPr="000A1C8E" w:rsidRDefault="005242EC" w:rsidP="005242EC">
      <w:pPr>
        <w:spacing w:after="60"/>
        <w:outlineLvl w:val="1"/>
        <w:rPr>
          <w:rFonts w:cs="Tahoma"/>
        </w:rPr>
      </w:pPr>
      <w:r w:rsidRPr="000A1C8E">
        <w:rPr>
          <w:rFonts w:cs="Tahoma"/>
          <w:b/>
          <w:szCs w:val="18"/>
        </w:rPr>
        <w:t xml:space="preserve">Pagamento e Taxas </w:t>
      </w:r>
    </w:p>
    <w:p w:rsidR="006A5DAE" w:rsidRPr="000A1C8E" w:rsidRDefault="006A5DAE" w:rsidP="006A5DAE">
      <w:pPr>
        <w:rPr>
          <w:rFonts w:cs="Tahoma"/>
        </w:rPr>
      </w:pPr>
      <w:r w:rsidRPr="000A1C8E">
        <w:rPr>
          <w:rFonts w:cs="Tahoma"/>
        </w:rPr>
        <w:t xml:space="preserve">No caso da opção de assinatura de um ano, os pedidos serão faturados imediatamente para os clientes ou seus revendedores. No caso da </w:t>
      </w:r>
      <w:r w:rsidRPr="000A1C8E">
        <w:rPr>
          <w:rFonts w:cs="Tahoma"/>
          <w:szCs w:val="18"/>
        </w:rPr>
        <w:t xml:space="preserve">opção de assinatura coextensiva, o </w:t>
      </w:r>
      <w:r w:rsidRPr="000A1C8E">
        <w:rPr>
          <w:rFonts w:cs="Tahoma"/>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rsidR="006A5DAE" w:rsidRPr="000A1C8E" w:rsidRDefault="006A5DAE" w:rsidP="006A5DAE">
      <w:pPr>
        <w:rPr>
          <w:rFonts w:cs="Tahoma"/>
        </w:rPr>
      </w:pPr>
    </w:p>
    <w:p w:rsidR="006A5DAE" w:rsidRPr="000A1C8E" w:rsidRDefault="006A5DAE" w:rsidP="006A5DAE">
      <w:pPr>
        <w:rPr>
          <w:rFonts w:cs="Tahoma"/>
        </w:rPr>
      </w:pPr>
      <w:r w:rsidRPr="000A1C8E">
        <w:rPr>
          <w:rFonts w:cs="Tahoma"/>
        </w:rPr>
        <w:t>A cada mês, a Microsoft deduzirá do Compromisso Anual Alocado o valor monetário do uso feito por parte do cliente dos Serviços do Windows Azure. 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 Se o cliente escolher a opção de assinatura de um ano, qualquer uso de acordo com as Taxas de Consumo será faturado ao cliente ou seu revendedor no final de cada trimestre do registro e no final do prazo de assinatura. Se o cliente escolher a opção de assinatura coextensiva, qualquer uso de acordo com as Taxas de Consumo será faturado ao cliente ou seu revendedor no final de cada trimestre do registro.</w:t>
      </w:r>
      <w:r w:rsidR="00DC6D8B" w:rsidRPr="000A1C8E">
        <w:rPr>
          <w:rFonts w:cs="Tahoma"/>
        </w:rPr>
        <w:t xml:space="preserve"> </w:t>
      </w:r>
    </w:p>
    <w:p w:rsidR="006A5DAE" w:rsidRPr="000A1C8E" w:rsidRDefault="006A5DAE" w:rsidP="006A5DAE">
      <w:pPr>
        <w:rPr>
          <w:rFonts w:cs="Tahoma"/>
        </w:rPr>
      </w:pPr>
    </w:p>
    <w:p w:rsidR="006A5DAE" w:rsidRPr="000A1C8E" w:rsidRDefault="006A5DAE" w:rsidP="006A5DAE">
      <w:pPr>
        <w:rPr>
          <w:rFonts w:cs="Tahoma"/>
        </w:rPr>
      </w:pPr>
      <w:r w:rsidRPr="000A1C8E">
        <w:rPr>
          <w:rFonts w:cs="Tahoma"/>
        </w:rPr>
        <w:t>Todo o uso dos Serviços do Windows Azure após o término ou a rescisão do prazo de assinatura de um cliente será faturado para o cliente ou seu revendedor às Taxas de Consumo trimestralmente.</w:t>
      </w:r>
    </w:p>
    <w:p w:rsidR="006A5DAE" w:rsidRPr="000A1C8E" w:rsidRDefault="006A5DAE" w:rsidP="006A5DAE">
      <w:pPr>
        <w:rPr>
          <w:rFonts w:cs="Tahoma"/>
        </w:rPr>
      </w:pPr>
    </w:p>
    <w:p w:rsidR="006A5DAE" w:rsidRPr="000A1C8E" w:rsidRDefault="006A5DAE" w:rsidP="006A5DAE">
      <w:pPr>
        <w:rPr>
          <w:rFonts w:cs="Tahoma"/>
        </w:rPr>
      </w:pPr>
      <w:r w:rsidRPr="000A1C8E">
        <w:rPr>
          <w:rFonts w:cs="Tahoma"/>
        </w:rPr>
        <w:t>A Microsoft poderá diminuir preços de Serviços individuais do Windows Azure durante o prazo do registro do cliente.</w:t>
      </w:r>
      <w:r w:rsidR="00DC6D8B" w:rsidRPr="000A1C8E">
        <w:rPr>
          <w:rFonts w:cs="Tahoma"/>
        </w:rPr>
        <w:t xml:space="preserve"> </w:t>
      </w:r>
      <w:r w:rsidRPr="000A1C8E">
        <w:rPr>
          <w:rFonts w:cs="Tahoma"/>
        </w:rPr>
        <w:t>Para os clientes que adquiriram os Serviços do Windows Azure diretamente da Microsoft, a Tabela de Preços ao Cliente poderá indicar um preço mais alto do que o preço vigente. A Microsoft concederá preços mais baixos a esses clientes durante o período em que eles estiverem em vigência. A Microsoft fornecerá aos clientes uma notificação sobre tais alterações.</w:t>
      </w:r>
    </w:p>
    <w:p w:rsidR="006A5DAE" w:rsidRPr="000A1C8E" w:rsidRDefault="006A5DAE" w:rsidP="006A5DAE">
      <w:pPr>
        <w:rPr>
          <w:rFonts w:cs="Tahoma"/>
        </w:rPr>
      </w:pPr>
    </w:p>
    <w:p w:rsidR="006A5DAE" w:rsidRPr="000A1C8E" w:rsidRDefault="006A5DAE" w:rsidP="006A5DAE">
      <w:pPr>
        <w:rPr>
          <w:rFonts w:cs="Tahoma"/>
        </w:rPr>
      </w:pPr>
      <w:r w:rsidRPr="000A1C8E">
        <w:rPr>
          <w:rFonts w:cs="Tahoma"/>
          <w:szCs w:val="18"/>
        </w:rPr>
        <w:t>Os termos de pagamento e preços das assinaturas adquiridas por meio de revendedores serão determinados pelo contrato entre o cliente e seu revendedor.</w:t>
      </w:r>
      <w:r w:rsidR="00DC6D8B" w:rsidRPr="000A1C8E">
        <w:rPr>
          <w:rFonts w:cs="Tahoma"/>
          <w:szCs w:val="18"/>
        </w:rPr>
        <w:t xml:space="preserve"> </w:t>
      </w:r>
      <w:r w:rsidRPr="000A1C8E">
        <w:rPr>
          <w:rFonts w:cs="Tahoma"/>
          <w:szCs w:val="18"/>
        </w:rPr>
        <w:t xml:space="preserve">O </w:t>
      </w:r>
      <w:r w:rsidRPr="000A1C8E">
        <w:rPr>
          <w:rFonts w:cs="Tahoma"/>
          <w:iCs/>
        </w:rPr>
        <w:t>revendedor de um cliente fornecerá informações adicionais relativas ao processo de pedidos de Serviços do Windows Azure.</w:t>
      </w:r>
      <w:r w:rsidR="00DC6D8B" w:rsidRPr="000A1C8E">
        <w:rPr>
          <w:rFonts w:cs="Tahoma"/>
          <w:iCs/>
        </w:rPr>
        <w:t xml:space="preserve"> </w:t>
      </w:r>
      <w:r w:rsidRPr="000A1C8E">
        <w:rPr>
          <w:rFonts w:cs="Tahoma"/>
          <w:iCs/>
        </w:rPr>
        <w:t xml:space="preserve">Os preços e os termos de cobrança para todos os Serviços do Windows Azure serão regidos por um contrato separado entre o cliente e seu respectivo revendedor. </w:t>
      </w:r>
      <w:r w:rsidRPr="000A1C8E">
        <w:rPr>
          <w:rFonts w:cs="Tahoma"/>
        </w:rPr>
        <w:t>A Microsoft poderá baixar os preços para os Serviços do Windows Azure apenas durante o prazo do registro do cliente e poderá fornecer preços mais baixos para o revendedor do cliente durante o período em que eles estiverem vigentes. A</w:t>
      </w:r>
      <w:r w:rsidR="00367329" w:rsidRPr="000A1C8E">
        <w:rPr>
          <w:rFonts w:cs="Tahoma"/>
        </w:rPr>
        <w:t> </w:t>
      </w:r>
      <w:r w:rsidRPr="000A1C8E">
        <w:rPr>
          <w:rFonts w:cs="Tahoma"/>
        </w:rPr>
        <w:t>Microsoft fornecerá ao revendedor do cliente uma notificação sobre tais alterações. O cliente e seu revendedor determinarão os preços reais e a aplicabilidade das alterações de preços.</w:t>
      </w:r>
    </w:p>
    <w:p w:rsidR="00BD1A6A" w:rsidRPr="000A1C8E" w:rsidRDefault="00BD1A6A">
      <w:pPr>
        <w:rPr>
          <w:rFonts w:cs="Tahoma"/>
          <w:b/>
          <w:szCs w:val="18"/>
        </w:rPr>
      </w:pPr>
    </w:p>
    <w:p w:rsidR="00E24A83" w:rsidRPr="000A1C8E" w:rsidRDefault="00E24A83">
      <w:pPr>
        <w:rPr>
          <w:rFonts w:cs="Tahoma"/>
          <w:b/>
          <w:szCs w:val="18"/>
        </w:rPr>
      </w:pPr>
    </w:p>
    <w:p w:rsidR="00776E3B" w:rsidRPr="000A1C8E" w:rsidRDefault="005242EC" w:rsidP="005242EC">
      <w:pPr>
        <w:spacing w:after="60"/>
        <w:outlineLvl w:val="1"/>
        <w:rPr>
          <w:rFonts w:cs="Tahoma"/>
        </w:rPr>
      </w:pPr>
      <w:r w:rsidRPr="000A1C8E">
        <w:rPr>
          <w:rFonts w:cs="Tahoma"/>
          <w:b/>
          <w:sz w:val="20"/>
          <w:szCs w:val="18"/>
        </w:rPr>
        <w:lastRenderedPageBreak/>
        <w:t>Taxas de Compromissos do Windows Azure</w:t>
      </w:r>
    </w:p>
    <w:p w:rsidR="00776E3B" w:rsidRPr="000A1C8E" w:rsidRDefault="006A5DAE" w:rsidP="00E24A83">
      <w:pPr>
        <w:outlineLvl w:val="1"/>
        <w:rPr>
          <w:rFonts w:cs="Tahoma"/>
        </w:rPr>
      </w:pPr>
      <w:r w:rsidRPr="000A1C8E">
        <w:rPr>
          <w:rFonts w:cs="Tahoma"/>
          <w:szCs w:val="18"/>
        </w:rPr>
        <w:t>As Taxas de Compromissos dos Clientes para Serviços do Windows Azure se baseiam em seu Nível de Compromisso Monetário do Windows Azure e na categoria de preços do registro. O Nível de Compromisso Monetário do Windows Azure é determinado pela quantidade de Compromissos Monetários do Windows Azure (ou seja, o valor monetário total que o cliente se compromete a dispor anualmente durante a vigência da assinatura do Windows Azure) e</w:t>
      </w:r>
      <w:r w:rsidR="00E24A83" w:rsidRPr="000A1C8E">
        <w:rPr>
          <w:rFonts w:cs="Tahoma"/>
          <w:szCs w:val="18"/>
        </w:rPr>
        <w:t> </w:t>
      </w:r>
      <w:r w:rsidRPr="000A1C8E">
        <w:rPr>
          <w:rFonts w:cs="Tahoma"/>
          <w:szCs w:val="18"/>
        </w:rPr>
        <w:t xml:space="preserve">corresponde ao desconto especificado na tabela abaixo (expresso como uma porcentagem das Taxas Excedentes/Consumo do Windows Azure). </w:t>
      </w:r>
    </w:p>
    <w:p w:rsidR="00776E3B" w:rsidRPr="000A1C8E"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0A1C8E"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0A1C8E" w:rsidRDefault="00776E3B" w:rsidP="0044720D">
            <w:pPr>
              <w:jc w:val="center"/>
              <w:rPr>
                <w:rFonts w:eastAsia="Times New Roman" w:cs="Tahoma"/>
                <w:b/>
                <w:bCs/>
                <w:szCs w:val="18"/>
              </w:rPr>
            </w:pPr>
            <w:r w:rsidRPr="000A1C8E">
              <w:rPr>
                <w:rFonts w:cs="Tahoma"/>
                <w:b/>
                <w:bCs/>
                <w:szCs w:val="18"/>
              </w:rPr>
              <w:t>Nível de Compromisso Monetário do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0A1C8E" w:rsidRDefault="00776E3B" w:rsidP="0044720D">
            <w:pPr>
              <w:jc w:val="center"/>
              <w:rPr>
                <w:rFonts w:eastAsia="Times New Roman" w:cs="Tahoma"/>
                <w:b/>
                <w:bCs/>
                <w:szCs w:val="18"/>
              </w:rPr>
            </w:pPr>
            <w:r w:rsidRPr="000A1C8E">
              <w:rPr>
                <w:rFonts w:eastAsia="Times New Roman" w:cs="Tahoma"/>
                <w:b/>
                <w:bCs/>
                <w:szCs w:val="18"/>
              </w:rPr>
              <w:t>Quantidade de Unidade de Compromisso Monetário Anual do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0A1C8E" w:rsidRDefault="00776E3B" w:rsidP="0044720D">
            <w:pPr>
              <w:jc w:val="center"/>
              <w:rPr>
                <w:rFonts w:eastAsia="Times New Roman" w:cs="Tahoma"/>
                <w:b/>
                <w:bCs/>
                <w:szCs w:val="18"/>
              </w:rPr>
            </w:pPr>
            <w:r w:rsidRPr="000A1C8E">
              <w:rPr>
                <w:rFonts w:cs="Tahoma"/>
                <w:b/>
                <w:bCs/>
                <w:szCs w:val="18"/>
              </w:rPr>
              <w:t>Desconto Sobre as Taxas de Consumo</w:t>
            </w:r>
          </w:p>
        </w:tc>
      </w:tr>
      <w:tr w:rsidR="00776E3B" w:rsidRPr="000A1C8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A1C8E" w:rsidRDefault="00776E3B" w:rsidP="0044720D">
            <w:pPr>
              <w:spacing w:before="100" w:beforeAutospacing="1" w:after="100" w:afterAutospacing="1"/>
              <w:ind w:right="259"/>
              <w:jc w:val="center"/>
              <w:rPr>
                <w:rFonts w:eastAsia="Times New Roman" w:cs="Tahoma"/>
                <w:szCs w:val="18"/>
              </w:rPr>
            </w:pPr>
            <w:r w:rsidRPr="000A1C8E">
              <w:rPr>
                <w:rFonts w:eastAsia="Times New Roman" w:cs="Tahoma"/>
                <w:szCs w:val="18"/>
              </w:rPr>
              <w:t>Nível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A1C8E" w:rsidRDefault="00776E3B" w:rsidP="0044720D">
            <w:pPr>
              <w:spacing w:before="100" w:beforeAutospacing="1" w:after="100" w:afterAutospacing="1"/>
              <w:ind w:right="180"/>
              <w:jc w:val="center"/>
              <w:rPr>
                <w:rFonts w:eastAsia="Times New Roman" w:cs="Tahoma"/>
                <w:szCs w:val="18"/>
              </w:rPr>
            </w:pPr>
            <w:r w:rsidRPr="000A1C8E">
              <w:rPr>
                <w:rFonts w:eastAsia="Times New Roman" w:cs="Tahoma"/>
                <w:szCs w:val="18"/>
              </w:rPr>
              <w:t>Até 1.799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0A1C8E" w:rsidRDefault="00776E3B" w:rsidP="0044720D">
            <w:pPr>
              <w:spacing w:before="100" w:beforeAutospacing="1" w:after="100" w:afterAutospacing="1"/>
              <w:ind w:right="180"/>
              <w:jc w:val="center"/>
              <w:rPr>
                <w:rFonts w:eastAsia="Times New Roman" w:cs="Tahoma"/>
                <w:szCs w:val="18"/>
              </w:rPr>
            </w:pPr>
            <w:r w:rsidRPr="000A1C8E">
              <w:rPr>
                <w:rFonts w:eastAsia="Times New Roman" w:cs="Tahoma"/>
                <w:szCs w:val="18"/>
              </w:rPr>
              <w:t>23%</w:t>
            </w:r>
          </w:p>
        </w:tc>
      </w:tr>
      <w:tr w:rsidR="00776E3B" w:rsidRPr="000A1C8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A1C8E" w:rsidRDefault="00776E3B" w:rsidP="0044720D">
            <w:pPr>
              <w:spacing w:before="100" w:beforeAutospacing="1" w:after="100" w:afterAutospacing="1"/>
              <w:ind w:right="259"/>
              <w:jc w:val="center"/>
              <w:rPr>
                <w:rFonts w:eastAsia="Times New Roman" w:cs="Tahoma"/>
                <w:szCs w:val="18"/>
              </w:rPr>
            </w:pPr>
            <w:r w:rsidRPr="000A1C8E">
              <w:rPr>
                <w:rFonts w:eastAsia="Times New Roman" w:cs="Tahoma"/>
                <w:szCs w:val="18"/>
              </w:rPr>
              <w:t>Nível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A1C8E" w:rsidRDefault="00776E3B" w:rsidP="0044720D">
            <w:pPr>
              <w:spacing w:before="100" w:beforeAutospacing="1" w:after="100" w:afterAutospacing="1"/>
              <w:ind w:right="180"/>
              <w:jc w:val="center"/>
              <w:rPr>
                <w:rFonts w:eastAsia="Times New Roman" w:cs="Tahoma"/>
                <w:szCs w:val="18"/>
              </w:rPr>
            </w:pPr>
            <w:r w:rsidRPr="000A1C8E">
              <w:rPr>
                <w:rFonts w:eastAsia="Times New Roman" w:cs="Tahoma"/>
                <w:szCs w:val="18"/>
              </w:rPr>
              <w:t>1.800 - 4.799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0A1C8E" w:rsidRDefault="00776E3B" w:rsidP="0044720D">
            <w:pPr>
              <w:spacing w:before="100" w:beforeAutospacing="1" w:after="100" w:afterAutospacing="1"/>
              <w:ind w:right="180"/>
              <w:jc w:val="center"/>
              <w:rPr>
                <w:rFonts w:eastAsia="Times New Roman" w:cs="Tahoma"/>
                <w:szCs w:val="18"/>
              </w:rPr>
            </w:pPr>
            <w:r w:rsidRPr="000A1C8E">
              <w:rPr>
                <w:rFonts w:eastAsia="Times New Roman" w:cs="Tahoma"/>
                <w:szCs w:val="18"/>
              </w:rPr>
              <w:t>26%</w:t>
            </w:r>
          </w:p>
        </w:tc>
      </w:tr>
      <w:tr w:rsidR="00776E3B" w:rsidRPr="000A1C8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A1C8E" w:rsidRDefault="00776E3B" w:rsidP="0044720D">
            <w:pPr>
              <w:spacing w:before="100" w:beforeAutospacing="1" w:after="100" w:afterAutospacing="1"/>
              <w:ind w:right="259"/>
              <w:jc w:val="center"/>
              <w:rPr>
                <w:rFonts w:eastAsia="Times New Roman" w:cs="Tahoma"/>
                <w:szCs w:val="18"/>
              </w:rPr>
            </w:pPr>
            <w:r w:rsidRPr="000A1C8E">
              <w:rPr>
                <w:rFonts w:eastAsia="Times New Roman" w:cs="Tahoma"/>
                <w:szCs w:val="18"/>
              </w:rPr>
              <w:t>Nível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A1C8E" w:rsidRDefault="00776E3B" w:rsidP="0044720D">
            <w:pPr>
              <w:spacing w:before="100" w:beforeAutospacing="1" w:after="100" w:afterAutospacing="1"/>
              <w:ind w:right="180"/>
              <w:jc w:val="center"/>
              <w:rPr>
                <w:rFonts w:eastAsia="Times New Roman" w:cs="Tahoma"/>
                <w:szCs w:val="18"/>
              </w:rPr>
            </w:pPr>
            <w:r w:rsidRPr="000A1C8E">
              <w:rPr>
                <w:rFonts w:eastAsia="Times New Roman" w:cs="Tahoma"/>
                <w:szCs w:val="18"/>
              </w:rPr>
              <w:t>4.800 - 11.999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0A1C8E" w:rsidRDefault="00776E3B" w:rsidP="0044720D">
            <w:pPr>
              <w:spacing w:before="100" w:beforeAutospacing="1" w:after="100" w:afterAutospacing="1"/>
              <w:ind w:right="180"/>
              <w:jc w:val="center"/>
              <w:rPr>
                <w:rFonts w:eastAsia="Times New Roman" w:cs="Tahoma"/>
                <w:szCs w:val="18"/>
              </w:rPr>
            </w:pPr>
            <w:r w:rsidRPr="000A1C8E">
              <w:rPr>
                <w:rFonts w:eastAsia="Times New Roman" w:cs="Tahoma"/>
                <w:szCs w:val="18"/>
              </w:rPr>
              <w:t>30%</w:t>
            </w:r>
          </w:p>
        </w:tc>
      </w:tr>
      <w:tr w:rsidR="00776E3B" w:rsidRPr="000A1C8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A1C8E" w:rsidRDefault="00776E3B" w:rsidP="0044720D">
            <w:pPr>
              <w:spacing w:before="100" w:beforeAutospacing="1" w:after="100" w:afterAutospacing="1"/>
              <w:ind w:right="259"/>
              <w:jc w:val="center"/>
              <w:rPr>
                <w:rFonts w:eastAsia="Times New Roman" w:cs="Tahoma"/>
                <w:szCs w:val="18"/>
              </w:rPr>
            </w:pPr>
            <w:r w:rsidRPr="000A1C8E">
              <w:rPr>
                <w:rFonts w:eastAsia="Times New Roman" w:cs="Tahoma"/>
                <w:szCs w:val="18"/>
              </w:rPr>
              <w:t>Nível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A1C8E" w:rsidRDefault="00776E3B" w:rsidP="0044720D">
            <w:pPr>
              <w:spacing w:before="100" w:beforeAutospacing="1" w:after="100" w:afterAutospacing="1"/>
              <w:ind w:right="180"/>
              <w:jc w:val="center"/>
              <w:rPr>
                <w:rFonts w:eastAsia="Times New Roman" w:cs="Tahoma"/>
                <w:szCs w:val="18"/>
              </w:rPr>
            </w:pPr>
            <w:r w:rsidRPr="000A1C8E">
              <w:rPr>
                <w:rFonts w:eastAsia="Times New Roman" w:cs="Tahoma"/>
                <w:szCs w:val="18"/>
              </w:rPr>
              <w:t>12.000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0A1C8E" w:rsidRDefault="00776E3B" w:rsidP="0044720D">
            <w:pPr>
              <w:spacing w:before="100" w:beforeAutospacing="1" w:after="100" w:afterAutospacing="1"/>
              <w:ind w:right="180"/>
              <w:jc w:val="center"/>
              <w:rPr>
                <w:rFonts w:eastAsia="Times New Roman" w:cs="Tahoma"/>
                <w:szCs w:val="18"/>
              </w:rPr>
            </w:pPr>
            <w:r w:rsidRPr="000A1C8E">
              <w:rPr>
                <w:rFonts w:eastAsia="Times New Roman" w:cs="Tahoma"/>
                <w:szCs w:val="18"/>
              </w:rPr>
              <w:t>35%</w:t>
            </w:r>
          </w:p>
        </w:tc>
      </w:tr>
    </w:tbl>
    <w:p w:rsidR="006A5DAE" w:rsidRPr="000A1C8E" w:rsidRDefault="00AA0329" w:rsidP="002E57CF">
      <w:pPr>
        <w:ind w:left="1080"/>
        <w:outlineLvl w:val="1"/>
        <w:rPr>
          <w:rFonts w:cs="Tahoma"/>
        </w:rPr>
      </w:pPr>
      <w:r w:rsidRPr="000A1C8E">
        <w:rPr>
          <w:rFonts w:cs="Tahoma"/>
          <w:i/>
          <w:sz w:val="16"/>
          <w:szCs w:val="18"/>
        </w:rPr>
        <w:t>Unidade é um valor monetário na moeda aplicável</w:t>
      </w:r>
    </w:p>
    <w:p w:rsidR="00776E3B" w:rsidRPr="000A1C8E" w:rsidRDefault="00776E3B" w:rsidP="00776E3B">
      <w:pPr>
        <w:outlineLvl w:val="1"/>
        <w:rPr>
          <w:rFonts w:cs="Tahoma"/>
        </w:rPr>
      </w:pPr>
    </w:p>
    <w:p w:rsidR="00776E3B" w:rsidRPr="000A1C8E" w:rsidRDefault="00776E3B" w:rsidP="00776E3B">
      <w:pPr>
        <w:outlineLvl w:val="1"/>
        <w:rPr>
          <w:rFonts w:cs="Tahoma"/>
        </w:rPr>
      </w:pPr>
      <w:r w:rsidRPr="000A1C8E">
        <w:rPr>
          <w:rFonts w:cs="Tahoma"/>
          <w:szCs w:val="18"/>
        </w:rPr>
        <w:t>Um cliente pode aumentar sua quantidade de Compromisso Monetário anual do Windows Azure e qualificar-se para um Nível mais alto a qualquer momento durante a vigência da assinatura do Windows Azure.</w:t>
      </w:r>
      <w:r w:rsidR="00DC6D8B" w:rsidRPr="000A1C8E">
        <w:rPr>
          <w:rFonts w:cs="Tahoma"/>
          <w:szCs w:val="18"/>
        </w:rPr>
        <w:t xml:space="preserve"> </w:t>
      </w:r>
      <w:r w:rsidRPr="000A1C8E">
        <w:rPr>
          <w:rFonts w:cs="Tahoma"/>
          <w:szCs w:val="18"/>
        </w:rPr>
        <w:t>As novas Taxas de Compromisso se aplicarão ao uso que o cliente faz dos Serviços do Windows Azure, começando no primeiro dia do</w:t>
      </w:r>
      <w:r w:rsidR="004E5702" w:rsidRPr="000A1C8E">
        <w:rPr>
          <w:rFonts w:cs="Tahoma"/>
          <w:szCs w:val="18"/>
        </w:rPr>
        <w:t> </w:t>
      </w:r>
      <w:r w:rsidRPr="000A1C8E">
        <w:rPr>
          <w:rFonts w:cs="Tahoma"/>
          <w:szCs w:val="18"/>
        </w:rPr>
        <w:t xml:space="preserve">mês calendário depois que o cliente ajusta sua quantidade de licenças de Compromisso Monetário anual do Windows Azure. </w:t>
      </w:r>
    </w:p>
    <w:p w:rsidR="00776E3B" w:rsidRPr="000A1C8E" w:rsidRDefault="00776E3B" w:rsidP="00776E3B">
      <w:pPr>
        <w:outlineLvl w:val="1"/>
        <w:rPr>
          <w:rFonts w:cs="Tahoma"/>
        </w:rPr>
      </w:pPr>
    </w:p>
    <w:p w:rsidR="00776E3B" w:rsidRPr="000A1C8E" w:rsidRDefault="00776E3B" w:rsidP="005242EC">
      <w:pPr>
        <w:outlineLvl w:val="1"/>
        <w:rPr>
          <w:rFonts w:cs="Tahoma"/>
        </w:rPr>
      </w:pPr>
      <w:r w:rsidRPr="000A1C8E">
        <w:rPr>
          <w:rFonts w:eastAsia="Times New Roman" w:cs="Tahoma"/>
          <w:szCs w:val="18"/>
        </w:rPr>
        <w:t xml:space="preserve">A Tabela de Preços ao Cliente refletirá os preços da Taxa de Compromisso Nível 1. Os preços reais da </w:t>
      </w:r>
      <w:r w:rsidRPr="000A1C8E">
        <w:rPr>
          <w:rFonts w:cs="Tahoma"/>
          <w:szCs w:val="18"/>
        </w:rPr>
        <w:t>Taxa de Compromisso serão mostrados na página Exibição da Conta no Portal Corporativo do Windows Azure. Os termos de pagamento e preços dos Serviços do Windows Azure adquiridos por meio de revendedores serão determinados pelo contrato entre o cliente e seu revendedor.</w:t>
      </w:r>
    </w:p>
    <w:p w:rsidR="0067627F" w:rsidRPr="000A1C8E" w:rsidRDefault="0067627F" w:rsidP="00776E3B">
      <w:pPr>
        <w:rPr>
          <w:rFonts w:cs="Tahoma"/>
        </w:rPr>
      </w:pPr>
    </w:p>
    <w:p w:rsidR="00456002" w:rsidRPr="000A1C8E" w:rsidRDefault="00456002" w:rsidP="00F07479">
      <w:pPr>
        <w:pStyle w:val="Heading2"/>
        <w:ind w:left="0"/>
        <w:rPr>
          <w:rFonts w:ascii="Tahoma" w:hAnsi="Tahoma" w:cs="Tahoma"/>
        </w:rPr>
      </w:pPr>
      <w:bookmarkStart w:id="688" w:name="_Toc328145984"/>
      <w:bookmarkStart w:id="689" w:name="_Toc336338215"/>
      <w:bookmarkStart w:id="690" w:name="_Toc361829299"/>
      <w:r w:rsidRPr="000A1C8E">
        <w:rPr>
          <w:rFonts w:ascii="Tahoma" w:hAnsi="Tahoma" w:cs="Tahoma"/>
        </w:rPr>
        <w:t>Disponibilidade Regional dos Serviços Online</w:t>
      </w:r>
      <w:bookmarkEnd w:id="688"/>
      <w:bookmarkEnd w:id="689"/>
      <w:bookmarkEnd w:id="690"/>
      <w:r w:rsidRPr="000A1C8E">
        <w:rPr>
          <w:rFonts w:ascii="Tahoma" w:hAnsi="Tahoma" w:cs="Tahoma"/>
        </w:rPr>
        <w:t xml:space="preserve"> </w:t>
      </w:r>
    </w:p>
    <w:p w:rsidR="00456002" w:rsidRPr="000A1C8E" w:rsidRDefault="00456002" w:rsidP="00F07479">
      <w:pPr>
        <w:outlineLvl w:val="2"/>
        <w:rPr>
          <w:rFonts w:cs="Tahoma"/>
        </w:rPr>
      </w:pPr>
    </w:p>
    <w:p w:rsidR="0067627F" w:rsidRPr="000A1C8E" w:rsidRDefault="00456002" w:rsidP="00F07479">
      <w:pPr>
        <w:outlineLvl w:val="2"/>
        <w:rPr>
          <w:rFonts w:cs="Tahoma"/>
        </w:rPr>
      </w:pPr>
      <w:r w:rsidRPr="000A1C8E">
        <w:rPr>
          <w:rFonts w:cs="Tahoma"/>
          <w:szCs w:val="18"/>
        </w:rPr>
        <w:t xml:space="preserve">Visite o site </w:t>
      </w:r>
      <w:hyperlink r:id="rId21" w:anchor="international" w:history="1">
        <w:r w:rsidRPr="000A1C8E">
          <w:rPr>
            <w:rStyle w:val="Hyperlink"/>
            <w:rFonts w:cs="Tahoma"/>
          </w:rPr>
          <w:t>http://www.microsoft.com/online/faq.aspx#international</w:t>
        </w:r>
      </w:hyperlink>
      <w:r w:rsidR="00DC6D8B" w:rsidRPr="000A1C8E">
        <w:rPr>
          <w:rFonts w:cs="Tahoma"/>
          <w:color w:val="1F497D"/>
        </w:rPr>
        <w:t xml:space="preserve"> </w:t>
      </w:r>
      <w:r w:rsidRPr="000A1C8E">
        <w:rPr>
          <w:rFonts w:cs="Tahoma"/>
          <w:color w:val="000000"/>
        </w:rPr>
        <w:t>para obter uma lista de países e regiões nos quais os Serviços Online estão disponíveis.</w:t>
      </w:r>
      <w:r w:rsidR="00DC6D8B" w:rsidRPr="000A1C8E">
        <w:rPr>
          <w:rFonts w:cs="Tahoma"/>
          <w:color w:val="000000"/>
        </w:rPr>
        <w:t xml:space="preserve"> </w:t>
      </w:r>
    </w:p>
    <w:p w:rsidR="0067627F" w:rsidRPr="000A1C8E" w:rsidRDefault="0067627F" w:rsidP="0067627F">
      <w:pPr>
        <w:outlineLvl w:val="2"/>
        <w:rPr>
          <w:rFonts w:cs="Tahoma"/>
        </w:rPr>
      </w:pPr>
    </w:p>
    <w:p w:rsidR="00456002" w:rsidRPr="000A1C8E" w:rsidRDefault="00456002" w:rsidP="00456002">
      <w:pPr>
        <w:pStyle w:val="Heading2"/>
        <w:ind w:left="0"/>
        <w:rPr>
          <w:rFonts w:ascii="Tahoma" w:hAnsi="Tahoma" w:cs="Tahoma"/>
        </w:rPr>
      </w:pPr>
      <w:bookmarkStart w:id="691" w:name="_Toc328145985"/>
      <w:bookmarkStart w:id="692" w:name="_Toc336338216"/>
      <w:bookmarkStart w:id="693" w:name="_Toc361829300"/>
      <w:r w:rsidRPr="000A1C8E">
        <w:rPr>
          <w:rFonts w:ascii="Tahoma" w:hAnsi="Tahoma" w:cs="Tahoma"/>
        </w:rPr>
        <w:t>Termos adicionais de Serviços Online</w:t>
      </w:r>
      <w:bookmarkEnd w:id="691"/>
      <w:bookmarkEnd w:id="692"/>
      <w:bookmarkEnd w:id="693"/>
    </w:p>
    <w:p w:rsidR="00456002" w:rsidRPr="000A1C8E" w:rsidRDefault="00456002" w:rsidP="00DF28F2">
      <w:pPr>
        <w:outlineLvl w:val="2"/>
        <w:rPr>
          <w:rFonts w:cs="Tahoma"/>
        </w:rPr>
      </w:pPr>
    </w:p>
    <w:p w:rsidR="00456002" w:rsidRPr="000A1C8E" w:rsidRDefault="00456002" w:rsidP="00CF3FEE">
      <w:pPr>
        <w:rPr>
          <w:rFonts w:cs="Tahoma"/>
        </w:rPr>
      </w:pPr>
      <w:r w:rsidRPr="000A1C8E">
        <w:rPr>
          <w:rFonts w:cs="Tahoma"/>
        </w:rPr>
        <w:t>Esta Lista de Produtos pode conter informações adicionais sobre produtos específicos.</w:t>
      </w:r>
      <w:r w:rsidR="00DC6D8B" w:rsidRPr="000A1C8E">
        <w:rPr>
          <w:rFonts w:cs="Tahoma"/>
        </w:rPr>
        <w:t xml:space="preserve"> </w:t>
      </w:r>
      <w:r w:rsidRPr="000A1C8E">
        <w:rPr>
          <w:rFonts w:cs="Tahoma"/>
        </w:rPr>
        <w:t>Para saber mais, consulte as seções sobre produtos neste documento.</w:t>
      </w:r>
    </w:p>
    <w:p w:rsidR="00456002" w:rsidRPr="000A1C8E" w:rsidRDefault="00456002" w:rsidP="00CF3FEE">
      <w:pPr>
        <w:rPr>
          <w:rFonts w:cs="Tahoma"/>
        </w:rPr>
      </w:pPr>
    </w:p>
    <w:p w:rsidR="00456002" w:rsidRPr="000A1C8E" w:rsidRDefault="00456002" w:rsidP="00CF3FEE">
      <w:pPr>
        <w:rPr>
          <w:rFonts w:cs="Tahoma"/>
        </w:rPr>
      </w:pPr>
      <w:r w:rsidRPr="000A1C8E">
        <w:rPr>
          <w:rFonts w:cs="Tahoma"/>
        </w:rPr>
        <w:t>Os Direitos de Uso de Produto encontrados no site http://www.microsoftvolumelicensing.com/userights/PUR.aspx estabelecem outros termos e condições gerais e específicos a produtos que regem o uso dos serviços online.</w:t>
      </w:r>
      <w:r w:rsidR="00DC6D8B" w:rsidRPr="000A1C8E">
        <w:rPr>
          <w:rFonts w:cs="Tahoma"/>
        </w:rPr>
        <w:t xml:space="preserve"> </w:t>
      </w:r>
      <w:r w:rsidRPr="000A1C8E">
        <w:rPr>
          <w:rFonts w:cs="Tahoma"/>
        </w:rPr>
        <w:t>Os</w:t>
      </w:r>
      <w:r w:rsidR="004E5702" w:rsidRPr="000A1C8E">
        <w:rPr>
          <w:rFonts w:cs="Tahoma"/>
        </w:rPr>
        <w:t> </w:t>
      </w:r>
      <w:r w:rsidRPr="000A1C8E">
        <w:rPr>
          <w:rFonts w:cs="Tahoma"/>
        </w:rPr>
        <w:t>direitos de uso de produto dos serviços online estão sujeitos a alterações conforme descrito na seção sobre Serviços Online desse documento.</w:t>
      </w:r>
    </w:p>
    <w:p w:rsidR="00456002" w:rsidRPr="000A1C8E" w:rsidRDefault="00456002" w:rsidP="00CF3FEE">
      <w:pPr>
        <w:rPr>
          <w:rFonts w:cs="Tahoma"/>
        </w:rPr>
      </w:pPr>
    </w:p>
    <w:p w:rsidR="00026546" w:rsidRPr="000A1C8E" w:rsidRDefault="00456002" w:rsidP="005B372B">
      <w:pPr>
        <w:rPr>
          <w:rFonts w:cs="Tahoma"/>
        </w:rPr>
      </w:pPr>
      <w:bookmarkStart w:id="694" w:name="_Toc325313160"/>
      <w:r w:rsidRPr="000A1C8E">
        <w:rPr>
          <w:rFonts w:cs="Tahoma"/>
        </w:rPr>
        <w:t>Os Termos de Pagamento e Preços de Serviços Online não se aplicam aos Serviços Online obtidos de acordo com o</w:t>
      </w:r>
      <w:r w:rsidR="004E5702" w:rsidRPr="000A1C8E">
        <w:rPr>
          <w:rFonts w:cs="Tahoma"/>
        </w:rPr>
        <w:t> </w:t>
      </w:r>
      <w:r w:rsidRPr="000A1C8E">
        <w:rPr>
          <w:rFonts w:cs="Tahoma"/>
        </w:rPr>
        <w:t>Contrato Microsoft Online Subscription.</w:t>
      </w:r>
      <w:r w:rsidR="00DC6D8B" w:rsidRPr="000A1C8E">
        <w:rPr>
          <w:rFonts w:cs="Tahoma"/>
        </w:rPr>
        <w:t xml:space="preserve"> </w:t>
      </w:r>
      <w:r w:rsidRPr="000A1C8E">
        <w:rPr>
          <w:rFonts w:cs="Tahoma"/>
        </w:rPr>
        <w:t>Todos os termos aplicáveis dos Serviços Online obtidos de acordo com o</w:t>
      </w:r>
      <w:r w:rsidR="004E5702" w:rsidRPr="000A1C8E">
        <w:rPr>
          <w:rFonts w:cs="Tahoma"/>
        </w:rPr>
        <w:t> </w:t>
      </w:r>
      <w:r w:rsidRPr="000A1C8E">
        <w:rPr>
          <w:rFonts w:cs="Tahoma"/>
        </w:rPr>
        <w:t>Contrato Microsoft Online Subscription estão contidos nesse contrato e no Portal do Cliente do Microsoft Online Services.</w:t>
      </w:r>
      <w:bookmarkEnd w:id="694"/>
    </w:p>
    <w:p w:rsidR="00D85FDD" w:rsidRPr="000A1C8E" w:rsidRDefault="00D85FDD" w:rsidP="005B372B">
      <w:pPr>
        <w:rPr>
          <w:rFonts w:cs="Tahoma"/>
        </w:rPr>
      </w:pPr>
    </w:p>
    <w:p w:rsidR="00D85FDD" w:rsidRPr="000A1C8E" w:rsidRDefault="00D85FDD" w:rsidP="00F23DD6">
      <w:pPr>
        <w:ind w:left="720"/>
        <w:rPr>
          <w:rFonts w:cs="Tahoma"/>
        </w:rPr>
      </w:pPr>
      <w:bookmarkStart w:id="695" w:name="_Supplemental_Terms_For"/>
      <w:bookmarkEnd w:id="695"/>
    </w:p>
    <w:p w:rsidR="00676723" w:rsidRPr="000A1C8E" w:rsidRDefault="00676723">
      <w:pPr>
        <w:rPr>
          <w:rFonts w:cs="Tahoma"/>
        </w:rPr>
      </w:pPr>
      <w:bookmarkStart w:id="696" w:name="_Toc336338217"/>
      <w:r w:rsidRPr="000A1C8E">
        <w:rPr>
          <w:rFonts w:cs="Tahoma"/>
        </w:rPr>
        <w:br w:type="page"/>
      </w:r>
    </w:p>
    <w:p w:rsidR="00023FE7" w:rsidRPr="000A1C8E" w:rsidRDefault="00A33112" w:rsidP="0033459E">
      <w:pPr>
        <w:pStyle w:val="Heading1"/>
        <w:rPr>
          <w:rFonts w:cs="Tahoma"/>
        </w:rPr>
      </w:pPr>
      <w:bookmarkStart w:id="697" w:name="_Toc361829301"/>
      <w:r w:rsidRPr="000A1C8E">
        <w:rPr>
          <w:rFonts w:cs="Tahoma"/>
        </w:rPr>
        <w:lastRenderedPageBreak/>
        <w:t>SEÇÃO 6 – regras de renovação DO Software Assurance</w:t>
      </w:r>
      <w:bookmarkEnd w:id="696"/>
      <w:bookmarkEnd w:id="697"/>
    </w:p>
    <w:p w:rsidR="00865A60" w:rsidRPr="000A1C8E" w:rsidRDefault="00865A60" w:rsidP="00865A60">
      <w:pPr>
        <w:rPr>
          <w:rFonts w:cs="Tahoma"/>
          <w:sz w:val="24"/>
        </w:rPr>
      </w:pPr>
    </w:p>
    <w:p w:rsidR="00171817" w:rsidRPr="000A1C8E" w:rsidRDefault="00171817" w:rsidP="00171817">
      <w:pPr>
        <w:pStyle w:val="Heading4"/>
        <w:tabs>
          <w:tab w:val="clear" w:pos="720"/>
          <w:tab w:val="num" w:pos="0"/>
        </w:tabs>
        <w:ind w:left="0" w:firstLine="0"/>
        <w:rPr>
          <w:rFonts w:ascii="Tahoma" w:hAnsi="Tahoma" w:cs="Tahoma"/>
        </w:rPr>
      </w:pPr>
      <w:bookmarkStart w:id="698" w:name="_Toc323159745"/>
      <w:bookmarkStart w:id="699" w:name="_Toc336338218"/>
      <w:bookmarkStart w:id="700" w:name="_Toc361829302"/>
      <w:r w:rsidRPr="000A1C8E">
        <w:rPr>
          <w:rFonts w:ascii="Tahoma" w:hAnsi="Tahoma" w:cs="Tahoma"/>
          <w:sz w:val="24"/>
        </w:rPr>
        <w:t>Licença Open</w:t>
      </w:r>
      <w:bookmarkEnd w:id="698"/>
      <w:bookmarkEnd w:id="699"/>
      <w:bookmarkEnd w:id="700"/>
    </w:p>
    <w:p w:rsidR="00171817" w:rsidRPr="000A1C8E" w:rsidRDefault="00171817" w:rsidP="00865A60">
      <w:pPr>
        <w:pStyle w:val="Heading4"/>
        <w:tabs>
          <w:tab w:val="clear" w:pos="720"/>
          <w:tab w:val="num" w:pos="0"/>
        </w:tabs>
        <w:spacing w:before="0"/>
        <w:ind w:left="0" w:firstLine="0"/>
        <w:rPr>
          <w:rFonts w:ascii="Tahoma" w:hAnsi="Tahoma" w:cs="Tahoma"/>
          <w:b w:val="0"/>
          <w:sz w:val="18"/>
        </w:rPr>
      </w:pPr>
    </w:p>
    <w:p w:rsidR="00171817" w:rsidRPr="000A1C8E" w:rsidRDefault="00171817" w:rsidP="005242EC">
      <w:pPr>
        <w:pStyle w:val="StyleHeading22Left138Firstline0"/>
        <w:tabs>
          <w:tab w:val="num" w:pos="0"/>
        </w:tabs>
        <w:ind w:left="0"/>
        <w:jc w:val="left"/>
        <w:rPr>
          <w:rFonts w:ascii="Tahoma" w:hAnsi="Tahoma" w:cs="Tahoma"/>
        </w:rPr>
      </w:pPr>
      <w:r w:rsidRPr="000A1C8E">
        <w:rPr>
          <w:rFonts w:ascii="Tahoma" w:hAnsi="Tahoma" w:cs="Tahoma"/>
          <w:sz w:val="18"/>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rsidR="00865A60" w:rsidRPr="000A1C8E" w:rsidRDefault="00865A60" w:rsidP="005242EC">
      <w:pPr>
        <w:pStyle w:val="AppendIndentSub"/>
        <w:ind w:left="0"/>
        <w:rPr>
          <w:rFonts w:ascii="Tahoma" w:hAnsi="Tahoma" w:cs="Tahoma"/>
          <w:sz w:val="18"/>
        </w:rPr>
      </w:pPr>
    </w:p>
    <w:p w:rsidR="00171817" w:rsidRPr="000A1C8E" w:rsidRDefault="00171817" w:rsidP="002171C3">
      <w:pPr>
        <w:pStyle w:val="Heading4"/>
        <w:ind w:left="360"/>
        <w:rPr>
          <w:rFonts w:ascii="Tahoma" w:hAnsi="Tahoma" w:cs="Tahoma"/>
        </w:rPr>
      </w:pPr>
      <w:bookmarkStart w:id="701" w:name="_Toc336338219"/>
      <w:bookmarkStart w:id="702" w:name="_Toc361829303"/>
      <w:r w:rsidRPr="000A1C8E">
        <w:rPr>
          <w:rFonts w:ascii="Tahoma" w:hAnsi="Tahoma" w:cs="Tahoma"/>
          <w:sz w:val="24"/>
        </w:rPr>
        <w:t>Open Value 20xx</w:t>
      </w:r>
      <w:bookmarkEnd w:id="701"/>
      <w:bookmarkEnd w:id="702"/>
    </w:p>
    <w:p w:rsidR="00171817" w:rsidRPr="000A1C8E" w:rsidRDefault="00171817" w:rsidP="00171817">
      <w:pPr>
        <w:tabs>
          <w:tab w:val="num" w:pos="0"/>
        </w:tabs>
        <w:rPr>
          <w:rFonts w:cs="Tahoma"/>
        </w:rPr>
      </w:pPr>
    </w:p>
    <w:p w:rsidR="00171817" w:rsidRPr="000A1C8E" w:rsidRDefault="00171817" w:rsidP="005242EC">
      <w:pPr>
        <w:keepNext/>
        <w:tabs>
          <w:tab w:val="num" w:pos="720"/>
        </w:tabs>
        <w:spacing w:after="60"/>
        <w:ind w:left="360" w:hanging="360"/>
        <w:outlineLvl w:val="3"/>
        <w:rPr>
          <w:rFonts w:cs="Tahoma"/>
        </w:rPr>
      </w:pPr>
      <w:r w:rsidRPr="000A1C8E">
        <w:rPr>
          <w:rFonts w:cs="Tahoma"/>
          <w:b/>
          <w:szCs w:val="20"/>
        </w:rPr>
        <w:t xml:space="preserve">Renovação da Cobertura sob o Mesmo Contrato </w:t>
      </w:r>
    </w:p>
    <w:p w:rsidR="00171817" w:rsidRPr="000A1C8E" w:rsidRDefault="00171817" w:rsidP="00F07479">
      <w:pPr>
        <w:tabs>
          <w:tab w:val="num" w:pos="0"/>
        </w:tabs>
        <w:rPr>
          <w:rFonts w:cs="Tahoma"/>
        </w:rPr>
      </w:pPr>
      <w:r w:rsidRPr="000A1C8E">
        <w:rPr>
          <w:rFonts w:cs="Tahoma"/>
          <w:szCs w:val="20"/>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 período de 36 meses subsequentes. Para renovar a cobertura do Software Assurance, os clientes deverão enviar um pedido de renovação do Software Assurance antes do término do prazo anterior.</w:t>
      </w:r>
      <w:r w:rsidR="00DC6D8B" w:rsidRPr="000A1C8E">
        <w:rPr>
          <w:rFonts w:cs="Tahoma"/>
          <w:szCs w:val="20"/>
        </w:rPr>
        <w:t xml:space="preserve"> </w:t>
      </w:r>
      <w:r w:rsidRPr="000A1C8E">
        <w:rPr>
          <w:rFonts w:cs="Tahoma"/>
          <w:szCs w:val="20"/>
        </w:rPr>
        <w:t>Se um cliente tiver escolhido a opção para toda a empresa, ele deverá solicitar o Software Assurance para todas as cópias de qualquer produto que</w:t>
      </w:r>
      <w:r w:rsidR="00F07479" w:rsidRPr="000A1C8E">
        <w:rPr>
          <w:rFonts w:cs="Tahoma"/>
          <w:szCs w:val="20"/>
        </w:rPr>
        <w:t> </w:t>
      </w:r>
      <w:r w:rsidRPr="000A1C8E">
        <w:rPr>
          <w:rFonts w:cs="Tahoma"/>
          <w:szCs w:val="20"/>
        </w:rPr>
        <w:t xml:space="preserve">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rsidR="00171817" w:rsidRPr="000A1C8E" w:rsidRDefault="00171817" w:rsidP="00171817">
      <w:pPr>
        <w:tabs>
          <w:tab w:val="num" w:pos="0"/>
        </w:tabs>
        <w:rPr>
          <w:rFonts w:cs="Tahoma"/>
        </w:rPr>
      </w:pPr>
    </w:p>
    <w:p w:rsidR="00171817" w:rsidRPr="000A1C8E" w:rsidRDefault="00171817" w:rsidP="005242EC">
      <w:pPr>
        <w:keepNext/>
        <w:tabs>
          <w:tab w:val="num" w:pos="720"/>
        </w:tabs>
        <w:spacing w:after="60"/>
        <w:ind w:left="360" w:hanging="360"/>
        <w:outlineLvl w:val="3"/>
        <w:rPr>
          <w:rFonts w:cs="Tahoma"/>
        </w:rPr>
      </w:pPr>
      <w:r w:rsidRPr="000A1C8E">
        <w:rPr>
          <w:rFonts w:cs="Tahoma"/>
          <w:b/>
          <w:szCs w:val="20"/>
        </w:rPr>
        <w:t>Renovação da Cobertura a partir de um Contrato Separado</w:t>
      </w:r>
    </w:p>
    <w:p w:rsidR="00171817" w:rsidRPr="000A1C8E" w:rsidRDefault="00171817" w:rsidP="00865A60">
      <w:pPr>
        <w:tabs>
          <w:tab w:val="num" w:pos="0"/>
        </w:tabs>
        <w:rPr>
          <w:rFonts w:cs="Tahoma"/>
        </w:rPr>
      </w:pPr>
      <w:r w:rsidRPr="000A1C8E">
        <w:rPr>
          <w:rFonts w:cs="Tahoma"/>
          <w:szCs w:val="20"/>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DC6D8B" w:rsidRPr="000A1C8E">
        <w:rPr>
          <w:rFonts w:cs="Tahoma"/>
          <w:szCs w:val="20"/>
        </w:rPr>
        <w:t xml:space="preserve"> </w:t>
      </w:r>
      <w:r w:rsidRPr="000A1C8E">
        <w:rPr>
          <w:rFonts w:cs="Tahoma"/>
          <w:szCs w:val="20"/>
        </w:rPr>
        <w:t>O</w:t>
      </w:r>
      <w:r w:rsidR="004E5702" w:rsidRPr="000A1C8E">
        <w:rPr>
          <w:rFonts w:cs="Tahoma"/>
          <w:szCs w:val="20"/>
        </w:rPr>
        <w:t> </w:t>
      </w:r>
      <w:r w:rsidRPr="000A1C8E">
        <w:rPr>
          <w:rFonts w:cs="Tahoma"/>
          <w:szCs w:val="20"/>
        </w:rPr>
        <w:t>pedido de renovação do Software Assurance deverá ser feito antes do término da cobertura do Software Assurance sob o contrato anterior, a menos que essa cobertura esteja sendo renovada de um Contrato de Licença</w:t>
      </w:r>
      <w:r w:rsidR="004E5702" w:rsidRPr="000A1C8E">
        <w:rPr>
          <w:rFonts w:cs="Tahoma"/>
          <w:szCs w:val="20"/>
        </w:rPr>
        <w:t> </w:t>
      </w:r>
      <w:r w:rsidRPr="000A1C8E">
        <w:rPr>
          <w:rFonts w:cs="Tahoma"/>
          <w:szCs w:val="20"/>
        </w:rPr>
        <w:t xml:space="preserve">Open. Nesse caso, os clientes terão 90 dias a partir da data de término para fazer o pedido. </w:t>
      </w:r>
    </w:p>
    <w:p w:rsidR="00865A60" w:rsidRPr="000A1C8E" w:rsidRDefault="00865A60" w:rsidP="005242EC">
      <w:pPr>
        <w:tabs>
          <w:tab w:val="num" w:pos="0"/>
        </w:tabs>
        <w:rPr>
          <w:rFonts w:cs="Tahoma"/>
        </w:rPr>
      </w:pPr>
    </w:p>
    <w:p w:rsidR="00171817" w:rsidRPr="000A1C8E" w:rsidRDefault="00171817" w:rsidP="002171C3">
      <w:pPr>
        <w:pStyle w:val="Heading4"/>
        <w:ind w:left="360"/>
        <w:rPr>
          <w:rFonts w:ascii="Tahoma" w:hAnsi="Tahoma" w:cs="Tahoma"/>
        </w:rPr>
      </w:pPr>
      <w:bookmarkStart w:id="703" w:name="_Toc323159746"/>
      <w:bookmarkStart w:id="704" w:name="_Toc336338220"/>
      <w:bookmarkStart w:id="705" w:name="_Toc361829304"/>
      <w:r w:rsidRPr="000A1C8E">
        <w:rPr>
          <w:rFonts w:ascii="Tahoma" w:hAnsi="Tahoma" w:cs="Tahoma"/>
          <w:sz w:val="24"/>
        </w:rPr>
        <w:t>Select 20xx</w:t>
      </w:r>
      <w:bookmarkEnd w:id="703"/>
      <w:bookmarkEnd w:id="704"/>
      <w:bookmarkEnd w:id="705"/>
    </w:p>
    <w:p w:rsidR="00171817" w:rsidRPr="000A1C8E" w:rsidRDefault="00171817" w:rsidP="00171817">
      <w:pPr>
        <w:tabs>
          <w:tab w:val="num" w:pos="0"/>
        </w:tabs>
        <w:rPr>
          <w:rFonts w:cs="Tahoma"/>
        </w:rPr>
      </w:pPr>
    </w:p>
    <w:p w:rsidR="00171817" w:rsidRPr="000A1C8E" w:rsidRDefault="00171817" w:rsidP="005242EC">
      <w:pPr>
        <w:pStyle w:val="Heading4"/>
        <w:spacing w:before="0" w:after="60"/>
        <w:ind w:left="360"/>
        <w:rPr>
          <w:rFonts w:ascii="Tahoma" w:hAnsi="Tahoma" w:cs="Tahoma"/>
        </w:rPr>
      </w:pPr>
      <w:bookmarkStart w:id="706" w:name="_Toc323159747"/>
      <w:bookmarkStart w:id="707" w:name="_Toc328145990"/>
      <w:bookmarkStart w:id="708" w:name="_Toc336338221"/>
      <w:bookmarkStart w:id="709" w:name="_Toc361829305"/>
      <w:r w:rsidRPr="000A1C8E">
        <w:rPr>
          <w:rFonts w:ascii="Tahoma" w:hAnsi="Tahoma" w:cs="Tahoma"/>
          <w:sz w:val="18"/>
        </w:rPr>
        <w:t>Renovação da Cobertura sob o Mesmo Contrato</w:t>
      </w:r>
      <w:bookmarkEnd w:id="706"/>
      <w:bookmarkEnd w:id="707"/>
      <w:bookmarkEnd w:id="708"/>
      <w:bookmarkEnd w:id="709"/>
      <w:r w:rsidRPr="000A1C8E">
        <w:rPr>
          <w:rFonts w:ascii="Tahoma" w:hAnsi="Tahoma" w:cs="Tahoma"/>
          <w:sz w:val="18"/>
        </w:rPr>
        <w:t xml:space="preserve"> </w:t>
      </w:r>
    </w:p>
    <w:p w:rsidR="00171817" w:rsidRPr="000A1C8E" w:rsidRDefault="00171817" w:rsidP="00F07479">
      <w:pPr>
        <w:pStyle w:val="styleheading22left138firstline00"/>
        <w:tabs>
          <w:tab w:val="num" w:pos="0"/>
        </w:tabs>
        <w:snapToGrid w:val="0"/>
        <w:ind w:left="0"/>
        <w:jc w:val="left"/>
        <w:rPr>
          <w:rFonts w:ascii="Tahoma" w:hAnsi="Tahoma" w:cs="Tahoma"/>
        </w:rPr>
      </w:pPr>
      <w:r w:rsidRPr="000A1C8E">
        <w:rPr>
          <w:rFonts w:ascii="Tahoma" w:hAnsi="Tahoma" w:cs="Tahoma"/>
          <w:sz w:val="18"/>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w:t>
      </w:r>
      <w:r w:rsidR="00F07479" w:rsidRPr="000A1C8E">
        <w:rPr>
          <w:rFonts w:ascii="Tahoma" w:hAnsi="Tahoma" w:cs="Tahoma"/>
          <w:sz w:val="18"/>
        </w:rPr>
        <w:t> </w:t>
      </w:r>
      <w:r w:rsidRPr="000A1C8E">
        <w:rPr>
          <w:rFonts w:ascii="Tahoma" w:hAnsi="Tahoma" w:cs="Tahoma"/>
          <w:sz w:val="18"/>
        </w:rPr>
        <w:t>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w:t>
      </w:r>
      <w:r w:rsidR="00DC6D8B" w:rsidRPr="000A1C8E">
        <w:rPr>
          <w:rFonts w:ascii="Tahoma" w:hAnsi="Tahoma" w:cs="Tahoma"/>
          <w:sz w:val="18"/>
        </w:rPr>
        <w:t xml:space="preserve"> </w:t>
      </w:r>
      <w:r w:rsidRPr="000A1C8E">
        <w:rPr>
          <w:rFonts w:ascii="Tahoma" w:hAnsi="Tahoma" w:cs="Tahoma"/>
          <w:sz w:val="18"/>
        </w:rPr>
        <w:t xml:space="preserve">Cada prazo de renovação terá início no dia seguinte ao término do prazo anterior. </w:t>
      </w:r>
    </w:p>
    <w:p w:rsidR="00973A93" w:rsidRPr="000A1C8E" w:rsidRDefault="00973A93">
      <w:pPr>
        <w:rPr>
          <w:rFonts w:cs="Tahoma"/>
        </w:rPr>
      </w:pPr>
      <w:bookmarkStart w:id="710" w:name="_Toc323159748"/>
      <w:bookmarkStart w:id="711" w:name="_Toc336338222"/>
    </w:p>
    <w:p w:rsidR="00171817" w:rsidRPr="000A1C8E" w:rsidRDefault="00171817" w:rsidP="004E5702">
      <w:pPr>
        <w:pStyle w:val="Heading4"/>
        <w:keepLines/>
        <w:spacing w:before="0" w:after="60"/>
        <w:ind w:left="360"/>
        <w:rPr>
          <w:rFonts w:ascii="Tahoma" w:hAnsi="Tahoma" w:cs="Tahoma"/>
        </w:rPr>
      </w:pPr>
      <w:bookmarkStart w:id="712" w:name="_Toc361829306"/>
      <w:r w:rsidRPr="000A1C8E">
        <w:rPr>
          <w:rFonts w:ascii="Tahoma" w:hAnsi="Tahoma" w:cs="Tahoma"/>
          <w:sz w:val="18"/>
        </w:rPr>
        <w:lastRenderedPageBreak/>
        <w:t>Renovação da Cobertura a partir de um Contrato Separado</w:t>
      </w:r>
      <w:bookmarkEnd w:id="710"/>
      <w:bookmarkEnd w:id="711"/>
      <w:bookmarkEnd w:id="712"/>
    </w:p>
    <w:p w:rsidR="00171817" w:rsidRPr="000A1C8E" w:rsidRDefault="00171817" w:rsidP="004E5702">
      <w:pPr>
        <w:pStyle w:val="styleheading22left138firstline00"/>
        <w:keepNext/>
        <w:keepLines/>
        <w:tabs>
          <w:tab w:val="num" w:pos="0"/>
        </w:tabs>
        <w:snapToGrid w:val="0"/>
        <w:ind w:left="0"/>
        <w:jc w:val="left"/>
        <w:rPr>
          <w:rFonts w:ascii="Tahoma" w:hAnsi="Tahoma" w:cs="Tahoma"/>
        </w:rPr>
      </w:pPr>
      <w:r w:rsidRPr="000A1C8E">
        <w:rPr>
          <w:rFonts w:ascii="Tahoma" w:hAnsi="Tahoma" w:cs="Tahoma"/>
          <w:sz w:val="18"/>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w:t>
      </w:r>
      <w:r w:rsidR="004E5702" w:rsidRPr="000A1C8E">
        <w:rPr>
          <w:rFonts w:ascii="Tahoma" w:hAnsi="Tahoma" w:cs="Tahoma"/>
          <w:sz w:val="18"/>
        </w:rPr>
        <w:t> </w:t>
      </w:r>
      <w:r w:rsidRPr="000A1C8E">
        <w:rPr>
          <w:rFonts w:ascii="Tahoma" w:hAnsi="Tahoma" w:cs="Tahoma"/>
          <w:sz w:val="18"/>
        </w:rPr>
        <w:t>dia 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w:t>
      </w:r>
      <w:r w:rsidR="004E5702" w:rsidRPr="000A1C8E">
        <w:rPr>
          <w:rFonts w:ascii="Tahoma" w:hAnsi="Tahoma" w:cs="Tahoma"/>
          <w:sz w:val="18"/>
        </w:rPr>
        <w:t> </w:t>
      </w:r>
      <w:r w:rsidRPr="000A1C8E">
        <w:rPr>
          <w:rFonts w:ascii="Tahoma" w:hAnsi="Tahoma" w:cs="Tahoma"/>
          <w:sz w:val="18"/>
        </w:rPr>
        <w:t>partir da data de término para fazer o pedido.</w:t>
      </w:r>
    </w:p>
    <w:p w:rsidR="00865A60" w:rsidRPr="000A1C8E" w:rsidRDefault="00865A60" w:rsidP="0063466C">
      <w:pPr>
        <w:outlineLvl w:val="2"/>
        <w:rPr>
          <w:rFonts w:cs="Tahoma"/>
        </w:rPr>
      </w:pPr>
    </w:p>
    <w:p w:rsidR="00171817" w:rsidRPr="000A1C8E" w:rsidRDefault="00171817" w:rsidP="002171C3">
      <w:pPr>
        <w:pStyle w:val="Heading4"/>
        <w:ind w:left="360"/>
        <w:rPr>
          <w:rFonts w:ascii="Tahoma" w:hAnsi="Tahoma" w:cs="Tahoma"/>
        </w:rPr>
      </w:pPr>
      <w:bookmarkStart w:id="713" w:name="_Toc336338223"/>
      <w:bookmarkStart w:id="714" w:name="_Toc361829307"/>
      <w:r w:rsidRPr="000A1C8E">
        <w:rPr>
          <w:rFonts w:ascii="Tahoma" w:hAnsi="Tahoma" w:cs="Tahoma"/>
          <w:sz w:val="24"/>
        </w:rPr>
        <w:t>Select Plus 20xx</w:t>
      </w:r>
      <w:bookmarkEnd w:id="713"/>
      <w:bookmarkEnd w:id="714"/>
    </w:p>
    <w:p w:rsidR="00171817" w:rsidRPr="000A1C8E" w:rsidRDefault="00171817" w:rsidP="00171817">
      <w:pPr>
        <w:rPr>
          <w:rFonts w:cs="Tahoma"/>
          <w:b/>
          <w:bCs/>
        </w:rPr>
      </w:pPr>
    </w:p>
    <w:p w:rsidR="00171817" w:rsidRPr="000A1C8E" w:rsidRDefault="00171817" w:rsidP="0063466C">
      <w:pPr>
        <w:spacing w:after="60"/>
        <w:rPr>
          <w:rFonts w:cs="Tahoma"/>
        </w:rPr>
      </w:pPr>
      <w:r w:rsidRPr="000A1C8E">
        <w:rPr>
          <w:rFonts w:cs="Tahoma"/>
          <w:b/>
          <w:bCs/>
        </w:rPr>
        <w:t xml:space="preserve">Renovação da Cobertura sob o Mesmo Contrato </w:t>
      </w:r>
    </w:p>
    <w:p w:rsidR="00171817" w:rsidRPr="000A1C8E" w:rsidRDefault="00171817" w:rsidP="00171817">
      <w:pPr>
        <w:rPr>
          <w:rFonts w:cs="Tahoma"/>
        </w:rPr>
      </w:pPr>
      <w:r w:rsidRPr="000A1C8E">
        <w:rPr>
          <w:rFonts w:cs="Tahoma"/>
          <w:iCs/>
        </w:rPr>
        <w:t>Vigente a partir de 1</w:t>
      </w:r>
      <w:r w:rsidRPr="000A1C8E">
        <w:rPr>
          <w:rFonts w:cs="Tahoma"/>
          <w:iCs/>
          <w:vertAlign w:val="superscript"/>
        </w:rPr>
        <w:t>o</w:t>
      </w:r>
      <w:r w:rsidRPr="000A1C8E">
        <w:rPr>
          <w:rFonts w:cs="Tahoma"/>
          <w:iCs/>
        </w:rPr>
        <w:t xml:space="preserve"> de março de 2011, a cobertura inicial</w:t>
      </w:r>
      <w:r w:rsidRPr="000A1C8E">
        <w:rPr>
          <w:rFonts w:cs="Tahoma"/>
          <w:i/>
          <w:iCs/>
        </w:rPr>
        <w:t xml:space="preserve"> </w:t>
      </w:r>
      <w:r w:rsidRPr="000A1C8E">
        <w:rPr>
          <w:rFonts w:cs="Tahoma"/>
        </w:rPr>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DC6D8B" w:rsidRPr="000A1C8E">
        <w:rPr>
          <w:rFonts w:cs="Tahoma"/>
        </w:rPr>
        <w:t xml:space="preserve"> </w:t>
      </w:r>
      <w:r w:rsidRPr="000A1C8E">
        <w:rPr>
          <w:rFonts w:cs="Tahoma"/>
        </w:rPr>
        <w:t xml:space="preserve">Cada prazo de renovação terá início no dia seguinte ao término do prazo anterior. </w:t>
      </w:r>
    </w:p>
    <w:p w:rsidR="00171817" w:rsidRPr="000A1C8E" w:rsidRDefault="00171817" w:rsidP="00171817">
      <w:pPr>
        <w:rPr>
          <w:rFonts w:cs="Tahoma"/>
        </w:rPr>
      </w:pPr>
    </w:p>
    <w:p w:rsidR="00171817" w:rsidRPr="000A1C8E" w:rsidRDefault="00171817" w:rsidP="0063466C">
      <w:pPr>
        <w:spacing w:after="60"/>
        <w:rPr>
          <w:rFonts w:cs="Tahoma"/>
        </w:rPr>
      </w:pPr>
      <w:r w:rsidRPr="000A1C8E">
        <w:rPr>
          <w:rFonts w:cs="Tahoma"/>
          <w:b/>
          <w:bCs/>
        </w:rPr>
        <w:t>Renovação da Cobertura a partir de um Contrato Separado</w:t>
      </w:r>
    </w:p>
    <w:p w:rsidR="00171817" w:rsidRPr="000A1C8E" w:rsidRDefault="00171817" w:rsidP="0063466C">
      <w:pPr>
        <w:rPr>
          <w:rFonts w:cs="Tahoma"/>
        </w:rPr>
      </w:pPr>
      <w:r w:rsidRPr="000A1C8E">
        <w:rPr>
          <w:rFonts w:cs="Tahoma"/>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w:t>
      </w:r>
      <w:r w:rsidR="004E5702" w:rsidRPr="000A1C8E">
        <w:rPr>
          <w:rFonts w:cs="Tahoma"/>
        </w:rPr>
        <w:t> </w:t>
      </w:r>
      <w:r w:rsidRPr="000A1C8E">
        <w:rPr>
          <w:rFonts w:cs="Tahoma"/>
        </w:rPr>
        <w:t>do término da cobertura sob o contrato anterior, a menos que a cobertura esteja sendo transferida de um Contrato de Licença Open. Nesse caso, os clientes terão 90 dias a partir da data de término para fazer o pedido.</w:t>
      </w:r>
    </w:p>
    <w:p w:rsidR="00865A60" w:rsidRPr="000A1C8E" w:rsidRDefault="00865A60" w:rsidP="00865A60">
      <w:pPr>
        <w:tabs>
          <w:tab w:val="num" w:pos="0"/>
        </w:tabs>
        <w:rPr>
          <w:rFonts w:cs="Tahoma"/>
        </w:rPr>
      </w:pPr>
    </w:p>
    <w:p w:rsidR="00171817" w:rsidRPr="000A1C8E" w:rsidRDefault="00171817" w:rsidP="002171C3">
      <w:pPr>
        <w:pStyle w:val="Heading4"/>
        <w:ind w:hanging="720"/>
        <w:rPr>
          <w:rFonts w:ascii="Tahoma" w:hAnsi="Tahoma" w:cs="Tahoma"/>
        </w:rPr>
      </w:pPr>
      <w:bookmarkStart w:id="715" w:name="_Toc336338224"/>
      <w:bookmarkStart w:id="716" w:name="_Toc361829308"/>
      <w:r w:rsidRPr="000A1C8E">
        <w:rPr>
          <w:rFonts w:ascii="Tahoma" w:hAnsi="Tahoma" w:cs="Tahoma"/>
          <w:sz w:val="24"/>
          <w:szCs w:val="22"/>
        </w:rPr>
        <w:t>Contrato Enterprise 2011 ou versões posteriores</w:t>
      </w:r>
      <w:bookmarkEnd w:id="715"/>
      <w:bookmarkEnd w:id="716"/>
    </w:p>
    <w:p w:rsidR="00171817" w:rsidRPr="000A1C8E" w:rsidRDefault="00171817" w:rsidP="00865A60">
      <w:pPr>
        <w:outlineLvl w:val="2"/>
        <w:rPr>
          <w:rFonts w:cs="Tahoma"/>
        </w:rPr>
      </w:pPr>
    </w:p>
    <w:p w:rsidR="00171817" w:rsidRPr="000A1C8E" w:rsidRDefault="00171817" w:rsidP="0063466C">
      <w:pPr>
        <w:keepNext/>
        <w:tabs>
          <w:tab w:val="num" w:pos="720"/>
        </w:tabs>
        <w:spacing w:after="60"/>
        <w:ind w:left="360" w:hanging="360"/>
        <w:outlineLvl w:val="3"/>
        <w:rPr>
          <w:rFonts w:cs="Tahoma"/>
        </w:rPr>
      </w:pPr>
      <w:r w:rsidRPr="000A1C8E">
        <w:rPr>
          <w:rFonts w:cs="Tahoma"/>
          <w:b/>
          <w:szCs w:val="20"/>
        </w:rPr>
        <w:t>Renovação da Cobertura sob o Mesmo Contrato</w:t>
      </w:r>
    </w:p>
    <w:p w:rsidR="00171817" w:rsidRPr="000A1C8E" w:rsidRDefault="00171817" w:rsidP="00171817">
      <w:pPr>
        <w:tabs>
          <w:tab w:val="num" w:pos="0"/>
        </w:tabs>
        <w:rPr>
          <w:rFonts w:cs="Tahoma"/>
        </w:rPr>
      </w:pPr>
      <w:r w:rsidRPr="000A1C8E">
        <w:rPr>
          <w:rFonts w:cs="Tahoma"/>
          <w:szCs w:val="20"/>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DC6D8B" w:rsidRPr="000A1C8E">
        <w:rPr>
          <w:rFonts w:cs="Tahoma"/>
          <w:szCs w:val="20"/>
        </w:rPr>
        <w:t xml:space="preserve"> </w:t>
      </w:r>
      <w:r w:rsidRPr="000A1C8E">
        <w:rPr>
          <w:rFonts w:cs="Tahoma"/>
          <w:szCs w:val="20"/>
        </w:rPr>
        <w:t>Esse pedido deverá ser enviado antes do término do prazo anterior. O prazo de renovação terá início no dia seguinte ao término do prazo anterior. Para obter informações sobre como renovar a cobertura do Software Assurance sob um registro subsequente, veja</w:t>
      </w:r>
      <w:r w:rsidR="004E5702" w:rsidRPr="000A1C8E">
        <w:rPr>
          <w:rFonts w:cs="Tahoma"/>
          <w:szCs w:val="20"/>
        </w:rPr>
        <w:t> </w:t>
      </w:r>
      <w:r w:rsidRPr="000A1C8E">
        <w:rPr>
          <w:rFonts w:cs="Tahoma"/>
          <w:szCs w:val="20"/>
        </w:rPr>
        <w:t>abaixo.</w:t>
      </w:r>
    </w:p>
    <w:p w:rsidR="00171817" w:rsidRPr="000A1C8E" w:rsidRDefault="00171817" w:rsidP="00171817">
      <w:pPr>
        <w:tabs>
          <w:tab w:val="num" w:pos="0"/>
        </w:tabs>
        <w:rPr>
          <w:rFonts w:cs="Tahoma"/>
        </w:rPr>
      </w:pPr>
    </w:p>
    <w:p w:rsidR="00171817" w:rsidRPr="000A1C8E" w:rsidRDefault="00171817" w:rsidP="0063466C">
      <w:pPr>
        <w:keepNext/>
        <w:tabs>
          <w:tab w:val="num" w:pos="720"/>
        </w:tabs>
        <w:spacing w:after="60"/>
        <w:ind w:left="360" w:hanging="360"/>
        <w:outlineLvl w:val="3"/>
        <w:rPr>
          <w:rFonts w:cs="Tahoma"/>
        </w:rPr>
      </w:pPr>
      <w:r w:rsidRPr="000A1C8E">
        <w:rPr>
          <w:rFonts w:cs="Tahoma"/>
          <w:b/>
          <w:szCs w:val="20"/>
        </w:rPr>
        <w:t>Renovação da Cobertura a partir de um Contrato Separado</w:t>
      </w:r>
    </w:p>
    <w:p w:rsidR="00171817" w:rsidRPr="000A1C8E" w:rsidRDefault="00171817" w:rsidP="00171817">
      <w:pPr>
        <w:tabs>
          <w:tab w:val="num" w:pos="0"/>
        </w:tabs>
        <w:rPr>
          <w:rFonts w:cs="Tahoma"/>
        </w:rPr>
      </w:pPr>
      <w:r w:rsidRPr="000A1C8E">
        <w:rPr>
          <w:rFonts w:cs="Tahoma"/>
          <w:color w:val="000000"/>
          <w:szCs w:val="20"/>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DC6D8B" w:rsidRPr="000A1C8E">
        <w:rPr>
          <w:rFonts w:cs="Tahoma"/>
          <w:color w:val="000000"/>
          <w:szCs w:val="20"/>
        </w:rPr>
        <w:t xml:space="preserve"> </w:t>
      </w:r>
      <w:r w:rsidRPr="000A1C8E">
        <w:rPr>
          <w:rFonts w:cs="Tahoma"/>
          <w:color w:val="000000"/>
          <w:szCs w:val="20"/>
        </w:rPr>
        <w:t>Para Produtos Adicionais, para</w:t>
      </w:r>
      <w:r w:rsidRPr="000A1C8E">
        <w:rPr>
          <w:rFonts w:cs="Tahoma"/>
          <w:color w:val="000000"/>
          <w:szCs w:val="24"/>
        </w:rPr>
        <w:t xml:space="preserve"> a cobertura que estiver sendo transferida de um Contrato Open License, o cliente tem 90 dias a partir do término para fazer o pedido.</w:t>
      </w:r>
      <w:r w:rsidR="00DC6D8B" w:rsidRPr="000A1C8E">
        <w:rPr>
          <w:rFonts w:cs="Tahoma"/>
          <w:color w:val="000000"/>
          <w:szCs w:val="24"/>
        </w:rPr>
        <w:t xml:space="preserve"> </w:t>
      </w:r>
    </w:p>
    <w:p w:rsidR="00171817" w:rsidRPr="000A1C8E" w:rsidRDefault="00171817" w:rsidP="00171817">
      <w:pPr>
        <w:tabs>
          <w:tab w:val="num" w:pos="0"/>
        </w:tabs>
        <w:rPr>
          <w:rFonts w:cs="Tahoma"/>
        </w:rPr>
      </w:pPr>
    </w:p>
    <w:p w:rsidR="00171817" w:rsidRPr="000A1C8E" w:rsidRDefault="00171817" w:rsidP="0063466C">
      <w:pPr>
        <w:keepNext/>
        <w:tabs>
          <w:tab w:val="num" w:pos="720"/>
        </w:tabs>
        <w:spacing w:after="60"/>
        <w:ind w:left="360" w:hanging="360"/>
        <w:outlineLvl w:val="3"/>
        <w:rPr>
          <w:rFonts w:cs="Tahoma"/>
        </w:rPr>
      </w:pPr>
      <w:r w:rsidRPr="000A1C8E">
        <w:rPr>
          <w:rFonts w:cs="Tahoma"/>
          <w:b/>
          <w:szCs w:val="20"/>
        </w:rPr>
        <w:t xml:space="preserve">Enrollment for Application Platform </w:t>
      </w:r>
    </w:p>
    <w:p w:rsidR="00171817" w:rsidRPr="000A1C8E" w:rsidRDefault="00171817" w:rsidP="00171817">
      <w:pPr>
        <w:tabs>
          <w:tab w:val="num" w:pos="0"/>
        </w:tabs>
        <w:rPr>
          <w:rFonts w:cs="Tahoma"/>
        </w:rPr>
      </w:pPr>
      <w:r w:rsidRPr="000A1C8E">
        <w:rPr>
          <w:rFonts w:cs="Tahoma"/>
          <w:szCs w:val="20"/>
        </w:rPr>
        <w:t>Os clientes poderão solicitar o Software Assurance para os produtos disponíveis sem precisar solicitar uma Licença simultaneamente conforme disposto nos termos e condições do registro.</w:t>
      </w:r>
    </w:p>
    <w:p w:rsidR="00BD1A6A" w:rsidRPr="000A1C8E" w:rsidRDefault="00BD1A6A" w:rsidP="00865A60">
      <w:pPr>
        <w:rPr>
          <w:rFonts w:cs="Tahoma"/>
        </w:rPr>
      </w:pPr>
      <w:bookmarkStart w:id="717" w:name="_Toc336338225"/>
    </w:p>
    <w:p w:rsidR="00171817" w:rsidRPr="000A1C8E" w:rsidRDefault="00171817" w:rsidP="00951852">
      <w:pPr>
        <w:pStyle w:val="Heading4"/>
        <w:ind w:left="360"/>
        <w:rPr>
          <w:rFonts w:ascii="Tahoma" w:hAnsi="Tahoma" w:cs="Tahoma"/>
        </w:rPr>
      </w:pPr>
      <w:bookmarkStart w:id="718" w:name="_Toc361829309"/>
      <w:r w:rsidRPr="000A1C8E">
        <w:rPr>
          <w:rFonts w:ascii="Tahoma" w:hAnsi="Tahoma" w:cs="Tahoma"/>
          <w:sz w:val="24"/>
        </w:rPr>
        <w:lastRenderedPageBreak/>
        <w:t>Contrato Enterprise Pré-2011</w:t>
      </w:r>
      <w:bookmarkEnd w:id="717"/>
      <w:bookmarkEnd w:id="718"/>
    </w:p>
    <w:p w:rsidR="00171817" w:rsidRPr="000A1C8E" w:rsidRDefault="00171817" w:rsidP="00171817">
      <w:pPr>
        <w:tabs>
          <w:tab w:val="num" w:pos="0"/>
        </w:tabs>
        <w:rPr>
          <w:rFonts w:cs="Tahoma"/>
        </w:rPr>
      </w:pPr>
    </w:p>
    <w:p w:rsidR="00171817" w:rsidRPr="000A1C8E" w:rsidRDefault="00171817" w:rsidP="00171817">
      <w:pPr>
        <w:tabs>
          <w:tab w:val="num" w:pos="0"/>
        </w:tabs>
        <w:rPr>
          <w:rFonts w:cs="Tahoma"/>
        </w:rPr>
      </w:pPr>
      <w:r w:rsidRPr="000A1C8E">
        <w:rPr>
          <w:rFonts w:cs="Tahoma"/>
          <w:szCs w:val="20"/>
        </w:rPr>
        <w:t>Ao término do registro, o cliente estará qualificado para o preço do Contrato Enterprise de renovação, que se baseia unicamente no Software Assurance. Os clientes receberão uma notificação por escrito 60 dias antes do término do</w:t>
      </w:r>
      <w:r w:rsidR="004E5702" w:rsidRPr="000A1C8E">
        <w:rPr>
          <w:rFonts w:cs="Tahoma"/>
          <w:szCs w:val="20"/>
        </w:rPr>
        <w:t> </w:t>
      </w:r>
      <w:r w:rsidRPr="000A1C8E">
        <w:rPr>
          <w:rFonts w:cs="Tahoma"/>
          <w:szCs w:val="20"/>
        </w:rPr>
        <w:t>registro, informando-os sobre suas opções de renovação.</w:t>
      </w:r>
      <w:r w:rsidR="00DC6D8B" w:rsidRPr="000A1C8E">
        <w:rPr>
          <w:rFonts w:cs="Tahoma"/>
          <w:szCs w:val="20"/>
        </w:rPr>
        <w:t xml:space="preserve"> </w:t>
      </w:r>
      <w:r w:rsidRPr="000A1C8E">
        <w:rPr>
          <w:rFonts w:cs="Tahoma"/>
          <w:szCs w:val="20"/>
        </w:rPr>
        <w:t xml:space="preserve">Para renovar, os clientes deverão assinar um novo Registro Enterprise 2011 ou posterior e Contrato. O prazo de renovação terá início no dia seguinte ao término do prazo anterior. </w:t>
      </w:r>
    </w:p>
    <w:p w:rsidR="00171817" w:rsidRPr="000A1C8E" w:rsidRDefault="00171817" w:rsidP="00171817">
      <w:pPr>
        <w:tabs>
          <w:tab w:val="num" w:pos="0"/>
        </w:tabs>
        <w:rPr>
          <w:rFonts w:cs="Tahoma"/>
        </w:rPr>
      </w:pPr>
    </w:p>
    <w:p w:rsidR="003E606C" w:rsidRPr="000A1C8E" w:rsidRDefault="00171817" w:rsidP="0063466C">
      <w:pPr>
        <w:tabs>
          <w:tab w:val="num" w:pos="0"/>
        </w:tabs>
        <w:spacing w:after="60"/>
        <w:rPr>
          <w:rFonts w:cs="Tahoma"/>
        </w:rPr>
      </w:pPr>
      <w:r w:rsidRPr="000A1C8E">
        <w:rPr>
          <w:rFonts w:cs="Tahoma"/>
          <w:b/>
          <w:szCs w:val="20"/>
        </w:rPr>
        <w:t>Enrollment for Application Platform</w:t>
      </w:r>
    </w:p>
    <w:p w:rsidR="00171817" w:rsidRPr="000A1C8E" w:rsidRDefault="00171817" w:rsidP="0063466C">
      <w:pPr>
        <w:tabs>
          <w:tab w:val="num" w:pos="0"/>
        </w:tabs>
        <w:rPr>
          <w:rFonts w:cs="Tahoma"/>
        </w:rPr>
      </w:pPr>
      <w:r w:rsidRPr="000A1C8E">
        <w:rPr>
          <w:rFonts w:cs="Tahoma"/>
          <w:szCs w:val="20"/>
        </w:rPr>
        <w:t>Os clientes poderão solicitar o Software Assurance para os produtos disponíveis sem precisar solicitar uma Licença simultaneamente conforme disposto nos termos e condições do registro.</w:t>
      </w:r>
    </w:p>
    <w:p w:rsidR="00865A60" w:rsidRPr="000A1C8E" w:rsidRDefault="00865A60" w:rsidP="00865A60">
      <w:pPr>
        <w:rPr>
          <w:rFonts w:cs="Tahoma"/>
        </w:rPr>
      </w:pPr>
    </w:p>
    <w:p w:rsidR="00171817" w:rsidRPr="000A1C8E" w:rsidRDefault="00171817" w:rsidP="00951852">
      <w:pPr>
        <w:pStyle w:val="Heading4"/>
        <w:ind w:left="360"/>
        <w:rPr>
          <w:rFonts w:ascii="Tahoma" w:hAnsi="Tahoma" w:cs="Tahoma"/>
        </w:rPr>
      </w:pPr>
      <w:bookmarkStart w:id="719" w:name="_Toc323159750"/>
      <w:bookmarkStart w:id="720" w:name="_Toc336338226"/>
      <w:bookmarkStart w:id="721" w:name="_Toc361829310"/>
      <w:r w:rsidRPr="000A1C8E">
        <w:rPr>
          <w:rFonts w:ascii="Tahoma" w:hAnsi="Tahoma" w:cs="Tahoma"/>
          <w:sz w:val="24"/>
        </w:rPr>
        <w:t>Renovação entre programas</w:t>
      </w:r>
      <w:bookmarkEnd w:id="719"/>
      <w:bookmarkEnd w:id="720"/>
      <w:bookmarkEnd w:id="721"/>
    </w:p>
    <w:p w:rsidR="00171817" w:rsidRPr="000A1C8E" w:rsidRDefault="00171817" w:rsidP="00171817">
      <w:pPr>
        <w:tabs>
          <w:tab w:val="num" w:pos="0"/>
        </w:tabs>
        <w:rPr>
          <w:rFonts w:cs="Tahoma"/>
        </w:rPr>
      </w:pPr>
    </w:p>
    <w:p w:rsidR="00171817" w:rsidRPr="000A1C8E" w:rsidRDefault="00171817" w:rsidP="00171817">
      <w:pPr>
        <w:pStyle w:val="AppendIndentSub"/>
        <w:tabs>
          <w:tab w:val="num" w:pos="0"/>
        </w:tabs>
        <w:ind w:left="0"/>
        <w:rPr>
          <w:rFonts w:ascii="Tahoma" w:hAnsi="Tahoma" w:cs="Tahoma"/>
        </w:rPr>
      </w:pPr>
      <w:r w:rsidRPr="000A1C8E">
        <w:rPr>
          <w:rFonts w:ascii="Tahoma" w:hAnsi="Tahoma" w:cs="Tahoma"/>
          <w:sz w:val="18"/>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rsidR="00171817" w:rsidRPr="000A1C8E" w:rsidRDefault="00171817" w:rsidP="00171817">
      <w:pPr>
        <w:pStyle w:val="AppendIndentSub"/>
        <w:tabs>
          <w:tab w:val="num" w:pos="0"/>
        </w:tabs>
        <w:ind w:left="0"/>
        <w:rPr>
          <w:rFonts w:ascii="Tahoma" w:hAnsi="Tahoma" w:cs="Tahoma"/>
        </w:rPr>
      </w:pPr>
    </w:p>
    <w:p w:rsidR="00171817" w:rsidRPr="000A1C8E" w:rsidRDefault="00171817" w:rsidP="00171817">
      <w:pPr>
        <w:pStyle w:val="AppendIndentSub"/>
        <w:tabs>
          <w:tab w:val="num" w:pos="0"/>
        </w:tabs>
        <w:ind w:left="0"/>
        <w:rPr>
          <w:rFonts w:ascii="Tahoma" w:hAnsi="Tahoma" w:cs="Tahoma"/>
        </w:rPr>
      </w:pPr>
      <w:r w:rsidRPr="000A1C8E">
        <w:rPr>
          <w:rFonts w:ascii="Tahoma" w:hAnsi="Tahoma" w:cs="Tahoma"/>
          <w:sz w:val="18"/>
        </w:rPr>
        <w:t>Os clientes que estiverem renovando a partir do Programa de Licença Open terão 90 dias a partir da data de término da cobertura anterior para fazer esse pedido. Para os Contratos de versões de 2008 e anteriores, esse pedido deverá ser feito dentro de 30 dias da data de término da cobertura anterior (90 dias se a renovação for a partir do Programa de Licença Open).</w:t>
      </w:r>
    </w:p>
    <w:p w:rsidR="00171817" w:rsidRPr="000A1C8E" w:rsidRDefault="00171817" w:rsidP="00171817">
      <w:pPr>
        <w:pStyle w:val="AppendIndentSub"/>
        <w:tabs>
          <w:tab w:val="num" w:pos="0"/>
        </w:tabs>
        <w:ind w:left="0"/>
        <w:rPr>
          <w:rFonts w:ascii="Tahoma" w:hAnsi="Tahoma" w:cs="Tahoma"/>
        </w:rPr>
      </w:pPr>
    </w:p>
    <w:p w:rsidR="00171817" w:rsidRPr="000A1C8E" w:rsidRDefault="00171817" w:rsidP="00171817">
      <w:pPr>
        <w:pStyle w:val="AppendIndentSub"/>
        <w:tabs>
          <w:tab w:val="num" w:pos="0"/>
        </w:tabs>
        <w:ind w:left="0"/>
        <w:rPr>
          <w:rFonts w:ascii="Tahoma" w:hAnsi="Tahoma" w:cs="Tahoma"/>
        </w:rPr>
      </w:pPr>
      <w:r w:rsidRPr="000A1C8E">
        <w:rPr>
          <w:rFonts w:ascii="Tahoma" w:hAnsi="Tahoma" w:cs="Tahoma"/>
          <w:sz w:val="18"/>
          <w:szCs w:val="18"/>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DC6D8B" w:rsidRPr="000A1C8E">
        <w:rPr>
          <w:rFonts w:ascii="Tahoma" w:hAnsi="Tahoma" w:cs="Tahoma"/>
          <w:sz w:val="18"/>
          <w:szCs w:val="18"/>
        </w:rPr>
        <w:t xml:space="preserve"> </w:t>
      </w:r>
      <w:r w:rsidRPr="000A1C8E">
        <w:rPr>
          <w:rFonts w:ascii="Tahoma" w:hAnsi="Tahoma" w:cs="Tahoma"/>
          <w:sz w:val="18"/>
          <w:szCs w:val="18"/>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DC6D8B" w:rsidRPr="000A1C8E">
        <w:rPr>
          <w:rFonts w:ascii="Tahoma" w:hAnsi="Tahoma" w:cs="Tahoma"/>
          <w:sz w:val="18"/>
          <w:szCs w:val="18"/>
        </w:rPr>
        <w:t xml:space="preserve"> </w:t>
      </w:r>
      <w:r w:rsidRPr="000A1C8E">
        <w:rPr>
          <w:rFonts w:ascii="Tahoma" w:hAnsi="Tahoma" w:cs="Tahoma"/>
          <w:sz w:val="18"/>
          <w:szCs w:val="18"/>
        </w:rPr>
        <w:t>Para os Contratos de versões de 2008 e anteriores, contanto que a cobertura seja renovada dentro de 30 dias (90 dias se a</w:t>
      </w:r>
      <w:r w:rsidR="004E5702" w:rsidRPr="000A1C8E">
        <w:rPr>
          <w:rFonts w:ascii="Tahoma" w:hAnsi="Tahoma" w:cs="Tahoma"/>
          <w:sz w:val="18"/>
          <w:szCs w:val="18"/>
        </w:rPr>
        <w:t> </w:t>
      </w:r>
      <w:r w:rsidRPr="000A1C8E">
        <w:rPr>
          <w:rFonts w:ascii="Tahoma" w:hAnsi="Tahoma" w:cs="Tahoma"/>
          <w:sz w:val="18"/>
          <w:szCs w:val="18"/>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4E5702" w:rsidRPr="000A1C8E">
        <w:rPr>
          <w:rFonts w:ascii="Tahoma" w:hAnsi="Tahoma" w:cs="Tahoma"/>
          <w:sz w:val="18"/>
          <w:szCs w:val="18"/>
        </w:rPr>
        <w:t> </w:t>
      </w:r>
      <w:r w:rsidRPr="000A1C8E">
        <w:rPr>
          <w:rFonts w:ascii="Tahoma" w:hAnsi="Tahoma" w:cs="Tahoma"/>
          <w:sz w:val="18"/>
          <w:szCs w:val="18"/>
        </w:rPr>
        <w:t xml:space="preserve">cobertura seja renovada. </w:t>
      </w:r>
    </w:p>
    <w:p w:rsidR="00023FE7" w:rsidRPr="000A1C8E" w:rsidRDefault="00023FE7">
      <w:pPr>
        <w:pStyle w:val="AppendixIndent"/>
        <w:tabs>
          <w:tab w:val="num" w:pos="0"/>
        </w:tabs>
        <w:ind w:left="0"/>
        <w:rPr>
          <w:rFonts w:ascii="Tahoma" w:hAnsi="Tahoma" w:cs="Tahoma"/>
        </w:rPr>
      </w:pPr>
    </w:p>
    <w:p w:rsidR="00023FE7" w:rsidRPr="000A1C8E" w:rsidRDefault="00023FE7">
      <w:pPr>
        <w:rPr>
          <w:rFonts w:cs="Tahoma"/>
        </w:rPr>
      </w:pPr>
      <w:r w:rsidRPr="000A1C8E">
        <w:rPr>
          <w:rFonts w:cs="Tahoma"/>
        </w:rPr>
        <w:br w:type="page"/>
      </w:r>
    </w:p>
    <w:p w:rsidR="00EA1A1E" w:rsidRPr="000A1C8E" w:rsidRDefault="00EA1A1E" w:rsidP="0033459E">
      <w:pPr>
        <w:pStyle w:val="Heading1"/>
        <w:rPr>
          <w:rFonts w:cs="Tahoma"/>
        </w:rPr>
      </w:pPr>
      <w:bookmarkStart w:id="722" w:name="_Toc336338227"/>
      <w:bookmarkStart w:id="723" w:name="_Toc361829311"/>
      <w:r w:rsidRPr="000A1C8E">
        <w:rPr>
          <w:rFonts w:cs="Tahoma"/>
        </w:rPr>
        <w:lastRenderedPageBreak/>
        <w:t>SEÇÃO 7 – BENEFÍCIOS DO software assurance (SA) e Benefícios dos Serviços Online (OLS)</w:t>
      </w:r>
      <w:bookmarkEnd w:id="722"/>
      <w:bookmarkEnd w:id="723"/>
    </w:p>
    <w:p w:rsidR="00EA1A1E" w:rsidRPr="000A1C8E" w:rsidRDefault="00EA1A1E" w:rsidP="00EA1A1E">
      <w:pPr>
        <w:rPr>
          <w:rFonts w:cs="Tahoma"/>
          <w:sz w:val="24"/>
          <w:szCs w:val="20"/>
        </w:rPr>
      </w:pPr>
    </w:p>
    <w:p w:rsidR="00E7419A" w:rsidRPr="000A1C8E" w:rsidRDefault="00E7419A" w:rsidP="00E7419A">
      <w:pPr>
        <w:spacing w:after="60"/>
        <w:rPr>
          <w:rFonts w:cs="Tahoma"/>
        </w:rPr>
      </w:pPr>
      <w:r w:rsidRPr="000A1C8E">
        <w:rPr>
          <w:rFonts w:cs="Tahoma"/>
          <w:szCs w:val="20"/>
        </w:rPr>
        <w:t>Os benefícios do Software Assurance e os benefícios dos Serviços Online são descritos nesta seção.</w:t>
      </w:r>
      <w:r w:rsidR="00DC6D8B" w:rsidRPr="000A1C8E">
        <w:rPr>
          <w:rFonts w:cs="Tahoma"/>
          <w:szCs w:val="20"/>
        </w:rPr>
        <w:t xml:space="preserve"> </w:t>
      </w:r>
    </w:p>
    <w:p w:rsidR="00EA1A1E" w:rsidRPr="000A1C8E" w:rsidRDefault="00EA1A1E" w:rsidP="00BA0707">
      <w:pPr>
        <w:rPr>
          <w:rFonts w:cs="Tahoma"/>
        </w:rPr>
      </w:pPr>
    </w:p>
    <w:p w:rsidR="003E606C" w:rsidRPr="000A1C8E" w:rsidRDefault="003E606C" w:rsidP="0063466C">
      <w:pPr>
        <w:spacing w:after="60"/>
        <w:rPr>
          <w:rFonts w:cs="Tahoma"/>
        </w:rPr>
      </w:pPr>
      <w:r w:rsidRPr="000A1C8E">
        <w:rPr>
          <w:rFonts w:cs="Tahoma"/>
          <w:b/>
          <w:szCs w:val="20"/>
        </w:rPr>
        <w:t>Benefícios do Software Assurance</w:t>
      </w:r>
    </w:p>
    <w:p w:rsidR="00E7419A" w:rsidRPr="000A1C8E" w:rsidRDefault="00E7419A" w:rsidP="0063466C">
      <w:pPr>
        <w:rPr>
          <w:rFonts w:cs="Tahoma"/>
        </w:rPr>
      </w:pPr>
      <w:r w:rsidRPr="000A1C8E">
        <w:rPr>
          <w:rFonts w:cs="Tahoma"/>
          <w:szCs w:val="20"/>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DC6D8B" w:rsidRPr="000A1C8E">
        <w:rPr>
          <w:rFonts w:cs="Tahoma"/>
          <w:szCs w:val="20"/>
        </w:rPr>
        <w:t xml:space="preserve"> </w:t>
      </w:r>
      <w:r w:rsidRPr="000A1C8E">
        <w:rPr>
          <w:rFonts w:cs="Tahoma"/>
          <w:szCs w:val="20"/>
        </w:rPr>
        <w:t>Quaisquer alterações que ocorrerem durante o período de cobertura (por exemplo, compras adicionais, devoluções ou transições de serviços online) poderão resultar em uma alteração na qualificação ao benefício.</w:t>
      </w:r>
    </w:p>
    <w:p w:rsidR="00BA0707" w:rsidRPr="000A1C8E" w:rsidRDefault="00BA0707" w:rsidP="00BA0707">
      <w:pPr>
        <w:rPr>
          <w:rFonts w:cs="Tahoma"/>
        </w:rPr>
      </w:pPr>
    </w:p>
    <w:p w:rsidR="0063466C" w:rsidRPr="000A1C8E" w:rsidRDefault="0063466C" w:rsidP="0063466C">
      <w:pPr>
        <w:spacing w:after="60"/>
        <w:rPr>
          <w:rFonts w:cs="Tahoma"/>
        </w:rPr>
      </w:pPr>
      <w:r w:rsidRPr="000A1C8E">
        <w:rPr>
          <w:rFonts w:cs="Tahoma"/>
          <w:b/>
          <w:szCs w:val="20"/>
        </w:rPr>
        <w:t>Benefícios dos Serviços Online</w:t>
      </w:r>
    </w:p>
    <w:p w:rsidR="00E7419A" w:rsidRPr="000A1C8E" w:rsidRDefault="009F1A2B" w:rsidP="0063466C">
      <w:pPr>
        <w:rPr>
          <w:rFonts w:cs="Tahoma"/>
        </w:rPr>
      </w:pPr>
      <w:r w:rsidRPr="000A1C8E">
        <w:rPr>
          <w:rFonts w:cs="Tahoma"/>
          <w:szCs w:val="20"/>
        </w:rPr>
        <w:t>Esses benefícios variam de acordo com o produto.</w:t>
      </w:r>
      <w:r w:rsidR="00DC6D8B" w:rsidRPr="000A1C8E">
        <w:rPr>
          <w:rFonts w:cs="Tahoma"/>
          <w:szCs w:val="20"/>
        </w:rPr>
        <w:t xml:space="preserve"> </w:t>
      </w:r>
      <w:r w:rsidRPr="000A1C8E">
        <w:rPr>
          <w:rFonts w:cs="Tahoma"/>
          <w:szCs w:val="20"/>
        </w:rPr>
        <w:t xml:space="preserve">O acesso e os direitos de uso dos benefícios dos Serviços Online do Cliente cessarão no término das licenças de assinatura dos serviços online correspondentes. </w:t>
      </w:r>
    </w:p>
    <w:p w:rsidR="009F1A2B" w:rsidRPr="000A1C8E" w:rsidRDefault="009F1A2B" w:rsidP="0063466C">
      <w:pPr>
        <w:rPr>
          <w:rFonts w:cs="Tahoma"/>
        </w:rPr>
      </w:pPr>
    </w:p>
    <w:p w:rsidR="00E7419A" w:rsidRPr="000A1C8E" w:rsidRDefault="00E7419A" w:rsidP="0063466C">
      <w:pPr>
        <w:rPr>
          <w:rFonts w:cs="Tahoma"/>
        </w:rPr>
      </w:pPr>
      <w:r w:rsidRPr="000A1C8E">
        <w:rPr>
          <w:rFonts w:cs="Tahoma"/>
          <w:szCs w:val="20"/>
        </w:rPr>
        <w:t>Quaisquer exceções às regras acima serão indicadas nas seções sobre benefícios individuais a seguir.</w:t>
      </w:r>
      <w:r w:rsidR="00DC6D8B" w:rsidRPr="000A1C8E">
        <w:rPr>
          <w:rFonts w:cs="Tahoma"/>
          <w:szCs w:val="20"/>
        </w:rPr>
        <w:t xml:space="preserve"> </w:t>
      </w:r>
      <w:r w:rsidRPr="000A1C8E">
        <w:rPr>
          <w:rFonts w:cs="Tahoma"/>
          <w:szCs w:val="20"/>
        </w:rPr>
        <w:t>Os</w:t>
      </w:r>
      <w:r w:rsidR="004E5702" w:rsidRPr="000A1C8E">
        <w:rPr>
          <w:rFonts w:cs="Tahoma"/>
          <w:szCs w:val="20"/>
        </w:rPr>
        <w:t> </w:t>
      </w:r>
      <w:r w:rsidRPr="000A1C8E">
        <w:rPr>
          <w:rFonts w:cs="Tahoma"/>
          <w:szCs w:val="20"/>
        </w:rPr>
        <w:t>benefícios</w:t>
      </w:r>
      <w:r w:rsidR="004E5702" w:rsidRPr="000A1C8E">
        <w:rPr>
          <w:rFonts w:cs="Tahoma"/>
          <w:szCs w:val="20"/>
        </w:rPr>
        <w:t> </w:t>
      </w:r>
      <w:r w:rsidRPr="000A1C8E">
        <w:rPr>
          <w:rFonts w:cs="Tahoma"/>
          <w:szCs w:val="20"/>
        </w:rPr>
        <w:t>estão sujeitos a alterações e podem ser descontinuados a qualquer momento sem notificação prévia. A</w:t>
      </w:r>
      <w:r w:rsidR="004E5702" w:rsidRPr="000A1C8E">
        <w:rPr>
          <w:rFonts w:cs="Tahoma"/>
          <w:szCs w:val="20"/>
        </w:rPr>
        <w:t> </w:t>
      </w:r>
      <w:r w:rsidRPr="000A1C8E">
        <w:rPr>
          <w:rFonts w:cs="Tahoma"/>
          <w:szCs w:val="20"/>
        </w:rPr>
        <w:t xml:space="preserve">disponibilidade dos benefícios variam por programa, região, opções de fornecimento e idioma. </w:t>
      </w:r>
    </w:p>
    <w:p w:rsidR="00023FE7" w:rsidRPr="000A1C8E" w:rsidRDefault="00023FE7" w:rsidP="0063466C">
      <w:pPr>
        <w:pStyle w:val="AppendixBodyText"/>
        <w:spacing w:after="0"/>
        <w:rPr>
          <w:rFonts w:ascii="Tahoma" w:hAnsi="Tahoma" w:cs="Tahoma"/>
        </w:rPr>
      </w:pPr>
    </w:p>
    <w:p w:rsidR="00023FE7" w:rsidRPr="000A1C8E" w:rsidRDefault="00023FE7" w:rsidP="0063466C">
      <w:pPr>
        <w:pStyle w:val="AppendixBodyText"/>
        <w:spacing w:after="0"/>
        <w:rPr>
          <w:rFonts w:ascii="Tahoma" w:hAnsi="Tahoma" w:cs="Tahoma"/>
        </w:rPr>
      </w:pPr>
      <w:r w:rsidRPr="000A1C8E">
        <w:rPr>
          <w:rFonts w:ascii="Tahoma" w:hAnsi="Tahoma" w:cs="Tahoma"/>
          <w:sz w:val="18"/>
        </w:rPr>
        <w:t>Os benefícios do Software Assurance e os benefícios dos Serviços Online estão alocados em diferentes programas, conforme mostrado na tabela a seguir:</w:t>
      </w:r>
    </w:p>
    <w:p w:rsidR="00023FE7" w:rsidRPr="000A1C8E"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73"/>
        <w:gridCol w:w="1098"/>
        <w:gridCol w:w="1476"/>
        <w:gridCol w:w="1710"/>
        <w:gridCol w:w="2520"/>
        <w:gridCol w:w="1260"/>
      </w:tblGrid>
      <w:tr w:rsidR="009233CA" w:rsidRPr="000A1C8E" w:rsidTr="004E5702">
        <w:trPr>
          <w:trHeight w:val="178"/>
        </w:trPr>
        <w:tc>
          <w:tcPr>
            <w:tcW w:w="1573" w:type="dxa"/>
            <w:shd w:val="clear" w:color="auto" w:fill="FFCC99"/>
            <w:vAlign w:val="center"/>
          </w:tcPr>
          <w:p w:rsidR="00394D2B" w:rsidRPr="000A1C8E" w:rsidRDefault="00394D2B" w:rsidP="00FF3343">
            <w:pPr>
              <w:pStyle w:val="AppendixTableHeadings"/>
              <w:jc w:val="left"/>
              <w:rPr>
                <w:rFonts w:ascii="Tahoma" w:hAnsi="Tahoma" w:cs="Tahoma"/>
                <w:sz w:val="20"/>
                <w:szCs w:val="20"/>
              </w:rPr>
            </w:pPr>
            <w:r w:rsidRPr="000A1C8E">
              <w:rPr>
                <w:rFonts w:ascii="Tahoma" w:hAnsi="Tahoma" w:cs="Tahoma"/>
                <w:sz w:val="20"/>
                <w:szCs w:val="20"/>
              </w:rPr>
              <w:t>Programas</w:t>
            </w:r>
          </w:p>
        </w:tc>
        <w:tc>
          <w:tcPr>
            <w:tcW w:w="1098" w:type="dxa"/>
            <w:shd w:val="clear" w:color="auto" w:fill="FFCC99"/>
            <w:vAlign w:val="center"/>
          </w:tcPr>
          <w:p w:rsidR="00394D2B" w:rsidRPr="000A1C8E" w:rsidRDefault="00394D2B" w:rsidP="00FF3343">
            <w:pPr>
              <w:pStyle w:val="AppendixTableHeadings"/>
              <w:jc w:val="left"/>
              <w:rPr>
                <w:rFonts w:ascii="Tahoma" w:hAnsi="Tahoma" w:cs="Tahoma"/>
                <w:sz w:val="20"/>
                <w:szCs w:val="20"/>
              </w:rPr>
            </w:pPr>
            <w:r w:rsidRPr="000A1C8E">
              <w:rPr>
                <w:rFonts w:ascii="Tahoma" w:hAnsi="Tahoma" w:cs="Tahoma"/>
                <w:sz w:val="20"/>
                <w:szCs w:val="20"/>
              </w:rPr>
              <w:t>Licença Open</w:t>
            </w:r>
          </w:p>
        </w:tc>
        <w:tc>
          <w:tcPr>
            <w:tcW w:w="1476" w:type="dxa"/>
            <w:shd w:val="clear" w:color="auto" w:fill="FFCC99"/>
            <w:vAlign w:val="center"/>
          </w:tcPr>
          <w:p w:rsidR="00394D2B" w:rsidRPr="000A1C8E" w:rsidRDefault="00394D2B" w:rsidP="00FF3343">
            <w:pPr>
              <w:pStyle w:val="AppendixTableHeadings"/>
              <w:jc w:val="left"/>
              <w:rPr>
                <w:rFonts w:ascii="Tahoma" w:hAnsi="Tahoma" w:cs="Tahoma"/>
                <w:sz w:val="20"/>
                <w:szCs w:val="20"/>
              </w:rPr>
            </w:pPr>
            <w:r w:rsidRPr="000A1C8E">
              <w:rPr>
                <w:rFonts w:ascii="Tahoma" w:hAnsi="Tahoma" w:cs="Tahoma"/>
                <w:sz w:val="20"/>
                <w:szCs w:val="20"/>
              </w:rPr>
              <w:t>Open Value</w:t>
            </w:r>
          </w:p>
        </w:tc>
        <w:tc>
          <w:tcPr>
            <w:tcW w:w="1710" w:type="dxa"/>
            <w:shd w:val="clear" w:color="auto" w:fill="FFCC99"/>
            <w:vAlign w:val="center"/>
          </w:tcPr>
          <w:p w:rsidR="00394D2B" w:rsidRPr="000A1C8E" w:rsidRDefault="00394D2B" w:rsidP="00FF3343">
            <w:pPr>
              <w:pStyle w:val="AppendixTableHeadings"/>
              <w:jc w:val="left"/>
              <w:rPr>
                <w:rFonts w:ascii="Tahoma" w:hAnsi="Tahoma" w:cs="Tahoma"/>
                <w:sz w:val="20"/>
                <w:szCs w:val="20"/>
              </w:rPr>
            </w:pPr>
            <w:r w:rsidRPr="000A1C8E">
              <w:rPr>
                <w:rFonts w:ascii="Tahoma" w:hAnsi="Tahoma" w:cs="Tahoma"/>
                <w:sz w:val="20"/>
                <w:szCs w:val="20"/>
              </w:rPr>
              <w:t>Open Value Subscription – Soluções Educacionais</w:t>
            </w:r>
          </w:p>
        </w:tc>
        <w:tc>
          <w:tcPr>
            <w:tcW w:w="2520" w:type="dxa"/>
            <w:shd w:val="clear" w:color="auto" w:fill="FFCC99"/>
            <w:vAlign w:val="center"/>
          </w:tcPr>
          <w:p w:rsidR="00394D2B" w:rsidRPr="000A1C8E" w:rsidRDefault="00394D2B" w:rsidP="00FF3343">
            <w:pPr>
              <w:pStyle w:val="AppendixTableHeadings"/>
              <w:jc w:val="left"/>
              <w:rPr>
                <w:rFonts w:ascii="Tahoma" w:hAnsi="Tahoma" w:cs="Tahoma"/>
              </w:rPr>
            </w:pPr>
            <w:r w:rsidRPr="000A1C8E">
              <w:rPr>
                <w:rFonts w:ascii="Tahoma" w:hAnsi="Tahoma" w:cs="Tahoma"/>
                <w:sz w:val="20"/>
                <w:szCs w:val="20"/>
              </w:rPr>
              <w:t>Select*</w:t>
            </w:r>
          </w:p>
          <w:p w:rsidR="00394D2B" w:rsidRPr="000A1C8E" w:rsidRDefault="00394D2B" w:rsidP="00FF3343">
            <w:pPr>
              <w:pStyle w:val="AppendixTableHeadings"/>
              <w:jc w:val="left"/>
              <w:rPr>
                <w:rFonts w:ascii="Tahoma" w:hAnsi="Tahoma" w:cs="Tahoma"/>
              </w:rPr>
            </w:pPr>
            <w:r w:rsidRPr="000A1C8E">
              <w:rPr>
                <w:rFonts w:ascii="Tahoma" w:hAnsi="Tahoma" w:cs="Tahoma"/>
                <w:sz w:val="20"/>
                <w:szCs w:val="20"/>
              </w:rPr>
              <w:t>Contrato Enterprise</w:t>
            </w:r>
          </w:p>
          <w:p w:rsidR="00394D2B" w:rsidRPr="000A1C8E" w:rsidRDefault="00394D2B" w:rsidP="004E5702">
            <w:pPr>
              <w:pStyle w:val="AppendixTableHeadings"/>
              <w:jc w:val="left"/>
              <w:rPr>
                <w:rFonts w:ascii="Tahoma" w:hAnsi="Tahoma" w:cs="Tahoma"/>
                <w:sz w:val="20"/>
                <w:szCs w:val="20"/>
              </w:rPr>
            </w:pPr>
            <w:r w:rsidRPr="000A1C8E">
              <w:rPr>
                <w:rFonts w:ascii="Tahoma" w:hAnsi="Tahoma" w:cs="Tahoma"/>
                <w:sz w:val="20"/>
                <w:szCs w:val="20"/>
              </w:rPr>
              <w:t>Soluções Educacionais do Registro sob o Contrato para Campus e o</w:t>
            </w:r>
            <w:r w:rsidR="004E5702" w:rsidRPr="000A1C8E">
              <w:rPr>
                <w:rFonts w:ascii="Tahoma" w:hAnsi="Tahoma" w:cs="Tahoma"/>
                <w:sz w:val="20"/>
                <w:szCs w:val="20"/>
              </w:rPr>
              <w:t xml:space="preserve"> </w:t>
            </w:r>
            <w:r w:rsidRPr="000A1C8E">
              <w:rPr>
                <w:rFonts w:ascii="Tahoma" w:hAnsi="Tahoma" w:cs="Tahoma"/>
                <w:sz w:val="20"/>
                <w:szCs w:val="20"/>
              </w:rPr>
              <w:t>Contrato School</w:t>
            </w:r>
          </w:p>
        </w:tc>
        <w:tc>
          <w:tcPr>
            <w:tcW w:w="1260" w:type="dxa"/>
            <w:shd w:val="clear" w:color="auto" w:fill="FFCC99"/>
            <w:vAlign w:val="center"/>
          </w:tcPr>
          <w:p w:rsidR="00394D2B" w:rsidRPr="000A1C8E" w:rsidRDefault="00394D2B" w:rsidP="007E466C">
            <w:pPr>
              <w:pStyle w:val="AppendixTableHeadings"/>
              <w:rPr>
                <w:rFonts w:ascii="Tahoma" w:hAnsi="Tahoma" w:cs="Tahoma"/>
                <w:sz w:val="20"/>
                <w:szCs w:val="20"/>
              </w:rPr>
            </w:pPr>
            <w:r w:rsidRPr="000A1C8E">
              <w:rPr>
                <w:rFonts w:ascii="Tahoma" w:hAnsi="Tahoma" w:cs="Tahoma"/>
                <w:sz w:val="20"/>
                <w:szCs w:val="20"/>
              </w:rPr>
              <w:t>Select Plus</w:t>
            </w:r>
          </w:p>
        </w:tc>
      </w:tr>
      <w:tr w:rsidR="009233CA" w:rsidRPr="000A1C8E" w:rsidTr="00340B66">
        <w:trPr>
          <w:trHeight w:val="369"/>
        </w:trPr>
        <w:tc>
          <w:tcPr>
            <w:tcW w:w="1573" w:type="dxa"/>
            <w:vAlign w:val="center"/>
          </w:tcPr>
          <w:p w:rsidR="00394D2B" w:rsidRPr="000A1C8E" w:rsidRDefault="00394D2B" w:rsidP="00F07479">
            <w:pPr>
              <w:pStyle w:val="AppendixTableText"/>
              <w:rPr>
                <w:rFonts w:ascii="Tahoma" w:hAnsi="Tahoma" w:cs="Tahoma"/>
                <w:szCs w:val="20"/>
              </w:rPr>
            </w:pPr>
            <w:r w:rsidRPr="000A1C8E">
              <w:rPr>
                <w:rFonts w:ascii="Tahoma" w:hAnsi="Tahoma" w:cs="Tahoma"/>
                <w:szCs w:val="20"/>
              </w:rPr>
              <w:t>Os benefícios estão disponíveis</w:t>
            </w:r>
            <w:r w:rsidR="00F07479" w:rsidRPr="000A1C8E">
              <w:rPr>
                <w:rFonts w:ascii="Tahoma" w:hAnsi="Tahoma" w:cs="Tahoma"/>
                <w:szCs w:val="20"/>
              </w:rPr>
              <w:t> </w:t>
            </w:r>
            <w:r w:rsidRPr="000A1C8E">
              <w:rPr>
                <w:rFonts w:ascii="Tahoma" w:hAnsi="Tahoma" w:cs="Tahoma"/>
                <w:szCs w:val="20"/>
              </w:rPr>
              <w:t>por:</w:t>
            </w:r>
          </w:p>
        </w:tc>
        <w:tc>
          <w:tcPr>
            <w:tcW w:w="1098" w:type="dxa"/>
            <w:vAlign w:val="center"/>
          </w:tcPr>
          <w:p w:rsidR="00394D2B" w:rsidRPr="000A1C8E" w:rsidRDefault="00394D2B">
            <w:pPr>
              <w:pStyle w:val="AppendixTableText"/>
              <w:rPr>
                <w:rFonts w:ascii="Tahoma" w:hAnsi="Tahoma" w:cs="Tahoma"/>
                <w:szCs w:val="20"/>
              </w:rPr>
            </w:pPr>
            <w:r w:rsidRPr="000A1C8E">
              <w:rPr>
                <w:rFonts w:ascii="Tahoma" w:hAnsi="Tahoma" w:cs="Tahoma"/>
                <w:szCs w:val="20"/>
              </w:rPr>
              <w:t>Número de Licença</w:t>
            </w:r>
          </w:p>
        </w:tc>
        <w:tc>
          <w:tcPr>
            <w:tcW w:w="1476" w:type="dxa"/>
            <w:vAlign w:val="center"/>
          </w:tcPr>
          <w:p w:rsidR="00394D2B" w:rsidRPr="000A1C8E" w:rsidRDefault="00394D2B">
            <w:pPr>
              <w:pStyle w:val="AppendixTableText"/>
              <w:rPr>
                <w:rFonts w:ascii="Tahoma" w:hAnsi="Tahoma" w:cs="Tahoma"/>
                <w:szCs w:val="20"/>
              </w:rPr>
            </w:pPr>
            <w:r w:rsidRPr="000A1C8E">
              <w:rPr>
                <w:rFonts w:ascii="Tahoma" w:hAnsi="Tahoma" w:cs="Tahoma"/>
                <w:szCs w:val="20"/>
              </w:rPr>
              <w:t>Contrato</w:t>
            </w:r>
          </w:p>
        </w:tc>
        <w:tc>
          <w:tcPr>
            <w:tcW w:w="1710" w:type="dxa"/>
            <w:vAlign w:val="center"/>
          </w:tcPr>
          <w:p w:rsidR="00394D2B" w:rsidRPr="000A1C8E" w:rsidRDefault="00394D2B" w:rsidP="00394D2B">
            <w:pPr>
              <w:pStyle w:val="AppendixTableText"/>
              <w:rPr>
                <w:rFonts w:ascii="Tahoma" w:hAnsi="Tahoma" w:cs="Tahoma"/>
                <w:szCs w:val="20"/>
              </w:rPr>
            </w:pPr>
            <w:r w:rsidRPr="000A1C8E">
              <w:rPr>
                <w:rFonts w:ascii="Tahoma" w:hAnsi="Tahoma" w:cs="Tahoma"/>
                <w:szCs w:val="20"/>
              </w:rPr>
              <w:t>Contrato</w:t>
            </w:r>
          </w:p>
        </w:tc>
        <w:tc>
          <w:tcPr>
            <w:tcW w:w="2520" w:type="dxa"/>
            <w:vAlign w:val="center"/>
          </w:tcPr>
          <w:p w:rsidR="00394D2B" w:rsidRPr="000A1C8E" w:rsidRDefault="00394D2B">
            <w:pPr>
              <w:pStyle w:val="AppendixTableText"/>
              <w:rPr>
                <w:rFonts w:ascii="Tahoma" w:hAnsi="Tahoma" w:cs="Tahoma"/>
                <w:szCs w:val="20"/>
              </w:rPr>
            </w:pPr>
            <w:r w:rsidRPr="000A1C8E">
              <w:rPr>
                <w:rFonts w:ascii="Tahoma" w:hAnsi="Tahoma" w:cs="Tahoma"/>
                <w:szCs w:val="20"/>
              </w:rPr>
              <w:t>Qualificado</w:t>
            </w:r>
          </w:p>
        </w:tc>
        <w:tc>
          <w:tcPr>
            <w:tcW w:w="1260" w:type="dxa"/>
            <w:vAlign w:val="center"/>
          </w:tcPr>
          <w:p w:rsidR="00394D2B" w:rsidRPr="000A1C8E" w:rsidRDefault="00394D2B" w:rsidP="00340B66">
            <w:pPr>
              <w:pStyle w:val="AppendixTableText"/>
              <w:rPr>
                <w:rFonts w:ascii="Tahoma" w:hAnsi="Tahoma" w:cs="Tahoma"/>
                <w:szCs w:val="20"/>
              </w:rPr>
            </w:pPr>
            <w:r w:rsidRPr="000A1C8E">
              <w:rPr>
                <w:rFonts w:ascii="Tahoma" w:hAnsi="Tahoma" w:cs="Tahoma"/>
                <w:szCs w:val="20"/>
              </w:rPr>
              <w:t>Afiliada Registrada</w:t>
            </w:r>
          </w:p>
        </w:tc>
      </w:tr>
    </w:tbl>
    <w:p w:rsidR="00023FE7" w:rsidRPr="000A1C8E" w:rsidRDefault="00023FE7" w:rsidP="0063466C">
      <w:pPr>
        <w:pStyle w:val="AppendixBodyText"/>
        <w:spacing w:after="0"/>
        <w:ind w:right="403"/>
        <w:rPr>
          <w:rFonts w:ascii="Tahoma" w:hAnsi="Tahoma" w:cs="Tahoma"/>
        </w:rPr>
      </w:pPr>
      <w:r w:rsidRPr="000A1C8E">
        <w:rPr>
          <w:rFonts w:ascii="Tahoma" w:hAnsi="Tahoma" w:cs="Tahoma"/>
          <w:b/>
          <w:i/>
          <w:sz w:val="16"/>
          <w:szCs w:val="16"/>
        </w:rPr>
        <w:t>Observação:</w:t>
      </w:r>
      <w:r w:rsidRPr="000A1C8E">
        <w:rPr>
          <w:rFonts w:ascii="Tahoma" w:hAnsi="Tahoma" w:cs="Tahoma"/>
          <w:i/>
          <w:sz w:val="16"/>
          <w:szCs w:val="16"/>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rsidR="00023FE7" w:rsidRPr="000A1C8E" w:rsidRDefault="00023FE7" w:rsidP="0063466C">
      <w:pPr>
        <w:pStyle w:val="AppendixBodyText"/>
        <w:spacing w:after="0"/>
        <w:rPr>
          <w:rFonts w:ascii="Tahoma" w:hAnsi="Tahoma" w:cs="Tahoma"/>
        </w:rPr>
      </w:pPr>
    </w:p>
    <w:p w:rsidR="00023FE7" w:rsidRPr="000A1C8E" w:rsidRDefault="00023FE7" w:rsidP="0063466C">
      <w:pPr>
        <w:pStyle w:val="AppendixBodyText"/>
        <w:spacing w:after="0"/>
        <w:rPr>
          <w:rFonts w:ascii="Tahoma" w:hAnsi="Tahoma" w:cs="Tahoma"/>
        </w:rPr>
      </w:pPr>
      <w:r w:rsidRPr="000A1C8E">
        <w:rPr>
          <w:rFonts w:ascii="Tahoma" w:hAnsi="Tahoma" w:cs="Tahoma"/>
          <w:sz w:val="18"/>
        </w:rPr>
        <w:t>Os Benefícios do Software Assurance e os benefícios dos Serviços Online são exibidos na tabela a seguir.</w:t>
      </w:r>
      <w:r w:rsidR="00DC6D8B" w:rsidRPr="000A1C8E">
        <w:rPr>
          <w:rFonts w:ascii="Tahoma" w:hAnsi="Tahoma" w:cs="Tahoma"/>
          <w:sz w:val="18"/>
        </w:rPr>
        <w:t xml:space="preserve"> </w:t>
      </w:r>
      <w:r w:rsidRPr="000A1C8E">
        <w:rPr>
          <w:rFonts w:ascii="Tahoma" w:hAnsi="Tahoma" w:cs="Tahoma"/>
          <w:sz w:val="18"/>
        </w:rPr>
        <w:t>Determinados benefícios correspondem a licenças individuais para as quais o Software Assurance foi adquirido.</w:t>
      </w:r>
      <w:r w:rsidR="00DC6D8B" w:rsidRPr="000A1C8E">
        <w:rPr>
          <w:rFonts w:ascii="Tahoma" w:hAnsi="Tahoma" w:cs="Tahoma"/>
          <w:sz w:val="18"/>
        </w:rPr>
        <w:t xml:space="preserve"> </w:t>
      </w:r>
      <w:r w:rsidRPr="000A1C8E">
        <w:rPr>
          <w:rFonts w:ascii="Tahoma" w:hAnsi="Tahoma" w:cs="Tahoma"/>
          <w:sz w:val="18"/>
        </w:rPr>
        <w:t>O</w:t>
      </w:r>
      <w:r w:rsidR="004E5702" w:rsidRPr="000A1C8E">
        <w:rPr>
          <w:rFonts w:ascii="Tahoma" w:hAnsi="Tahoma" w:cs="Tahoma"/>
          <w:sz w:val="18"/>
        </w:rPr>
        <w:t> </w:t>
      </w:r>
      <w:r w:rsidRPr="000A1C8E">
        <w:rPr>
          <w:rFonts w:ascii="Tahoma" w:hAnsi="Tahoma" w:cs="Tahoma"/>
          <w:sz w:val="18"/>
        </w:rPr>
        <w:t>Software Assurance (ou outra proteção de atualização) ativo de qualquer produto qualificado, independentemente da versão do produto que um cliente esteja usando, qualifica o cliente para esses benefícios.</w:t>
      </w:r>
      <w:r w:rsidR="00DC6D8B" w:rsidRPr="000A1C8E">
        <w:rPr>
          <w:rFonts w:ascii="Tahoma" w:hAnsi="Tahoma" w:cs="Tahoma"/>
          <w:sz w:val="18"/>
        </w:rPr>
        <w:t xml:space="preserve"> </w:t>
      </w:r>
      <w:r w:rsidRPr="000A1C8E">
        <w:rPr>
          <w:rFonts w:ascii="Tahoma" w:hAnsi="Tahoma" w:cs="Tahoma"/>
          <w:sz w:val="18"/>
        </w:rPr>
        <w:t>Os produtos qualificados estão identificados na seção de cada produto.</w:t>
      </w:r>
      <w:r w:rsidR="00DC6D8B" w:rsidRPr="000A1C8E">
        <w:rPr>
          <w:rFonts w:ascii="Tahoma" w:hAnsi="Tahoma" w:cs="Tahoma"/>
          <w:sz w:val="18"/>
        </w:rPr>
        <w:t xml:space="preserve"> </w:t>
      </w:r>
      <w:r w:rsidRPr="000A1C8E">
        <w:rPr>
          <w:rFonts w:ascii="Tahoma" w:hAnsi="Tahoma" w:cs="Tahoma"/>
          <w:sz w:val="18"/>
        </w:rPr>
        <w:t>Alguns benefícios são concedidos com base nos gastos de SA do Cliente com um determinado conjunto de produtos qualificados de um pool.</w:t>
      </w:r>
      <w:r w:rsidR="00DC6D8B" w:rsidRPr="000A1C8E">
        <w:rPr>
          <w:rFonts w:ascii="Tahoma" w:hAnsi="Tahoma" w:cs="Tahoma"/>
          <w:sz w:val="18"/>
        </w:rPr>
        <w:t xml:space="preserve"> </w:t>
      </w:r>
      <w:r w:rsidRPr="000A1C8E">
        <w:rPr>
          <w:rFonts w:ascii="Tahoma" w:hAnsi="Tahoma" w:cs="Tahoma"/>
          <w:sz w:val="18"/>
        </w:rPr>
        <w:t>Para esses fins, “gastos de SA” não são literalmente os gastos reais em dólares do cliente.</w:t>
      </w:r>
      <w:r w:rsidR="00DC6D8B" w:rsidRPr="000A1C8E">
        <w:rPr>
          <w:rFonts w:ascii="Tahoma" w:hAnsi="Tahoma" w:cs="Tahoma"/>
          <w:sz w:val="18"/>
        </w:rPr>
        <w:t xml:space="preserve"> </w:t>
      </w:r>
      <w:r w:rsidRPr="000A1C8E">
        <w:rPr>
          <w:rFonts w:ascii="Tahoma" w:hAnsi="Tahoma" w:cs="Tahoma"/>
          <w:sz w:val="18"/>
        </w:rPr>
        <w:t>Em vez disso, eles são uma aproximação da quantia gasta</w:t>
      </w:r>
      <w:r w:rsidR="004E5702" w:rsidRPr="000A1C8E">
        <w:rPr>
          <w:rFonts w:ascii="Tahoma" w:hAnsi="Tahoma" w:cs="Tahoma"/>
          <w:sz w:val="18"/>
        </w:rPr>
        <w:t> </w:t>
      </w:r>
      <w:r w:rsidRPr="000A1C8E">
        <w:rPr>
          <w:rFonts w:ascii="Tahoma" w:hAnsi="Tahoma" w:cs="Tahoma"/>
          <w:sz w:val="18"/>
        </w:rPr>
        <w:t xml:space="preserve">por um cliente em cobertura de Software Assurance para esses produtos sob o Registro Select ou </w:t>
      </w:r>
      <w:r w:rsidRPr="000A1C8E">
        <w:rPr>
          <w:rFonts w:ascii="Tahoma" w:hAnsi="Tahoma" w:cs="Tahoma"/>
          <w:sz w:val="18"/>
          <w:szCs w:val="18"/>
        </w:rPr>
        <w:t>Enterprise, o</w:t>
      </w:r>
      <w:r w:rsidR="004E5702" w:rsidRPr="000A1C8E">
        <w:rPr>
          <w:rFonts w:ascii="Tahoma" w:hAnsi="Tahoma" w:cs="Tahoma"/>
          <w:sz w:val="18"/>
          <w:szCs w:val="18"/>
        </w:rPr>
        <w:t> </w:t>
      </w:r>
      <w:r w:rsidRPr="000A1C8E">
        <w:rPr>
          <w:rFonts w:ascii="Tahoma" w:hAnsi="Tahoma" w:cs="Tahoma"/>
          <w:sz w:val="18"/>
          <w:szCs w:val="18"/>
        </w:rPr>
        <w:t>registro Select Plus ou o contrato Open (por exemplo, aquisições apenas de SA e aquisições do componente SA de</w:t>
      </w:r>
      <w:r w:rsidR="004E5702" w:rsidRPr="000A1C8E">
        <w:rPr>
          <w:rFonts w:ascii="Tahoma" w:hAnsi="Tahoma" w:cs="Tahoma"/>
          <w:sz w:val="18"/>
          <w:szCs w:val="18"/>
        </w:rPr>
        <w:t> </w:t>
      </w:r>
      <w:r w:rsidRPr="000A1C8E">
        <w:rPr>
          <w:rFonts w:ascii="Tahoma" w:hAnsi="Tahoma" w:cs="Tahoma"/>
          <w:sz w:val="18"/>
          <w:szCs w:val="18"/>
        </w:rPr>
        <w:t>L&amp;SA (Licença e Software Assurance).</w:t>
      </w:r>
      <w:r w:rsidR="00DC6D8B" w:rsidRPr="000A1C8E">
        <w:rPr>
          <w:rFonts w:ascii="Tahoma" w:hAnsi="Tahoma" w:cs="Tahoma"/>
          <w:sz w:val="18"/>
          <w:szCs w:val="18"/>
        </w:rPr>
        <w:t xml:space="preserve"> </w:t>
      </w:r>
      <w:r w:rsidRPr="000A1C8E">
        <w:rPr>
          <w:rFonts w:ascii="Tahoma" w:hAnsi="Tahoma" w:cs="Tahoma"/>
          <w:sz w:val="18"/>
          <w:szCs w:val="18"/>
        </w:rPr>
        <w:t>Para os clientes sob programas de assinatura, esses gastos são uma aproximação do valor total em dólares que o cliente gastou com o licenciamento desses produtos sob seu registro ou</w:t>
      </w:r>
      <w:r w:rsidR="004E5702" w:rsidRPr="000A1C8E">
        <w:rPr>
          <w:rFonts w:ascii="Tahoma" w:hAnsi="Tahoma" w:cs="Tahoma"/>
          <w:sz w:val="18"/>
          <w:szCs w:val="18"/>
        </w:rPr>
        <w:t> </w:t>
      </w:r>
      <w:r w:rsidRPr="000A1C8E">
        <w:rPr>
          <w:rFonts w:ascii="Tahoma" w:hAnsi="Tahoma" w:cs="Tahoma"/>
          <w:sz w:val="18"/>
          <w:szCs w:val="18"/>
        </w:rPr>
        <w:t>contrato.</w:t>
      </w:r>
      <w:r w:rsidR="00DC6D8B" w:rsidRPr="000A1C8E">
        <w:rPr>
          <w:rFonts w:ascii="Tahoma" w:hAnsi="Tahoma" w:cs="Tahoma"/>
          <w:sz w:val="18"/>
          <w:szCs w:val="18"/>
        </w:rPr>
        <w:t xml:space="preserve"> </w:t>
      </w:r>
      <w:r w:rsidRPr="000A1C8E">
        <w:rPr>
          <w:rFonts w:ascii="Tahoma" w:hAnsi="Tahoma" w:cs="Tahoma"/>
          <w:sz w:val="18"/>
          <w:szCs w:val="18"/>
        </w:rPr>
        <w:t>Outros benefícios correspondem ao Programa de Membros do Software Assurance. O Programa de Membros do Software Assurance para o pool de produtos aplicável qualifica o cliente a esses benefícios.</w:t>
      </w:r>
    </w:p>
    <w:p w:rsidR="00F76ED4" w:rsidRPr="000A1C8E" w:rsidRDefault="00F76ED4">
      <w:pPr>
        <w:rPr>
          <w:rFonts w:cs="Tahoma"/>
        </w:rPr>
      </w:pPr>
      <w:r w:rsidRPr="000A1C8E">
        <w:rPr>
          <w:rFonts w:cs="Tahoma"/>
        </w:rP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0A1C8E"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A1C8E" w:rsidRDefault="004B4C79" w:rsidP="00E06FE8">
            <w:pPr>
              <w:pStyle w:val="AppendixTableHeadings"/>
              <w:rPr>
                <w:rFonts w:ascii="Tahoma" w:hAnsi="Tahoma" w:cs="Tahoma"/>
                <w:sz w:val="20"/>
                <w:szCs w:val="20"/>
              </w:rPr>
            </w:pPr>
            <w:r w:rsidRPr="000A1C8E">
              <w:rPr>
                <w:rFonts w:ascii="Tahoma" w:hAnsi="Tahoma" w:cs="Tahoma"/>
                <w:sz w:val="20"/>
                <w:szCs w:val="20"/>
              </w:rPr>
              <w:lastRenderedPageBreak/>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A1C8E" w:rsidRDefault="004B4C79" w:rsidP="00E06FE8">
            <w:pPr>
              <w:pStyle w:val="AppendixTableHeadings"/>
              <w:rPr>
                <w:rFonts w:ascii="Tahoma" w:hAnsi="Tahoma" w:cs="Tahoma"/>
                <w:sz w:val="20"/>
                <w:szCs w:val="20"/>
              </w:rPr>
            </w:pPr>
            <w:r w:rsidRPr="000A1C8E">
              <w:rPr>
                <w:rFonts w:ascii="Tahoma" w:hAnsi="Tahoma" w:cs="Tahoma"/>
                <w:sz w:val="20"/>
                <w:szCs w:val="20"/>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A1C8E" w:rsidRDefault="004B4C79" w:rsidP="00E06FE8">
            <w:pPr>
              <w:pStyle w:val="AppendixTableHeadings"/>
              <w:rPr>
                <w:rFonts w:ascii="Tahoma" w:hAnsi="Tahoma" w:cs="Tahoma"/>
                <w:sz w:val="20"/>
                <w:szCs w:val="20"/>
              </w:rPr>
            </w:pPr>
            <w:r w:rsidRPr="000A1C8E">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A1C8E" w:rsidRDefault="004B4C79" w:rsidP="00E06FE8">
            <w:pPr>
              <w:pStyle w:val="AppendixTableHeadings"/>
              <w:rPr>
                <w:rFonts w:ascii="Tahoma" w:hAnsi="Tahoma" w:cs="Tahoma"/>
                <w:sz w:val="20"/>
                <w:szCs w:val="20"/>
              </w:rPr>
            </w:pPr>
            <w:r w:rsidRPr="000A1C8E">
              <w:rPr>
                <w:rFonts w:ascii="Tahoma" w:hAnsi="Tahoma" w:cs="Tahoma"/>
                <w:sz w:val="20"/>
                <w:szCs w:val="20"/>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A1C8E" w:rsidRDefault="006705D4" w:rsidP="00E06FE8">
            <w:pPr>
              <w:pStyle w:val="AppendixTableHeadings"/>
              <w:rPr>
                <w:rFonts w:ascii="Tahoma" w:hAnsi="Tahoma" w:cs="Tahoma"/>
                <w:sz w:val="20"/>
                <w:szCs w:val="20"/>
              </w:rPr>
            </w:pPr>
            <w:r w:rsidRPr="000A1C8E">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A1C8E" w:rsidRDefault="004B4C79" w:rsidP="00E06FE8">
            <w:pPr>
              <w:pStyle w:val="AppendixTableHeadings"/>
              <w:rPr>
                <w:rFonts w:ascii="Tahoma" w:hAnsi="Tahoma" w:cs="Tahoma"/>
                <w:sz w:val="20"/>
                <w:szCs w:val="20"/>
              </w:rPr>
            </w:pPr>
            <w:r w:rsidRPr="000A1C8E">
              <w:rPr>
                <w:rFonts w:ascii="Tahoma" w:hAnsi="Tahoma" w:cs="Tahoma"/>
                <w:sz w:val="20"/>
                <w:szCs w:val="20"/>
              </w:rPr>
              <w:t>Office 365</w:t>
            </w:r>
          </w:p>
        </w:tc>
      </w:tr>
      <w:tr w:rsidR="004B4C79" w:rsidRPr="000A1C8E"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Direitos à Nova Versão</w:t>
            </w:r>
          </w:p>
        </w:tc>
        <w:tc>
          <w:tcPr>
            <w:tcW w:w="1530" w:type="dxa"/>
            <w:tcBorders>
              <w:top w:val="single" w:sz="8" w:space="0" w:color="auto"/>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0A1C8E" w:rsidRDefault="00302B84" w:rsidP="00E06FE8">
            <w:pPr>
              <w:pStyle w:val="AppendixTableText"/>
              <w:rPr>
                <w:rFonts w:ascii="Tahoma" w:hAnsi="Tahoma" w:cs="Tahoma"/>
              </w:rPr>
            </w:pPr>
            <w:r w:rsidRPr="000A1C8E">
              <w:rPr>
                <w:rFonts w:ascii="Tahoma" w:hAnsi="Tahoma" w:cs="Tahoma"/>
              </w:rPr>
              <w:t>Sim</w:t>
            </w:r>
          </w:p>
        </w:tc>
        <w:tc>
          <w:tcPr>
            <w:tcW w:w="1440" w:type="dxa"/>
            <w:tcBorders>
              <w:top w:val="single" w:sz="8" w:space="0" w:color="auto"/>
              <w:left w:val="nil"/>
              <w:bottom w:val="single" w:sz="4" w:space="0" w:color="auto"/>
              <w:right w:val="single" w:sz="4" w:space="0" w:color="auto"/>
            </w:tcBorders>
            <w:vAlign w:val="center"/>
          </w:tcPr>
          <w:p w:rsidR="004B4C79" w:rsidRPr="000A1C8E" w:rsidRDefault="00302B84" w:rsidP="00E06FE8">
            <w:pPr>
              <w:pStyle w:val="AppendixTableText"/>
              <w:rPr>
                <w:rFonts w:ascii="Tahoma" w:hAnsi="Tahoma" w:cs="Tahoma"/>
              </w:rPr>
            </w:pPr>
            <w:r w:rsidRPr="000A1C8E">
              <w:rPr>
                <w:rFonts w:ascii="Tahoma" w:hAnsi="Tahoma" w:cs="Tahoma"/>
              </w:rPr>
              <w:t>Sim</w:t>
            </w:r>
          </w:p>
        </w:tc>
      </w:tr>
      <w:tr w:rsidR="004B4C79"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Pacote Multilíngue do Office</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Style w:val="CommentReference"/>
                <w:rFonts w:ascii="Tahoma" w:hAnsi="Tahoma" w:cs="Tahoma"/>
                <w:sz w:val="18"/>
                <w:szCs w:val="18"/>
              </w:rPr>
            </w:pPr>
            <w:r w:rsidRPr="000A1C8E">
              <w:rPr>
                <w:rFonts w:ascii="Tahoma" w:hAnsi="Tahoma" w:cs="Tahoma"/>
              </w:rPr>
              <w:t>Sim</w:t>
            </w:r>
          </w:p>
        </w:tc>
      </w:tr>
      <w:tr w:rsidR="004B4C79"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E7419A">
            <w:pPr>
              <w:pStyle w:val="AppendixTableText"/>
              <w:jc w:val="left"/>
              <w:rPr>
                <w:rFonts w:ascii="Tahoma" w:hAnsi="Tahoma" w:cs="Tahoma"/>
              </w:rPr>
            </w:pPr>
            <w:r w:rsidRPr="000A1C8E">
              <w:rPr>
                <w:rFonts w:ascii="Tahoma" w:hAnsi="Tahoma" w:cs="Tahoma"/>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Style w:val="CommentReference"/>
                <w:rFonts w:ascii="Tahoma" w:hAnsi="Tahoma" w:cs="Tahoma"/>
                <w:sz w:val="18"/>
                <w:szCs w:val="18"/>
              </w:rPr>
            </w:pPr>
            <w:r w:rsidRPr="000A1C8E">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Style w:val="CommentReference"/>
                <w:rFonts w:ascii="Tahoma" w:hAnsi="Tahoma" w:cs="Tahoma"/>
                <w:sz w:val="18"/>
                <w:szCs w:val="18"/>
              </w:rPr>
            </w:pPr>
          </w:p>
        </w:tc>
      </w:tr>
      <w:tr w:rsidR="004B4C79"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A1C8E" w:rsidRDefault="002E4C6F" w:rsidP="0040728D">
            <w:pPr>
              <w:pStyle w:val="AppendixTableText"/>
              <w:jc w:val="left"/>
              <w:rPr>
                <w:rFonts w:ascii="Tahoma" w:hAnsi="Tahoma" w:cs="Tahoma"/>
              </w:rPr>
            </w:pPr>
            <w:r w:rsidRPr="002E4C6F">
              <w:rPr>
                <w:rFonts w:ascii="Tahoma" w:hAnsi="Tahoma" w:cs="Tahoma"/>
              </w:rPr>
              <w:t>Direitos da Edição Enterprise</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44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Cupons de Treinamento</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44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r>
      <w:tr w:rsidR="004B4C79"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Style w:val="CommentReference"/>
                <w:rFonts w:ascii="Tahoma" w:hAnsi="Tahoma" w:cs="Tahoma"/>
                <w:sz w:val="18"/>
                <w:szCs w:val="18"/>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620185"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0A1C8E" w:rsidRDefault="00620185">
            <w:pPr>
              <w:pStyle w:val="AppendixTableText"/>
              <w:jc w:val="left"/>
              <w:rPr>
                <w:rFonts w:ascii="Tahoma" w:hAnsi="Tahoma" w:cs="Tahoma"/>
              </w:rPr>
            </w:pPr>
            <w:r w:rsidRPr="000A1C8E">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0A1C8E"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0A1C8E"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0A1C8E" w:rsidRDefault="00620185"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620185" w:rsidRPr="000A1C8E"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0A1C8E" w:rsidRDefault="00620185" w:rsidP="00E06FE8">
            <w:pPr>
              <w:pStyle w:val="AppendixTableText"/>
              <w:rPr>
                <w:rFonts w:ascii="Tahoma" w:hAnsi="Tahoma" w:cs="Tahoma"/>
              </w:rPr>
            </w:pPr>
          </w:p>
        </w:tc>
      </w:tr>
      <w:tr w:rsidR="00E06FE8"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0A1C8E" w:rsidRDefault="00E06FE8">
            <w:pPr>
              <w:pStyle w:val="AppendixTableText"/>
              <w:jc w:val="left"/>
              <w:rPr>
                <w:rFonts w:ascii="Tahoma" w:hAnsi="Tahoma" w:cs="Tahoma"/>
              </w:rPr>
            </w:pPr>
            <w:r w:rsidRPr="000A1C8E">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0A1C8E"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0A1C8E"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0A1C8E" w:rsidRDefault="00E06FE8"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E06FE8" w:rsidRPr="000A1C8E"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0A1C8E" w:rsidRDefault="00E06FE8" w:rsidP="00E06FE8">
            <w:pPr>
              <w:pStyle w:val="AppendixTableText"/>
              <w:rPr>
                <w:rFonts w:ascii="Tahoma" w:hAnsi="Tahoma" w:cs="Tahoma"/>
              </w:rPr>
            </w:pPr>
          </w:p>
        </w:tc>
      </w:tr>
      <w:tr w:rsidR="004B4C79"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Backup Passivo para Recuperação de Desastres</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Serviços de Assinatura do TechNet SA</w:t>
            </w:r>
          </w:p>
        </w:tc>
        <w:tc>
          <w:tcPr>
            <w:tcW w:w="1530" w:type="dxa"/>
            <w:tcBorders>
              <w:top w:val="single" w:sz="4" w:space="0" w:color="auto"/>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4B4C79" w:rsidP="005F52C6">
            <w:pPr>
              <w:pStyle w:val="AppendixTableText"/>
              <w:jc w:val="left"/>
              <w:rPr>
                <w:rFonts w:ascii="Tahoma" w:hAnsi="Tahoma" w:cs="Tahoma"/>
              </w:rPr>
            </w:pPr>
            <w:r w:rsidRPr="000A1C8E">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r w:rsidRPr="000A1C8E">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4B4C79" w:rsidP="00336EE3">
            <w:pPr>
              <w:pStyle w:val="AppendixTableText"/>
              <w:jc w:val="left"/>
              <w:rPr>
                <w:rFonts w:ascii="Tahoma" w:hAnsi="Tahoma" w:cs="Tahoma"/>
              </w:rPr>
            </w:pPr>
            <w:r w:rsidRPr="000A1C8E">
              <w:rPr>
                <w:rFonts w:ascii="Tahoma" w:hAnsi="Tahoma" w:cs="Tahoma"/>
              </w:rPr>
              <w:t>Suporte Estendido a</w:t>
            </w:r>
            <w:r w:rsidR="00336EE3" w:rsidRPr="000A1C8E">
              <w:rPr>
                <w:rFonts w:ascii="Tahoma" w:hAnsi="Tahoma" w:cs="Tahoma"/>
              </w:rPr>
              <w:t> </w:t>
            </w:r>
            <w:r w:rsidRPr="000A1C8E">
              <w:rPr>
                <w:rFonts w:ascii="Tahoma" w:hAnsi="Tahoma" w:cs="Tahoma"/>
              </w:rPr>
              <w:t>Hotfix</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Style w:val="CommentReference"/>
                <w:rFonts w:ascii="Tahoma" w:hAnsi="Tahoma" w:cs="Tahoma"/>
                <w:sz w:val="18"/>
                <w:szCs w:val="18"/>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4B4C79"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4B4C79">
            <w:pPr>
              <w:pStyle w:val="AppendixTableText"/>
              <w:jc w:val="left"/>
              <w:rPr>
                <w:rFonts w:ascii="Tahoma" w:hAnsi="Tahoma" w:cs="Tahoma"/>
                <w:color w:val="000000"/>
              </w:rPr>
            </w:pPr>
            <w:r w:rsidRPr="000A1C8E">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spacing w:after="120"/>
              <w:rPr>
                <w:rFonts w:ascii="Tahoma" w:hAnsi="Tahoma" w:cs="Tahoma"/>
                <w:color w:val="000000"/>
              </w:rPr>
            </w:pPr>
            <w:r w:rsidRPr="000A1C8E">
              <w:rPr>
                <w:rFonts w:ascii="Tahoma" w:hAnsi="Tahoma" w:cs="Tahoma"/>
                <w:color w:val="000000"/>
              </w:rPr>
              <w:t>Sim</w:t>
            </w:r>
            <w:r w:rsidRPr="000A1C8E">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spacing w:before="120"/>
              <w:rPr>
                <w:rFonts w:ascii="Tahoma" w:hAnsi="Tahoma" w:cs="Tahoma"/>
                <w:color w:val="000000"/>
              </w:rPr>
            </w:pPr>
            <w:r w:rsidRPr="000A1C8E">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spacing w:before="120"/>
              <w:rPr>
                <w:rFonts w:ascii="Tahoma" w:hAnsi="Tahoma" w:cs="Tahoma"/>
                <w:color w:val="000000"/>
              </w:rPr>
            </w:pPr>
          </w:p>
        </w:tc>
      </w:tr>
      <w:tr w:rsidR="004B4C79"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E7419A" w:rsidP="00E7419A">
            <w:pPr>
              <w:pStyle w:val="AppendixTableText"/>
              <w:jc w:val="left"/>
              <w:rPr>
                <w:rFonts w:ascii="Tahoma" w:hAnsi="Tahoma" w:cs="Tahoma"/>
                <w:color w:val="000000"/>
              </w:rPr>
            </w:pPr>
            <w:r w:rsidRPr="000A1C8E">
              <w:rPr>
                <w:rFonts w:ascii="Tahoma" w:hAnsi="Tahoma" w:cs="Tahoma"/>
                <w:color w:val="000000"/>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spacing w:after="120"/>
              <w:rPr>
                <w:rFonts w:ascii="Tahoma" w:hAnsi="Tahoma" w:cs="Tahoma"/>
                <w:color w:val="000000"/>
              </w:rPr>
            </w:pPr>
            <w:r w:rsidRPr="000A1C8E">
              <w:rPr>
                <w:rFonts w:ascii="Tahoma" w:hAnsi="Tahoma" w:cs="Tahoma"/>
                <w:color w:val="000000"/>
              </w:rPr>
              <w:t>Sim</w:t>
            </w:r>
            <w:r w:rsidRPr="000A1C8E">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spacing w:before="120"/>
              <w:rPr>
                <w:rFonts w:ascii="Tahoma" w:hAnsi="Tahoma" w:cs="Tahoma"/>
                <w:color w:val="000000"/>
              </w:rPr>
            </w:pPr>
            <w:r w:rsidRPr="000A1C8E">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spacing w:before="120"/>
              <w:rPr>
                <w:rFonts w:ascii="Tahoma" w:hAnsi="Tahoma" w:cs="Tahoma"/>
                <w:color w:val="000000"/>
              </w:rPr>
            </w:pPr>
          </w:p>
        </w:tc>
      </w:tr>
      <w:tr w:rsidR="004B4C79"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4B4C79">
            <w:pPr>
              <w:pStyle w:val="AppendixTableText"/>
              <w:jc w:val="left"/>
              <w:rPr>
                <w:rFonts w:ascii="Tahoma" w:hAnsi="Tahoma" w:cs="Tahoma"/>
                <w:color w:val="000000"/>
              </w:rPr>
            </w:pPr>
            <w:r w:rsidRPr="000A1C8E">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spacing w:after="120"/>
              <w:rPr>
                <w:rFonts w:ascii="Tahoma" w:hAnsi="Tahoma" w:cs="Tahoma"/>
                <w:color w:val="000000"/>
              </w:rPr>
            </w:pPr>
            <w:r w:rsidRPr="000A1C8E">
              <w:rPr>
                <w:rFonts w:ascii="Tahoma" w:hAnsi="Tahoma" w:cs="Tahoma"/>
                <w:color w:val="000000"/>
              </w:rPr>
              <w:t>Sim</w:t>
            </w:r>
            <w:r w:rsidRPr="000A1C8E">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spacing w:before="120"/>
              <w:rPr>
                <w:rFonts w:ascii="Tahoma" w:hAnsi="Tahoma" w:cs="Tahoma"/>
                <w:color w:val="000000"/>
              </w:rPr>
            </w:pPr>
            <w:r w:rsidRPr="000A1C8E">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spacing w:before="120"/>
              <w:rPr>
                <w:rFonts w:ascii="Tahoma" w:hAnsi="Tahoma" w:cs="Tahoma"/>
                <w:color w:val="000000"/>
              </w:rPr>
            </w:pPr>
          </w:p>
        </w:tc>
      </w:tr>
      <w:tr w:rsidR="004B4C79"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A1C8E" w:rsidRDefault="004B4C79">
            <w:pPr>
              <w:pStyle w:val="AppendixTableText"/>
              <w:jc w:val="left"/>
              <w:rPr>
                <w:rFonts w:ascii="Tahoma" w:hAnsi="Tahoma" w:cs="Tahoma"/>
              </w:rPr>
            </w:pPr>
            <w:r w:rsidRPr="000A1C8E">
              <w:rPr>
                <w:rFonts w:ascii="Tahoma" w:hAnsi="Tahoma" w:cs="Tahoma"/>
              </w:rPr>
              <w:t>Licença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r w:rsidRPr="000A1C8E">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A1C8E" w:rsidRDefault="004B4C79" w:rsidP="00E06FE8">
            <w:pPr>
              <w:pStyle w:val="AppendixTableText"/>
              <w:rPr>
                <w:rFonts w:ascii="Tahoma" w:hAnsi="Tahoma" w:cs="Tahoma"/>
              </w:rPr>
            </w:pPr>
          </w:p>
        </w:tc>
      </w:tr>
      <w:tr w:rsidR="00870095"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0A1C8E" w:rsidRDefault="00870095">
            <w:pPr>
              <w:pStyle w:val="AppendixTableText"/>
              <w:jc w:val="left"/>
              <w:rPr>
                <w:rFonts w:ascii="Tahoma" w:hAnsi="Tahoma" w:cs="Tahoma"/>
              </w:rPr>
            </w:pPr>
            <w:r w:rsidRPr="000A1C8E">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0A1C8E"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0A1C8E" w:rsidRDefault="00870095" w:rsidP="00E06FE8">
            <w:pPr>
              <w:pStyle w:val="AppendixTableText"/>
              <w:rPr>
                <w:rFonts w:ascii="Tahoma" w:hAnsi="Tahoma" w:cs="Tahoma"/>
              </w:rPr>
            </w:pPr>
            <w:r w:rsidRPr="000A1C8E">
              <w:rPr>
                <w:rFonts w:ascii="Tahoma" w:hAnsi="Tahoma" w:cs="Tahoma"/>
              </w:rPr>
              <w:t>Sim</w:t>
            </w:r>
            <w:r w:rsidRPr="000A1C8E">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0A1C8E"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0A1C8E" w:rsidRDefault="00175615" w:rsidP="00E06FE8">
            <w:pPr>
              <w:pStyle w:val="AppendixTableText"/>
              <w:rPr>
                <w:rFonts w:ascii="Tahoma" w:hAnsi="Tahoma" w:cs="Tahoma"/>
              </w:rPr>
            </w:pPr>
            <w:r w:rsidRPr="000A1C8E">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0A1C8E" w:rsidRDefault="00870095" w:rsidP="00E06FE8">
            <w:pPr>
              <w:pStyle w:val="AppendixTableText"/>
              <w:rPr>
                <w:rFonts w:ascii="Tahoma" w:hAnsi="Tahoma" w:cs="Tahoma"/>
              </w:rPr>
            </w:pPr>
          </w:p>
        </w:tc>
      </w:tr>
      <w:tr w:rsidR="00175615" w:rsidRPr="000A1C8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0A1C8E" w:rsidRDefault="00175615">
            <w:pPr>
              <w:pStyle w:val="AppendixTableText"/>
              <w:jc w:val="left"/>
              <w:rPr>
                <w:rFonts w:ascii="Tahoma" w:hAnsi="Tahoma" w:cs="Tahoma"/>
              </w:rPr>
            </w:pPr>
            <w:r w:rsidRPr="000A1C8E">
              <w:rPr>
                <w:rFonts w:ascii="Tahoma" w:hAnsi="Tahoma" w:cs="Tahoma"/>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0A1C8E"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0A1C8E" w:rsidRDefault="00175615" w:rsidP="00E06FE8">
            <w:pPr>
              <w:pStyle w:val="AppendixTableText"/>
              <w:rPr>
                <w:rFonts w:ascii="Tahoma" w:hAnsi="Tahoma" w:cs="Tahoma"/>
              </w:rPr>
            </w:pPr>
            <w:r w:rsidRPr="000A1C8E">
              <w:rPr>
                <w:rFonts w:ascii="Tahoma" w:hAnsi="Tahoma" w:cs="Tahoma"/>
              </w:rPr>
              <w:t>Sim</w:t>
            </w:r>
            <w:r w:rsidRPr="000A1C8E">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0A1C8E"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0A1C8E" w:rsidRDefault="00175615" w:rsidP="00E06FE8">
            <w:pPr>
              <w:pStyle w:val="AppendixTableText"/>
              <w:rPr>
                <w:rFonts w:ascii="Tahoma" w:hAnsi="Tahoma" w:cs="Tahoma"/>
              </w:rPr>
            </w:pPr>
            <w:r w:rsidRPr="000A1C8E">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0A1C8E" w:rsidRDefault="00175615" w:rsidP="00E06FE8">
            <w:pPr>
              <w:pStyle w:val="AppendixTableText"/>
              <w:rPr>
                <w:rFonts w:ascii="Tahoma" w:hAnsi="Tahoma" w:cs="Tahoma"/>
              </w:rPr>
            </w:pPr>
          </w:p>
        </w:tc>
      </w:tr>
    </w:tbl>
    <w:p w:rsidR="00023FE7" w:rsidRPr="000A1C8E" w:rsidRDefault="00023FE7">
      <w:pPr>
        <w:pStyle w:val="AppendixBodyText"/>
        <w:ind w:right="180"/>
        <w:rPr>
          <w:rFonts w:ascii="Tahoma" w:hAnsi="Tahoma" w:cs="Tahoma"/>
        </w:rPr>
      </w:pPr>
      <w:r w:rsidRPr="000A1C8E">
        <w:rPr>
          <w:rFonts w:ascii="Tahoma" w:hAnsi="Tahoma" w:cs="Tahoma"/>
          <w:i/>
          <w:sz w:val="16"/>
          <w:szCs w:val="16"/>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rsidR="00023FE7" w:rsidRPr="000A1C8E" w:rsidRDefault="00D866A7">
      <w:pPr>
        <w:pStyle w:val="AppendixBodyText"/>
        <w:ind w:right="180"/>
        <w:rPr>
          <w:rFonts w:ascii="Tahoma" w:hAnsi="Tahoma" w:cs="Tahoma"/>
        </w:rPr>
      </w:pPr>
      <w:r w:rsidRPr="000A1C8E">
        <w:rPr>
          <w:rFonts w:ascii="Tahoma" w:hAnsi="Tahoma" w:cs="Tahoma"/>
          <w:i/>
          <w:sz w:val="16"/>
          <w:szCs w:val="16"/>
        </w:rPr>
        <w:t>*</w:t>
      </w:r>
      <w:r w:rsidR="00023FE7" w:rsidRPr="000A1C8E">
        <w:rPr>
          <w:rFonts w:ascii="Tahoma" w:hAnsi="Tahoma" w:cs="Tahoma"/>
          <w:i/>
          <w:sz w:val="16"/>
          <w:szCs w:val="16"/>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rsidR="00023FE7" w:rsidRPr="000A1C8E" w:rsidRDefault="00302B84" w:rsidP="0063466C">
      <w:pPr>
        <w:pStyle w:val="AppendixBodyText"/>
        <w:spacing w:after="0"/>
        <w:rPr>
          <w:rFonts w:ascii="Tahoma" w:hAnsi="Tahoma" w:cs="Tahoma"/>
        </w:rPr>
      </w:pPr>
      <w:r w:rsidRPr="000A1C8E">
        <w:rPr>
          <w:rFonts w:ascii="Tahoma" w:hAnsi="Tahoma" w:cs="Tahoma"/>
          <w:i/>
          <w:sz w:val="16"/>
        </w:rPr>
        <w:t>***Geralmente, as ofertas de assinatura que abrangem componentes de software compostos de software adaptado incluirão direitos da nova versão para esses componentes.</w:t>
      </w:r>
    </w:p>
    <w:p w:rsidR="00E0729E" w:rsidRPr="000A1C8E" w:rsidRDefault="00E0729E" w:rsidP="00E0729E">
      <w:pPr>
        <w:pStyle w:val="AppendixBodyText"/>
        <w:spacing w:after="0"/>
        <w:rPr>
          <w:rFonts w:ascii="Tahoma" w:hAnsi="Tahoma" w:cs="Tahoma"/>
        </w:rPr>
      </w:pPr>
      <w:r w:rsidRPr="000A1C8E">
        <w:rPr>
          <w:rFonts w:ascii="Tahoma" w:hAnsi="Tahoma" w:cs="Tahoma"/>
          <w:vertAlign w:val="superscript"/>
        </w:rPr>
        <w:t>1</w:t>
      </w:r>
      <w:r w:rsidRPr="000A1C8E">
        <w:rPr>
          <w:rFonts w:ascii="Tahoma" w:hAnsi="Tahoma" w:cs="Tahoma"/>
          <w:i/>
          <w:sz w:val="16"/>
        </w:rPr>
        <w:t>Não um benefício de SA para produtos Windows Embedded 8.</w:t>
      </w:r>
    </w:p>
    <w:p w:rsidR="00E0729E" w:rsidRPr="000A1C8E" w:rsidRDefault="00E0729E" w:rsidP="00E0729E">
      <w:pPr>
        <w:pStyle w:val="AppendixBodyText"/>
        <w:spacing w:after="0"/>
        <w:rPr>
          <w:rFonts w:ascii="Tahoma" w:hAnsi="Tahoma" w:cs="Tahoma"/>
        </w:rPr>
      </w:pPr>
      <w:r w:rsidRPr="000A1C8E">
        <w:rPr>
          <w:rFonts w:ascii="Tahoma" w:hAnsi="Tahoma" w:cs="Tahoma"/>
          <w:vertAlign w:val="superscript"/>
        </w:rPr>
        <w:t>2</w:t>
      </w:r>
      <w:r w:rsidRPr="000A1C8E">
        <w:rPr>
          <w:rFonts w:ascii="Tahoma" w:hAnsi="Tahoma" w:cs="Tahoma"/>
          <w:i/>
          <w:sz w:val="16"/>
        </w:rPr>
        <w:t>O SA em produtos Windows 8 Embedded permite os direitos de virtualização local, mas não o acesso a instâncias virtualizadas do software.</w:t>
      </w:r>
    </w:p>
    <w:p w:rsidR="00F76ED4" w:rsidRPr="000A1C8E" w:rsidRDefault="00F76ED4">
      <w:pPr>
        <w:rPr>
          <w:rFonts w:cs="Tahoma"/>
        </w:rPr>
      </w:pPr>
      <w:r w:rsidRPr="000A1C8E">
        <w:rPr>
          <w:rFonts w:cs="Tahoma"/>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0A1C8E" w:rsidTr="0044720D">
        <w:trPr>
          <w:trHeight w:val="60"/>
        </w:trPr>
        <w:tc>
          <w:tcPr>
            <w:tcW w:w="8280" w:type="dxa"/>
            <w:shd w:val="clear" w:color="auto" w:fill="FFCC99"/>
            <w:vAlign w:val="center"/>
          </w:tcPr>
          <w:p w:rsidR="00AD6AD6" w:rsidRPr="000A1C8E" w:rsidRDefault="00AD6AD6" w:rsidP="004B54F7">
            <w:pPr>
              <w:pStyle w:val="AppendixTableHeadings"/>
              <w:rPr>
                <w:rFonts w:ascii="Tahoma" w:hAnsi="Tahoma" w:cs="Tahoma"/>
                <w:sz w:val="20"/>
                <w:szCs w:val="20"/>
              </w:rPr>
            </w:pPr>
            <w:r w:rsidRPr="000A1C8E">
              <w:rPr>
                <w:rFonts w:ascii="Tahoma" w:hAnsi="Tahoma" w:cs="Tahoma"/>
                <w:sz w:val="20"/>
                <w:szCs w:val="20"/>
              </w:rPr>
              <w:lastRenderedPageBreak/>
              <w:t>Produtos do Pool de Aplicativos do Office System</w:t>
            </w:r>
          </w:p>
        </w:tc>
      </w:tr>
      <w:tr w:rsidR="00AD6AD6" w:rsidRPr="000A1C8E" w:rsidTr="0044720D">
        <w:trPr>
          <w:trHeight w:val="438"/>
        </w:trPr>
        <w:tc>
          <w:tcPr>
            <w:tcW w:w="8280" w:type="dxa"/>
            <w:vAlign w:val="center"/>
          </w:tcPr>
          <w:p w:rsidR="00AD6AD6" w:rsidRPr="000A1C8E" w:rsidRDefault="00AD6AD6" w:rsidP="004B54F7">
            <w:pPr>
              <w:spacing w:line="240" w:lineRule="atLeast"/>
              <w:rPr>
                <w:rFonts w:cs="Tahoma"/>
              </w:rPr>
            </w:pPr>
            <w:r w:rsidRPr="000A1C8E">
              <w:rPr>
                <w:rFonts w:cs="Tahoma"/>
                <w:color w:val="000000"/>
                <w:szCs w:val="18"/>
              </w:rPr>
              <w:t>Office Standard 2013</w:t>
            </w:r>
          </w:p>
          <w:p w:rsidR="00AD6AD6" w:rsidRPr="000A1C8E" w:rsidRDefault="00AD6AD6" w:rsidP="004B54F7">
            <w:pPr>
              <w:spacing w:line="240" w:lineRule="atLeast"/>
              <w:rPr>
                <w:rFonts w:cs="Tahoma"/>
              </w:rPr>
            </w:pPr>
            <w:r w:rsidRPr="000A1C8E">
              <w:rPr>
                <w:rFonts w:cs="Tahoma"/>
                <w:color w:val="000000"/>
                <w:szCs w:val="18"/>
              </w:rPr>
              <w:t>Office Professional Plus 2013</w:t>
            </w:r>
          </w:p>
          <w:p w:rsidR="00AD6AD6" w:rsidRPr="000A1C8E" w:rsidRDefault="00AD6AD6" w:rsidP="004B54F7">
            <w:pPr>
              <w:spacing w:line="240" w:lineRule="atLeast"/>
              <w:rPr>
                <w:rFonts w:cs="Tahoma"/>
              </w:rPr>
            </w:pPr>
            <w:r w:rsidRPr="000A1C8E">
              <w:rPr>
                <w:rFonts w:cs="Tahoma"/>
                <w:color w:val="000000"/>
                <w:szCs w:val="18"/>
              </w:rPr>
              <w:t>Project Standard 2013</w:t>
            </w:r>
          </w:p>
          <w:p w:rsidR="00AD6AD6" w:rsidRPr="000A1C8E" w:rsidRDefault="00AD6AD6" w:rsidP="004B54F7">
            <w:pPr>
              <w:spacing w:line="240" w:lineRule="atLeast"/>
              <w:rPr>
                <w:rFonts w:cs="Tahoma"/>
              </w:rPr>
            </w:pPr>
            <w:r w:rsidRPr="000A1C8E">
              <w:rPr>
                <w:rFonts w:cs="Tahoma"/>
                <w:color w:val="000000"/>
                <w:szCs w:val="18"/>
              </w:rPr>
              <w:t>Project Professional 2013</w:t>
            </w:r>
          </w:p>
          <w:p w:rsidR="00AD6AD6" w:rsidRPr="000A1C8E" w:rsidRDefault="00AD6AD6" w:rsidP="004B54F7">
            <w:pPr>
              <w:spacing w:line="240" w:lineRule="atLeast"/>
              <w:rPr>
                <w:rFonts w:cs="Tahoma"/>
              </w:rPr>
            </w:pPr>
            <w:r w:rsidRPr="000A1C8E">
              <w:rPr>
                <w:rFonts w:cs="Tahoma"/>
                <w:color w:val="000000"/>
                <w:szCs w:val="18"/>
              </w:rPr>
              <w:t>Visio</w:t>
            </w:r>
            <w:r w:rsidR="00C83286" w:rsidRPr="000A1C8E">
              <w:rPr>
                <w:rFonts w:cs="Tahoma"/>
                <w:color w:val="000000"/>
                <w:szCs w:val="18"/>
                <w:vertAlign w:val="superscript"/>
              </w:rPr>
              <w:t>®</w:t>
            </w:r>
            <w:r w:rsidRPr="000A1C8E">
              <w:rPr>
                <w:rFonts w:cs="Tahoma"/>
                <w:color w:val="000000"/>
                <w:szCs w:val="18"/>
              </w:rPr>
              <w:t xml:space="preserve"> Standard 2013</w:t>
            </w:r>
          </w:p>
          <w:p w:rsidR="00AD6AD6" w:rsidRPr="000A1C8E" w:rsidRDefault="00AD6AD6" w:rsidP="004B54F7">
            <w:pPr>
              <w:spacing w:line="240" w:lineRule="atLeast"/>
              <w:rPr>
                <w:rFonts w:cs="Tahoma"/>
              </w:rPr>
            </w:pPr>
            <w:r w:rsidRPr="000A1C8E">
              <w:rPr>
                <w:rFonts w:cs="Tahoma"/>
                <w:color w:val="000000"/>
                <w:szCs w:val="18"/>
              </w:rPr>
              <w:t>Visio</w:t>
            </w:r>
            <w:r w:rsidR="00C83286" w:rsidRPr="000A1C8E">
              <w:rPr>
                <w:rFonts w:cs="Tahoma"/>
                <w:color w:val="000000"/>
                <w:szCs w:val="18"/>
                <w:vertAlign w:val="superscript"/>
              </w:rPr>
              <w:t>®</w:t>
            </w:r>
            <w:r w:rsidRPr="000A1C8E">
              <w:rPr>
                <w:rFonts w:cs="Tahoma"/>
                <w:color w:val="000000"/>
                <w:szCs w:val="18"/>
              </w:rPr>
              <w:t xml:space="preserve"> Professional 2013</w:t>
            </w:r>
          </w:p>
          <w:p w:rsidR="00AD6AD6" w:rsidRPr="000A1C8E" w:rsidRDefault="00AD6AD6" w:rsidP="004B54F7">
            <w:pPr>
              <w:spacing w:line="240" w:lineRule="atLeast"/>
              <w:rPr>
                <w:rFonts w:cs="Tahoma"/>
              </w:rPr>
            </w:pPr>
            <w:r w:rsidRPr="000A1C8E">
              <w:rPr>
                <w:rFonts w:cs="Tahoma"/>
                <w:color w:val="000000"/>
                <w:szCs w:val="18"/>
              </w:rPr>
              <w:t>Access 2013</w:t>
            </w:r>
          </w:p>
          <w:p w:rsidR="00AD6AD6" w:rsidRPr="000A1C8E" w:rsidRDefault="00AD6AD6" w:rsidP="004B54F7">
            <w:pPr>
              <w:spacing w:line="240" w:lineRule="atLeast"/>
              <w:rPr>
                <w:rFonts w:cs="Tahoma"/>
              </w:rPr>
            </w:pPr>
            <w:r w:rsidRPr="000A1C8E">
              <w:rPr>
                <w:rFonts w:cs="Tahoma"/>
                <w:color w:val="000000"/>
                <w:szCs w:val="18"/>
              </w:rPr>
              <w:t xml:space="preserve">Excel 2013 </w:t>
            </w:r>
          </w:p>
          <w:p w:rsidR="00AD6AD6" w:rsidRPr="000A1C8E" w:rsidRDefault="00AD6AD6" w:rsidP="004B54F7">
            <w:pPr>
              <w:spacing w:line="240" w:lineRule="atLeast"/>
              <w:rPr>
                <w:rFonts w:cs="Tahoma"/>
              </w:rPr>
            </w:pPr>
            <w:r w:rsidRPr="000A1C8E">
              <w:rPr>
                <w:rFonts w:cs="Tahoma"/>
                <w:color w:val="000000"/>
                <w:szCs w:val="18"/>
              </w:rPr>
              <w:t>InfoPath</w:t>
            </w:r>
            <w:r w:rsidR="00C83286" w:rsidRPr="000A1C8E">
              <w:rPr>
                <w:rFonts w:cs="Tahoma"/>
                <w:color w:val="000000"/>
                <w:szCs w:val="18"/>
                <w:vertAlign w:val="superscript"/>
              </w:rPr>
              <w:t>®</w:t>
            </w:r>
            <w:r w:rsidRPr="000A1C8E">
              <w:rPr>
                <w:rFonts w:cs="Tahoma"/>
                <w:color w:val="000000"/>
                <w:szCs w:val="18"/>
              </w:rPr>
              <w:t xml:space="preserve"> 2013</w:t>
            </w:r>
          </w:p>
          <w:p w:rsidR="00AD6AD6" w:rsidRPr="000A1C8E" w:rsidRDefault="00AD6AD6" w:rsidP="004B54F7">
            <w:pPr>
              <w:spacing w:line="240" w:lineRule="atLeast"/>
              <w:rPr>
                <w:rFonts w:cs="Tahoma"/>
              </w:rPr>
            </w:pPr>
            <w:r w:rsidRPr="000A1C8E">
              <w:rPr>
                <w:rFonts w:cs="Tahoma"/>
                <w:color w:val="000000"/>
                <w:szCs w:val="18"/>
              </w:rPr>
              <w:t>Lync 2013</w:t>
            </w:r>
          </w:p>
          <w:p w:rsidR="00AD6AD6" w:rsidRPr="000A1C8E" w:rsidRDefault="00AD6AD6" w:rsidP="004B54F7">
            <w:pPr>
              <w:spacing w:line="240" w:lineRule="atLeast"/>
              <w:rPr>
                <w:rFonts w:cs="Tahoma"/>
              </w:rPr>
            </w:pPr>
            <w:r w:rsidRPr="000A1C8E">
              <w:rPr>
                <w:rFonts w:cs="Tahoma"/>
                <w:color w:val="000000"/>
                <w:szCs w:val="18"/>
              </w:rPr>
              <w:t>OneNote™ 2013</w:t>
            </w:r>
          </w:p>
          <w:p w:rsidR="00AD6AD6" w:rsidRPr="000A1C8E" w:rsidRDefault="00AD6AD6" w:rsidP="004B54F7">
            <w:pPr>
              <w:spacing w:line="240" w:lineRule="atLeast"/>
              <w:rPr>
                <w:rFonts w:cs="Tahoma"/>
              </w:rPr>
            </w:pPr>
            <w:r w:rsidRPr="000A1C8E">
              <w:rPr>
                <w:rFonts w:cs="Tahoma"/>
                <w:color w:val="000000"/>
                <w:szCs w:val="18"/>
              </w:rPr>
              <w:t>Outlook</w:t>
            </w:r>
            <w:r w:rsidR="00C83286" w:rsidRPr="000A1C8E">
              <w:rPr>
                <w:rFonts w:cs="Tahoma"/>
                <w:color w:val="000000"/>
                <w:szCs w:val="18"/>
                <w:vertAlign w:val="superscript"/>
              </w:rPr>
              <w:t>®</w:t>
            </w:r>
            <w:r w:rsidRPr="000A1C8E">
              <w:rPr>
                <w:rFonts w:cs="Tahoma"/>
                <w:color w:val="000000"/>
                <w:szCs w:val="18"/>
              </w:rPr>
              <w:t xml:space="preserve"> 2013</w:t>
            </w:r>
          </w:p>
          <w:p w:rsidR="00AD6AD6" w:rsidRPr="000A1C8E" w:rsidRDefault="00AD6AD6" w:rsidP="004B54F7">
            <w:pPr>
              <w:spacing w:line="240" w:lineRule="atLeast"/>
              <w:rPr>
                <w:rFonts w:cs="Tahoma"/>
              </w:rPr>
            </w:pPr>
            <w:r w:rsidRPr="000A1C8E">
              <w:rPr>
                <w:rFonts w:cs="Tahoma"/>
                <w:color w:val="000000"/>
                <w:szCs w:val="18"/>
              </w:rPr>
              <w:t>PowerPoint</w:t>
            </w:r>
            <w:r w:rsidR="00C83286" w:rsidRPr="000A1C8E">
              <w:rPr>
                <w:rFonts w:cs="Tahoma"/>
                <w:color w:val="000000"/>
                <w:szCs w:val="18"/>
                <w:vertAlign w:val="superscript"/>
              </w:rPr>
              <w:t>®</w:t>
            </w:r>
            <w:r w:rsidRPr="000A1C8E">
              <w:rPr>
                <w:rFonts w:cs="Tahoma"/>
                <w:color w:val="000000"/>
                <w:szCs w:val="18"/>
              </w:rPr>
              <w:t xml:space="preserve"> 2013</w:t>
            </w:r>
          </w:p>
          <w:p w:rsidR="00AD6AD6" w:rsidRPr="000A1C8E" w:rsidRDefault="00AD6AD6" w:rsidP="004B54F7">
            <w:pPr>
              <w:spacing w:line="240" w:lineRule="atLeast"/>
              <w:rPr>
                <w:rFonts w:cs="Tahoma"/>
              </w:rPr>
            </w:pPr>
            <w:r w:rsidRPr="000A1C8E">
              <w:rPr>
                <w:rFonts w:cs="Tahoma"/>
                <w:color w:val="000000"/>
                <w:szCs w:val="18"/>
              </w:rPr>
              <w:t>Publisher 2013</w:t>
            </w:r>
          </w:p>
          <w:p w:rsidR="00AD6AD6" w:rsidRPr="000A1C8E" w:rsidRDefault="00AD6AD6" w:rsidP="004B54F7">
            <w:pPr>
              <w:spacing w:line="240" w:lineRule="atLeast"/>
              <w:rPr>
                <w:rFonts w:cs="Tahoma"/>
              </w:rPr>
            </w:pPr>
            <w:r w:rsidRPr="000A1C8E">
              <w:rPr>
                <w:rFonts w:cs="Tahoma"/>
                <w:color w:val="000000"/>
                <w:szCs w:val="18"/>
              </w:rPr>
              <w:t>Word 2013</w:t>
            </w:r>
          </w:p>
          <w:p w:rsidR="00AD6AD6" w:rsidRPr="000A1C8E" w:rsidRDefault="00AD6AD6" w:rsidP="004B54F7">
            <w:pPr>
              <w:spacing w:line="240" w:lineRule="atLeast"/>
              <w:rPr>
                <w:rFonts w:cs="Tahoma"/>
              </w:rPr>
            </w:pPr>
            <w:r w:rsidRPr="000A1C8E">
              <w:rPr>
                <w:rFonts w:cs="Tahoma"/>
                <w:color w:val="000000"/>
                <w:szCs w:val="18"/>
              </w:rPr>
              <w:t xml:space="preserve">Office para Mac Standard 2011 </w:t>
            </w:r>
          </w:p>
          <w:p w:rsidR="00AD6AD6" w:rsidRPr="000A1C8E" w:rsidRDefault="00AD6AD6" w:rsidP="004B54F7">
            <w:pPr>
              <w:spacing w:line="240" w:lineRule="atLeast"/>
              <w:rPr>
                <w:rFonts w:cs="Tahoma"/>
              </w:rPr>
            </w:pPr>
            <w:r w:rsidRPr="000A1C8E">
              <w:rPr>
                <w:rFonts w:cs="Tahoma"/>
                <w:color w:val="000000"/>
                <w:szCs w:val="18"/>
              </w:rPr>
              <w:t>Lync para Mac 2011</w:t>
            </w:r>
          </w:p>
          <w:p w:rsidR="00061A45" w:rsidRPr="000A1C8E" w:rsidRDefault="007C4ADB" w:rsidP="004B54F7">
            <w:pPr>
              <w:spacing w:line="240" w:lineRule="atLeast"/>
              <w:rPr>
                <w:rFonts w:cs="Tahoma"/>
              </w:rPr>
            </w:pPr>
            <w:r w:rsidRPr="000A1C8E">
              <w:rPr>
                <w:rFonts w:cs="Tahoma"/>
                <w:color w:val="000000"/>
                <w:szCs w:val="18"/>
              </w:rPr>
              <w:t>Outlook para Mac 2011</w:t>
            </w:r>
          </w:p>
          <w:p w:rsidR="00AD6AD6" w:rsidRPr="000A1C8E" w:rsidRDefault="00AD6AD6" w:rsidP="004B54F7">
            <w:pPr>
              <w:spacing w:line="240" w:lineRule="atLeast"/>
              <w:rPr>
                <w:rFonts w:cs="Tahoma"/>
              </w:rPr>
            </w:pPr>
            <w:r w:rsidRPr="000A1C8E">
              <w:rPr>
                <w:rFonts w:cs="Tahoma"/>
                <w:color w:val="000000"/>
                <w:szCs w:val="18"/>
              </w:rPr>
              <w:t>PowerPoint para Mac 2011</w:t>
            </w:r>
          </w:p>
          <w:p w:rsidR="00AD6AD6" w:rsidRPr="000A1C8E" w:rsidRDefault="00AD6AD6" w:rsidP="004B54F7">
            <w:pPr>
              <w:spacing w:line="240" w:lineRule="atLeast"/>
              <w:rPr>
                <w:rFonts w:cs="Tahoma"/>
              </w:rPr>
            </w:pPr>
            <w:r w:rsidRPr="000A1C8E">
              <w:rPr>
                <w:rFonts w:cs="Tahoma"/>
                <w:color w:val="000000"/>
                <w:szCs w:val="18"/>
              </w:rPr>
              <w:t>Excel para Mac 2011</w:t>
            </w:r>
          </w:p>
          <w:p w:rsidR="00AD6AD6" w:rsidRPr="000A1C8E" w:rsidRDefault="00AD6AD6" w:rsidP="004B54F7">
            <w:pPr>
              <w:spacing w:line="240" w:lineRule="atLeast"/>
              <w:rPr>
                <w:rFonts w:cs="Tahoma"/>
                <w:color w:val="000000"/>
                <w:szCs w:val="18"/>
              </w:rPr>
            </w:pPr>
            <w:r w:rsidRPr="000A1C8E">
              <w:rPr>
                <w:rFonts w:cs="Tahoma"/>
                <w:color w:val="000000"/>
                <w:szCs w:val="18"/>
              </w:rPr>
              <w:t>Word para Mac 2011</w:t>
            </w:r>
          </w:p>
        </w:tc>
      </w:tr>
    </w:tbl>
    <w:p w:rsidR="00D8064F" w:rsidRPr="000A1C8E" w:rsidRDefault="00AD6AD6" w:rsidP="0044720D">
      <w:pPr>
        <w:pStyle w:val="AppendixBodyText"/>
        <w:spacing w:after="0"/>
        <w:ind w:firstLine="550"/>
        <w:rPr>
          <w:rFonts w:ascii="Tahoma" w:hAnsi="Tahoma" w:cs="Tahoma"/>
        </w:rPr>
      </w:pPr>
      <w:r w:rsidRPr="000A1C8E">
        <w:rPr>
          <w:rFonts w:ascii="Tahoma" w:hAnsi="Tahoma" w:cs="Tahoma"/>
          <w:b/>
          <w:i/>
          <w:sz w:val="16"/>
          <w:szCs w:val="16"/>
        </w:rPr>
        <w:t>Observação:</w:t>
      </w:r>
      <w:r w:rsidRPr="000A1C8E">
        <w:rPr>
          <w:rFonts w:ascii="Tahoma" w:hAnsi="Tahoma" w:cs="Tahoma"/>
          <w:i/>
          <w:sz w:val="16"/>
          <w:szCs w:val="16"/>
        </w:rPr>
        <w:t xml:space="preserve"> a lista de produtos do Pool de Aplicativos do Office System está sujeita a alterações.</w:t>
      </w:r>
    </w:p>
    <w:p w:rsidR="00BA0707" w:rsidRPr="000A1C8E" w:rsidRDefault="00BA0707" w:rsidP="0063466C">
      <w:pPr>
        <w:pStyle w:val="AppendixBodyText"/>
        <w:spacing w:after="0"/>
        <w:rPr>
          <w:rFonts w:ascii="Tahoma" w:hAnsi="Tahoma" w:cs="Tahoma"/>
          <w:bCs/>
          <w:sz w:val="18"/>
          <w:szCs w:val="16"/>
        </w:rPr>
      </w:pPr>
    </w:p>
    <w:p w:rsidR="00023FE7" w:rsidRPr="000A1C8E" w:rsidRDefault="00023FE7">
      <w:pPr>
        <w:pStyle w:val="Heading2"/>
        <w:ind w:left="0"/>
        <w:rPr>
          <w:rFonts w:ascii="Tahoma" w:hAnsi="Tahoma" w:cs="Tahoma"/>
        </w:rPr>
      </w:pPr>
      <w:bookmarkStart w:id="724" w:name="_Toc336338228"/>
      <w:bookmarkStart w:id="725" w:name="_Toc361829312"/>
      <w:r w:rsidRPr="000A1C8E">
        <w:rPr>
          <w:rFonts w:ascii="Tahoma" w:hAnsi="Tahoma" w:cs="Tahoma"/>
        </w:rPr>
        <w:t>Direitos à Nova Versão</w:t>
      </w:r>
      <w:bookmarkEnd w:id="724"/>
      <w:bookmarkEnd w:id="725"/>
    </w:p>
    <w:p w:rsidR="00023FE7" w:rsidRPr="000A1C8E" w:rsidRDefault="00023FE7" w:rsidP="00BA0707">
      <w:pPr>
        <w:rPr>
          <w:rFonts w:cs="Tahoma"/>
        </w:rPr>
      </w:pPr>
    </w:p>
    <w:p w:rsidR="00023FE7" w:rsidRPr="000A1C8E" w:rsidRDefault="00023FE7" w:rsidP="0063466C">
      <w:pPr>
        <w:pStyle w:val="AppendixBodyText"/>
        <w:spacing w:after="0"/>
        <w:rPr>
          <w:rFonts w:ascii="Tahoma" w:hAnsi="Tahoma" w:cs="Tahoma"/>
        </w:rPr>
      </w:pPr>
      <w:r w:rsidRPr="000A1C8E">
        <w:rPr>
          <w:rFonts w:ascii="Tahoma" w:hAnsi="Tahoma" w:cs="Tahoma"/>
          <w:color w:val="000000"/>
          <w:sz w:val="18"/>
        </w:rPr>
        <w:t>Com o Software Assurance, os clientes estão qualificados a atualizar para novas versões de softwares licenciados disponibilizados durante o prazo da cobertura do Software Assurance.</w:t>
      </w:r>
      <w:r w:rsidR="00DC6D8B" w:rsidRPr="000A1C8E">
        <w:rPr>
          <w:rFonts w:ascii="Tahoma" w:hAnsi="Tahoma" w:cs="Tahoma"/>
          <w:color w:val="000000"/>
          <w:sz w:val="18"/>
        </w:rPr>
        <w:t xml:space="preserve"> </w:t>
      </w:r>
      <w:r w:rsidRPr="000A1C8E">
        <w:rPr>
          <w:rFonts w:ascii="Tahoma" w:hAnsi="Tahoma" w:cs="Tahoma"/>
          <w:color w:val="000000"/>
          <w:sz w:val="18"/>
        </w:rPr>
        <w:t>“Direitos à Nova Versão” significa, para qualquer produto subjacente licenciado para o qual a cobertura do Software Assurance é solicitada, o direito de</w:t>
      </w:r>
      <w:r w:rsidR="00336EE3" w:rsidRPr="000A1C8E">
        <w:rPr>
          <w:rFonts w:ascii="Tahoma" w:hAnsi="Tahoma" w:cs="Tahoma"/>
          <w:color w:val="000000"/>
          <w:sz w:val="18"/>
        </w:rPr>
        <w:t> </w:t>
      </w:r>
      <w:r w:rsidRPr="000A1C8E">
        <w:rPr>
          <w:rFonts w:ascii="Tahoma" w:hAnsi="Tahoma" w:cs="Tahoma"/>
          <w:color w:val="000000"/>
          <w:sz w:val="18"/>
        </w:rPr>
        <w:t>atualizar para, e executar em lugar do produto subjacente licenciado, a versão mais recente desse produto disponibilizado durante o período da cobertura.</w:t>
      </w:r>
      <w:r w:rsidR="00DC6D8B" w:rsidRPr="000A1C8E">
        <w:rPr>
          <w:rFonts w:ascii="Tahoma" w:hAnsi="Tahoma" w:cs="Tahoma"/>
          <w:color w:val="000000"/>
          <w:sz w:val="18"/>
        </w:rPr>
        <w:t xml:space="preserve"> </w:t>
      </w:r>
      <w:r w:rsidRPr="000A1C8E">
        <w:rPr>
          <w:rFonts w:ascii="Tahoma" w:hAnsi="Tahoma" w:cs="Tahoma"/>
          <w:color w:val="000000"/>
          <w:sz w:val="18"/>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rsidR="00BA0707" w:rsidRPr="000A1C8E" w:rsidRDefault="00BA0707" w:rsidP="0063466C">
      <w:pPr>
        <w:pStyle w:val="AppendixBodyText"/>
        <w:spacing w:after="0"/>
        <w:rPr>
          <w:rFonts w:ascii="Tahoma" w:hAnsi="Tahoma" w:cs="Tahoma"/>
        </w:rPr>
      </w:pPr>
    </w:p>
    <w:p w:rsidR="00023FE7" w:rsidRPr="000A1C8E" w:rsidRDefault="00023FE7">
      <w:pPr>
        <w:pStyle w:val="Heading2"/>
        <w:ind w:left="0"/>
        <w:rPr>
          <w:rFonts w:ascii="Tahoma" w:hAnsi="Tahoma" w:cs="Tahoma"/>
        </w:rPr>
      </w:pPr>
      <w:bookmarkStart w:id="726" w:name="_Toc336338229"/>
      <w:bookmarkStart w:id="727" w:name="_Toc361829313"/>
      <w:r w:rsidRPr="000A1C8E">
        <w:rPr>
          <w:rFonts w:ascii="Tahoma" w:hAnsi="Tahoma" w:cs="Tahoma"/>
        </w:rPr>
        <w:t>Pacote Multilíngue do Office</w:t>
      </w:r>
      <w:bookmarkEnd w:id="726"/>
      <w:bookmarkEnd w:id="727"/>
    </w:p>
    <w:p w:rsidR="00023FE7" w:rsidRPr="000A1C8E" w:rsidRDefault="00023FE7" w:rsidP="00BA0707">
      <w:pPr>
        <w:rPr>
          <w:rFonts w:cs="Tahoma"/>
        </w:rPr>
      </w:pPr>
    </w:p>
    <w:p w:rsidR="0063466C" w:rsidRPr="000A1C8E" w:rsidRDefault="00E7419A" w:rsidP="0063466C">
      <w:pPr>
        <w:spacing w:after="60"/>
        <w:jc w:val="both"/>
        <w:rPr>
          <w:rFonts w:cs="Tahoma"/>
        </w:rPr>
      </w:pPr>
      <w:r w:rsidRPr="000A1C8E">
        <w:rPr>
          <w:rFonts w:cs="Tahoma"/>
          <w:b/>
          <w:szCs w:val="18"/>
        </w:rPr>
        <w:t>Clientes do Software Assurance</w:t>
      </w:r>
    </w:p>
    <w:p w:rsidR="00E7419A" w:rsidRPr="000A1C8E" w:rsidRDefault="00E7419A" w:rsidP="00E7419A">
      <w:pPr>
        <w:jc w:val="both"/>
        <w:rPr>
          <w:rFonts w:cs="Tahoma"/>
        </w:rPr>
      </w:pPr>
      <w:r w:rsidRPr="000A1C8E">
        <w:rPr>
          <w:rFonts w:cs="Tahoma"/>
          <w:szCs w:val="18"/>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rsidR="0063466C" w:rsidRPr="000A1C8E" w:rsidRDefault="0063466C" w:rsidP="00E7419A">
      <w:pPr>
        <w:jc w:val="both"/>
        <w:rPr>
          <w:rFonts w:cs="Tahoma"/>
        </w:rPr>
      </w:pPr>
    </w:p>
    <w:p w:rsidR="0063466C" w:rsidRPr="000A1C8E" w:rsidRDefault="00E7419A" w:rsidP="0063466C">
      <w:pPr>
        <w:spacing w:after="60"/>
        <w:jc w:val="both"/>
        <w:rPr>
          <w:rFonts w:cs="Tahoma"/>
        </w:rPr>
      </w:pPr>
      <w:r w:rsidRPr="000A1C8E">
        <w:rPr>
          <w:rFonts w:cs="Tahoma"/>
          <w:b/>
          <w:szCs w:val="18"/>
        </w:rPr>
        <w:t>Clientes qualificados para os Benefícios de Serviços Online</w:t>
      </w:r>
    </w:p>
    <w:p w:rsidR="00E7419A" w:rsidRPr="000A1C8E" w:rsidRDefault="00E7419A" w:rsidP="00E7419A">
      <w:pPr>
        <w:jc w:val="both"/>
        <w:rPr>
          <w:rFonts w:cs="Tahoma"/>
        </w:rPr>
      </w:pPr>
      <w:r w:rsidRPr="000A1C8E">
        <w:rPr>
          <w:rFonts w:cs="Tahoma"/>
          <w:szCs w:val="18"/>
        </w:rPr>
        <w:t xml:space="preserve">Clientes com o Office ProPlus para Office 365 e Office 365 Enterprise E3 e E4 estão qualificados para usar esse benefício durante o prazo de seu respectivo registro. </w:t>
      </w:r>
    </w:p>
    <w:p w:rsidR="00023FE7" w:rsidRPr="000A1C8E" w:rsidRDefault="00023FE7" w:rsidP="00BA0707">
      <w:pPr>
        <w:jc w:val="both"/>
        <w:rPr>
          <w:rFonts w:cs="Tahoma"/>
        </w:rPr>
      </w:pPr>
    </w:p>
    <w:p w:rsidR="00023FE7" w:rsidRPr="000A1C8E" w:rsidRDefault="00023FE7">
      <w:pPr>
        <w:jc w:val="both"/>
        <w:rPr>
          <w:rFonts w:cs="Tahoma"/>
        </w:rPr>
      </w:pPr>
      <w:r w:rsidRPr="000A1C8E">
        <w:rPr>
          <w:rFonts w:cs="Tahoma"/>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DC6D8B" w:rsidRPr="000A1C8E">
        <w:rPr>
          <w:rFonts w:cs="Tahoma"/>
        </w:rPr>
        <w:t xml:space="preserve"> </w:t>
      </w:r>
      <w:r w:rsidRPr="000A1C8E">
        <w:rPr>
          <w:rFonts w:cs="Tahoma"/>
        </w:rPr>
        <w:t xml:space="preserve">Caso contrário, o direito de uso do Pacote Multilíngue do Office se encerrará no término dos direitos concedidos sob a licença qualificada do Office System. </w:t>
      </w:r>
    </w:p>
    <w:p w:rsidR="00BA0707" w:rsidRPr="000A1C8E" w:rsidRDefault="00BA0707" w:rsidP="00BA0707">
      <w:pPr>
        <w:jc w:val="both"/>
        <w:rPr>
          <w:rFonts w:cs="Tahoma"/>
        </w:rPr>
      </w:pPr>
    </w:p>
    <w:p w:rsidR="008372DC" w:rsidRPr="000A1C8E" w:rsidRDefault="008372DC" w:rsidP="00BA0707">
      <w:pPr>
        <w:jc w:val="both"/>
        <w:rPr>
          <w:rFonts w:cs="Tahoma"/>
        </w:rPr>
      </w:pPr>
    </w:p>
    <w:p w:rsidR="008372DC" w:rsidRPr="000A1C8E" w:rsidRDefault="008372DC" w:rsidP="00BA0707">
      <w:pPr>
        <w:jc w:val="both"/>
        <w:rPr>
          <w:rFonts w:cs="Tahoma"/>
        </w:rPr>
      </w:pPr>
    </w:p>
    <w:p w:rsidR="000D4ECA" w:rsidRPr="000A1C8E" w:rsidRDefault="000D4ECA" w:rsidP="008372DC">
      <w:pPr>
        <w:outlineLvl w:val="1"/>
        <w:rPr>
          <w:rFonts w:cs="Tahoma"/>
        </w:rPr>
      </w:pPr>
      <w:bookmarkStart w:id="728" w:name="_Toc291204555"/>
      <w:r w:rsidRPr="000A1C8E">
        <w:rPr>
          <w:rFonts w:cs="Tahoma"/>
          <w:b/>
          <w:sz w:val="24"/>
          <w:szCs w:val="24"/>
        </w:rPr>
        <w:lastRenderedPageBreak/>
        <w:t>Serviços de Planejamento</w:t>
      </w:r>
      <w:bookmarkEnd w:id="728"/>
    </w:p>
    <w:p w:rsidR="000D4ECA" w:rsidRPr="000A1C8E" w:rsidRDefault="000D4ECA" w:rsidP="008372DC">
      <w:pPr>
        <w:rPr>
          <w:rFonts w:cs="Tahoma"/>
        </w:rPr>
      </w:pPr>
    </w:p>
    <w:p w:rsidR="000D4ECA" w:rsidRPr="000A1C8E" w:rsidRDefault="000D4ECA" w:rsidP="008372DC">
      <w:pPr>
        <w:spacing w:after="60"/>
        <w:rPr>
          <w:rFonts w:cs="Tahoma"/>
        </w:rPr>
      </w:pPr>
      <w:r w:rsidRPr="000A1C8E">
        <w:rPr>
          <w:rFonts w:cs="Tahoma"/>
          <w:color w:val="000000"/>
          <w:szCs w:val="18"/>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DC6D8B" w:rsidRPr="000A1C8E">
        <w:rPr>
          <w:rFonts w:cs="Tahoma"/>
          <w:color w:val="000000"/>
          <w:szCs w:val="18"/>
        </w:rPr>
        <w:t xml:space="preserve"> </w:t>
      </w:r>
      <w:r w:rsidRPr="000A1C8E">
        <w:rPr>
          <w:rFonts w:cs="Tahoma"/>
          <w:color w:val="000000"/>
          <w:szCs w:val="18"/>
        </w:rPr>
        <w:t>O benefício Serviços de Planejamento fornece aos clientes qualificados ofertas de serviços personalizados predefinidas.</w:t>
      </w:r>
      <w:r w:rsidR="00DC6D8B" w:rsidRPr="000A1C8E">
        <w:rPr>
          <w:rFonts w:cs="Tahoma"/>
          <w:color w:val="000000"/>
          <w:szCs w:val="18"/>
        </w:rPr>
        <w:t xml:space="preserve"> </w:t>
      </w:r>
      <w:r w:rsidRPr="000A1C8E">
        <w:rPr>
          <w:rFonts w:cs="Tahoma"/>
          <w:color w:val="000000"/>
          <w:szCs w:val="18"/>
        </w:rPr>
        <w:t>As ofertas disponíveis incluem:</w:t>
      </w:r>
    </w:p>
    <w:p w:rsidR="000D4ECA" w:rsidRPr="000A1C8E" w:rsidRDefault="000D4ECA" w:rsidP="0063466C">
      <w:pPr>
        <w:rPr>
          <w:rFonts w:cs="Tahoma"/>
        </w:rPr>
      </w:pPr>
    </w:p>
    <w:p w:rsidR="000D4ECA" w:rsidRPr="000A1C8E" w:rsidRDefault="000D4ECA" w:rsidP="00024C3C">
      <w:pPr>
        <w:numPr>
          <w:ilvl w:val="0"/>
          <w:numId w:val="10"/>
        </w:numPr>
        <w:spacing w:after="60" w:line="276" w:lineRule="auto"/>
        <w:rPr>
          <w:rFonts w:cs="Tahoma"/>
        </w:rPr>
      </w:pPr>
      <w:r w:rsidRPr="000A1C8E">
        <w:rPr>
          <w:rFonts w:cs="Tahoma"/>
          <w:color w:val="000000"/>
          <w:szCs w:val="18"/>
        </w:rPr>
        <w:t>Desktop Deployment Planning Services (DDPS)</w:t>
      </w:r>
    </w:p>
    <w:p w:rsidR="000D4ECA" w:rsidRPr="000A1C8E" w:rsidRDefault="000D4ECA" w:rsidP="00346F4B">
      <w:pPr>
        <w:numPr>
          <w:ilvl w:val="1"/>
          <w:numId w:val="104"/>
        </w:numPr>
        <w:spacing w:after="60" w:line="276" w:lineRule="auto"/>
        <w:ind w:left="1980"/>
        <w:rPr>
          <w:rFonts w:cs="Tahoma"/>
        </w:rPr>
      </w:pPr>
      <w:r w:rsidRPr="000A1C8E">
        <w:rPr>
          <w:rFonts w:cs="Tahoma"/>
          <w:color w:val="000000"/>
          <w:szCs w:val="18"/>
        </w:rPr>
        <w:t>Descrição: O DDPS fornece aos clientes a análise fundamental, os procedimentos técnicos e de planejamento necessários para iniciar a implantação do desktop com o Office 2010 e</w:t>
      </w:r>
      <w:r w:rsidR="00336EE3" w:rsidRPr="000A1C8E">
        <w:rPr>
          <w:rFonts w:cs="Tahoma"/>
          <w:color w:val="000000"/>
          <w:szCs w:val="18"/>
        </w:rPr>
        <w:t> </w:t>
      </w:r>
      <w:r w:rsidRPr="000A1C8E">
        <w:rPr>
          <w:rFonts w:cs="Tahoma"/>
          <w:color w:val="000000"/>
          <w:szCs w:val="18"/>
        </w:rPr>
        <w:t>o</w:t>
      </w:r>
      <w:r w:rsidR="00336EE3" w:rsidRPr="000A1C8E">
        <w:rPr>
          <w:rFonts w:cs="Tahoma"/>
          <w:color w:val="000000"/>
          <w:szCs w:val="18"/>
        </w:rPr>
        <w:t> </w:t>
      </w:r>
      <w:r w:rsidRPr="000A1C8E">
        <w:rPr>
          <w:rFonts w:cs="Tahoma"/>
          <w:color w:val="000000"/>
          <w:szCs w:val="18"/>
        </w:rPr>
        <w:t>Windows 8. Essa oferta é baseada nas práticas recomendadas da Microsoft para implantação de desktop e ajuda os clientes e reduzir o custo, o risco e a complexidade das implantações por meio de altos níveis de processo e automação. O DDPS também pode auxiliar as organizações a avaliar o Office 365 abordando a consideração e os requisitos para adoção de um ambiente de desktop preparado para nuvem.</w:t>
      </w:r>
    </w:p>
    <w:p w:rsidR="000D4ECA" w:rsidRPr="000A1C8E" w:rsidRDefault="000D4ECA" w:rsidP="00346F4B">
      <w:pPr>
        <w:numPr>
          <w:ilvl w:val="1"/>
          <w:numId w:val="104"/>
        </w:numPr>
        <w:spacing w:after="60" w:line="276" w:lineRule="auto"/>
        <w:ind w:left="1980"/>
        <w:rPr>
          <w:rFonts w:cs="Tahoma"/>
        </w:rPr>
      </w:pPr>
      <w:r w:rsidRPr="000A1C8E">
        <w:rPr>
          <w:rFonts w:cs="Tahoma"/>
          <w:color w:val="000000"/>
          <w:szCs w:val="18"/>
        </w:rPr>
        <w:t>Níveis de Serviço: 1, 3, 5, 10 ou 15 dias</w:t>
      </w:r>
    </w:p>
    <w:p w:rsidR="000D4ECA" w:rsidRPr="000A1C8E" w:rsidRDefault="000D4ECA" w:rsidP="00024C3C">
      <w:pPr>
        <w:numPr>
          <w:ilvl w:val="0"/>
          <w:numId w:val="11"/>
        </w:numPr>
        <w:spacing w:after="60" w:line="276" w:lineRule="auto"/>
        <w:ind w:left="1440"/>
        <w:rPr>
          <w:rFonts w:cs="Tahoma"/>
        </w:rPr>
      </w:pPr>
      <w:r w:rsidRPr="000A1C8E">
        <w:rPr>
          <w:rFonts w:cs="Tahoma"/>
          <w:color w:val="000000"/>
          <w:szCs w:val="18"/>
        </w:rPr>
        <w:t>SharePoint Deployment Planning Services (SDPS)</w:t>
      </w:r>
    </w:p>
    <w:p w:rsidR="000D4ECA" w:rsidRPr="000A1C8E" w:rsidRDefault="000D4ECA" w:rsidP="00346F4B">
      <w:pPr>
        <w:numPr>
          <w:ilvl w:val="1"/>
          <w:numId w:val="105"/>
        </w:numPr>
        <w:spacing w:after="60" w:line="276" w:lineRule="auto"/>
        <w:ind w:left="1980"/>
        <w:rPr>
          <w:rFonts w:cs="Tahoma"/>
        </w:rPr>
      </w:pPr>
      <w:r w:rsidRPr="000A1C8E">
        <w:rPr>
          <w:rFonts w:cs="Tahoma"/>
          <w:color w:val="000000"/>
          <w:szCs w:val="18"/>
        </w:rPr>
        <w:t>Descrição: o SDPS permite que parceiros qualificados e consultores da Microsoft ajudem os clientes a desenvolver um plano de implantação do SharePoint Portal Server personalizado para o ambiente específico e avaliar os custos gerais da implantação da tecnologia.</w:t>
      </w:r>
      <w:r w:rsidR="00DC6D8B" w:rsidRPr="000A1C8E">
        <w:rPr>
          <w:rFonts w:cs="Tahoma"/>
          <w:color w:val="000000"/>
          <w:szCs w:val="18"/>
        </w:rPr>
        <w:t xml:space="preserve"> </w:t>
      </w:r>
      <w:r w:rsidRPr="000A1C8E">
        <w:rPr>
          <w:rFonts w:cs="Tahoma"/>
          <w:color w:val="000000"/>
          <w:szCs w:val="18"/>
        </w:rPr>
        <w:t>O SDPS também pode ajudar os clientes com o planejamento do desenvolvimento com o objetivo de auxiliar na transição para o Office 365, concentrando-se no SharePoint Online.</w:t>
      </w:r>
      <w:r w:rsidR="00DC6D8B" w:rsidRPr="000A1C8E">
        <w:rPr>
          <w:rFonts w:cs="Tahoma"/>
          <w:color w:val="000000"/>
          <w:szCs w:val="18"/>
        </w:rPr>
        <w:t xml:space="preserve"> </w:t>
      </w:r>
    </w:p>
    <w:p w:rsidR="000D4ECA" w:rsidRPr="000A1C8E" w:rsidRDefault="000D4ECA" w:rsidP="00346F4B">
      <w:pPr>
        <w:numPr>
          <w:ilvl w:val="1"/>
          <w:numId w:val="105"/>
        </w:numPr>
        <w:spacing w:after="60" w:line="276" w:lineRule="auto"/>
        <w:ind w:left="1980"/>
        <w:rPr>
          <w:rFonts w:cs="Tahoma"/>
        </w:rPr>
      </w:pPr>
      <w:r w:rsidRPr="000A1C8E">
        <w:rPr>
          <w:rFonts w:cs="Tahoma"/>
          <w:color w:val="000000"/>
          <w:szCs w:val="18"/>
        </w:rPr>
        <w:t>Níveis de Serviço: 1, 3, 5, 10 ou 15 dias</w:t>
      </w:r>
    </w:p>
    <w:p w:rsidR="000D4ECA" w:rsidRPr="000A1C8E" w:rsidRDefault="000D4ECA" w:rsidP="00024C3C">
      <w:pPr>
        <w:numPr>
          <w:ilvl w:val="0"/>
          <w:numId w:val="10"/>
        </w:numPr>
        <w:spacing w:after="60" w:line="276" w:lineRule="auto"/>
        <w:rPr>
          <w:rFonts w:cs="Tahoma"/>
        </w:rPr>
      </w:pPr>
      <w:r w:rsidRPr="000A1C8E">
        <w:rPr>
          <w:rFonts w:cs="Tahoma"/>
          <w:color w:val="000000"/>
          <w:szCs w:val="18"/>
        </w:rPr>
        <w:t>Lync e Exchange Deployment Planning Services (L&amp;EDPS)</w:t>
      </w:r>
    </w:p>
    <w:p w:rsidR="000D4ECA" w:rsidRPr="000A1C8E" w:rsidRDefault="000D4ECA" w:rsidP="00346F4B">
      <w:pPr>
        <w:numPr>
          <w:ilvl w:val="1"/>
          <w:numId w:val="106"/>
        </w:numPr>
        <w:spacing w:after="60" w:line="276" w:lineRule="auto"/>
        <w:ind w:left="1980"/>
        <w:rPr>
          <w:rFonts w:cs="Tahoma"/>
        </w:rPr>
      </w:pPr>
      <w:r w:rsidRPr="000A1C8E">
        <w:rPr>
          <w:rFonts w:cs="Tahoma"/>
          <w:color w:val="000000"/>
          <w:szCs w:val="18"/>
        </w:rPr>
        <w:t>Descrição: 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w:t>
      </w:r>
      <w:r w:rsidR="00336EE3" w:rsidRPr="000A1C8E">
        <w:rPr>
          <w:rFonts w:cs="Tahoma"/>
          <w:color w:val="000000"/>
          <w:szCs w:val="18"/>
        </w:rPr>
        <w:t> </w:t>
      </w:r>
      <w:r w:rsidRPr="000A1C8E">
        <w:rPr>
          <w:rFonts w:cs="Tahoma"/>
          <w:color w:val="000000"/>
          <w:szCs w:val="18"/>
        </w:rPr>
        <w:t>e em nuvem.</w:t>
      </w:r>
      <w:r w:rsidR="00DC6D8B" w:rsidRPr="000A1C8E">
        <w:rPr>
          <w:rFonts w:cs="Tahoma"/>
          <w:color w:val="000000"/>
          <w:szCs w:val="18"/>
        </w:rPr>
        <w:t xml:space="preserve"> </w:t>
      </w:r>
      <w:r w:rsidRPr="000A1C8E">
        <w:rPr>
          <w:rFonts w:cs="Tahoma"/>
          <w:color w:val="000000"/>
          <w:szCs w:val="18"/>
        </w:rPr>
        <w:t>O L&amp;EDPS também pode ajudar os clientes com o planejamento do desenvolvimento com o objetivo de auxiliar na transição para o Office 365, concentrando-se no Lync e no Exchange Online.</w:t>
      </w:r>
    </w:p>
    <w:p w:rsidR="000D4ECA" w:rsidRPr="000A1C8E" w:rsidRDefault="000D4ECA" w:rsidP="00346F4B">
      <w:pPr>
        <w:numPr>
          <w:ilvl w:val="1"/>
          <w:numId w:val="106"/>
        </w:numPr>
        <w:spacing w:after="60" w:line="276" w:lineRule="auto"/>
        <w:ind w:left="1980"/>
        <w:rPr>
          <w:rFonts w:cs="Tahoma"/>
        </w:rPr>
      </w:pPr>
      <w:r w:rsidRPr="000A1C8E">
        <w:rPr>
          <w:rFonts w:cs="Tahoma"/>
          <w:color w:val="000000"/>
          <w:szCs w:val="18"/>
        </w:rPr>
        <w:t>Níveis de Serviço: 1, 3, 5, 10 ou 15 dias</w:t>
      </w:r>
    </w:p>
    <w:p w:rsidR="000D4ECA" w:rsidRPr="000A1C8E" w:rsidRDefault="000D4ECA" w:rsidP="00024C3C">
      <w:pPr>
        <w:numPr>
          <w:ilvl w:val="0"/>
          <w:numId w:val="10"/>
        </w:numPr>
        <w:spacing w:after="60" w:line="276" w:lineRule="auto"/>
        <w:rPr>
          <w:rFonts w:cs="Tahoma"/>
        </w:rPr>
      </w:pPr>
      <w:r w:rsidRPr="000A1C8E">
        <w:rPr>
          <w:rFonts w:cs="Tahoma"/>
          <w:color w:val="000000"/>
          <w:szCs w:val="18"/>
        </w:rPr>
        <w:t>Private Cloud, Management and Virtualization Deployment Planning Services (PVDPS)</w:t>
      </w:r>
    </w:p>
    <w:p w:rsidR="000D4ECA" w:rsidRPr="000A1C8E" w:rsidRDefault="000D4ECA" w:rsidP="008372DC">
      <w:pPr>
        <w:numPr>
          <w:ilvl w:val="1"/>
          <w:numId w:val="107"/>
        </w:numPr>
        <w:spacing w:after="60" w:line="276" w:lineRule="auto"/>
        <w:ind w:left="1980"/>
        <w:rPr>
          <w:rFonts w:cs="Tahoma"/>
        </w:rPr>
      </w:pPr>
      <w:r w:rsidRPr="000A1C8E">
        <w:rPr>
          <w:rFonts w:cs="Tahoma"/>
          <w:color w:val="000000"/>
          <w:szCs w:val="18"/>
        </w:rPr>
        <w:t xml:space="preserve">Descrição: </w:t>
      </w:r>
      <w:r w:rsidRPr="000A1C8E">
        <w:rPr>
          <w:rFonts w:cs="Tahoma"/>
          <w:szCs w:val="18"/>
        </w:rPr>
        <w:t>O PVDPS fornece compromissos de consultoria estruturados que ajudam os clientes a aproveitar as soluções de infraestrutura baseadas em Windows Server, Systems Center e Hyper-V. Esse serviço ajudará a reduzir custos de data center, aumentar a agilidade dos negócios e fornecer um controle aperfeiçoado da infraestrutura física, virtual e</w:t>
      </w:r>
      <w:r w:rsidR="008372DC" w:rsidRPr="000A1C8E">
        <w:rPr>
          <w:rFonts w:cs="Tahoma"/>
          <w:szCs w:val="18"/>
        </w:rPr>
        <w:t> </w:t>
      </w:r>
      <w:r w:rsidRPr="000A1C8E">
        <w:rPr>
          <w:rFonts w:cs="Tahoma"/>
          <w:szCs w:val="18"/>
        </w:rPr>
        <w:t>híbrida do cliente</w:t>
      </w:r>
      <w:r w:rsidRPr="000A1C8E">
        <w:rPr>
          <w:rFonts w:cs="Tahoma"/>
          <w:color w:val="000000"/>
          <w:szCs w:val="18"/>
        </w:rPr>
        <w:t xml:space="preserve">. </w:t>
      </w:r>
    </w:p>
    <w:p w:rsidR="000D4ECA" w:rsidRPr="000A1C8E" w:rsidRDefault="000D4ECA" w:rsidP="00346F4B">
      <w:pPr>
        <w:numPr>
          <w:ilvl w:val="1"/>
          <w:numId w:val="107"/>
        </w:numPr>
        <w:spacing w:after="60" w:line="276" w:lineRule="auto"/>
        <w:ind w:left="1980"/>
        <w:rPr>
          <w:rFonts w:cs="Tahoma"/>
        </w:rPr>
      </w:pPr>
      <w:r w:rsidRPr="000A1C8E">
        <w:rPr>
          <w:rFonts w:cs="Tahoma"/>
          <w:color w:val="000000"/>
          <w:szCs w:val="18"/>
        </w:rPr>
        <w:t>Níveis de Serviço: 3, 5, 10 ou 15 dias</w:t>
      </w:r>
    </w:p>
    <w:p w:rsidR="000D4ECA" w:rsidRPr="000A1C8E" w:rsidRDefault="000D4ECA" w:rsidP="00024C3C">
      <w:pPr>
        <w:numPr>
          <w:ilvl w:val="0"/>
          <w:numId w:val="10"/>
        </w:numPr>
        <w:spacing w:after="60" w:line="276" w:lineRule="auto"/>
        <w:rPr>
          <w:rFonts w:cs="Tahoma"/>
        </w:rPr>
      </w:pPr>
      <w:r w:rsidRPr="000A1C8E">
        <w:rPr>
          <w:rFonts w:cs="Tahoma"/>
          <w:color w:val="000000"/>
          <w:szCs w:val="18"/>
        </w:rPr>
        <w:t>SQL Server Deployment Planning Services (SSDPS)</w:t>
      </w:r>
    </w:p>
    <w:p w:rsidR="000D4ECA" w:rsidRPr="000A1C8E" w:rsidRDefault="000D4ECA" w:rsidP="00346F4B">
      <w:pPr>
        <w:numPr>
          <w:ilvl w:val="1"/>
          <w:numId w:val="108"/>
        </w:numPr>
        <w:spacing w:after="60" w:line="276" w:lineRule="auto"/>
        <w:ind w:left="1980"/>
        <w:rPr>
          <w:rFonts w:cs="Tahoma"/>
        </w:rPr>
      </w:pPr>
      <w:r w:rsidRPr="000A1C8E">
        <w:rPr>
          <w:rFonts w:cs="Tahoma"/>
          <w:color w:val="000000"/>
          <w:szCs w:val="18"/>
        </w:rPr>
        <w:t xml:space="preserve">Descrição: </w:t>
      </w:r>
      <w:r w:rsidRPr="000A1C8E">
        <w:rPr>
          <w:rFonts w:cs="Tahoma"/>
          <w:szCs w:val="18"/>
        </w:rPr>
        <w:t>O SSDPS fornece uma avaliação aprofundada e o planejamento da implantação para migração para o SQL Server, atualização para a nova versão da solução SQL Server e SQL Server Business Intelligence.</w:t>
      </w:r>
    </w:p>
    <w:p w:rsidR="000D4ECA" w:rsidRPr="000A1C8E" w:rsidRDefault="000D4ECA" w:rsidP="00346F4B">
      <w:pPr>
        <w:numPr>
          <w:ilvl w:val="1"/>
          <w:numId w:val="108"/>
        </w:numPr>
        <w:spacing w:after="60" w:line="276" w:lineRule="auto"/>
        <w:ind w:left="1980"/>
        <w:rPr>
          <w:rFonts w:cs="Tahoma"/>
        </w:rPr>
      </w:pPr>
      <w:r w:rsidRPr="000A1C8E">
        <w:rPr>
          <w:rFonts w:cs="Tahoma"/>
          <w:color w:val="000000"/>
          <w:szCs w:val="18"/>
        </w:rPr>
        <w:t>Níveis de Serviço: 3, 5, 10 ou 15 dias</w:t>
      </w:r>
    </w:p>
    <w:p w:rsidR="008372DC" w:rsidRPr="000A1C8E" w:rsidRDefault="008372DC" w:rsidP="008372DC">
      <w:pPr>
        <w:spacing w:after="60" w:line="276" w:lineRule="auto"/>
        <w:rPr>
          <w:rFonts w:cs="Tahoma"/>
          <w:color w:val="000000"/>
          <w:szCs w:val="18"/>
        </w:rPr>
      </w:pPr>
    </w:p>
    <w:p w:rsidR="008372DC" w:rsidRPr="000A1C8E" w:rsidRDefault="008372DC" w:rsidP="008372DC">
      <w:pPr>
        <w:spacing w:after="60" w:line="276" w:lineRule="auto"/>
        <w:rPr>
          <w:rFonts w:cs="Tahoma"/>
          <w:color w:val="000000"/>
          <w:szCs w:val="18"/>
        </w:rPr>
      </w:pPr>
    </w:p>
    <w:p w:rsidR="008372DC" w:rsidRPr="000A1C8E" w:rsidRDefault="008372DC" w:rsidP="008372DC">
      <w:pPr>
        <w:spacing w:after="60" w:line="276" w:lineRule="auto"/>
        <w:rPr>
          <w:rFonts w:cs="Tahoma"/>
          <w:color w:val="000000"/>
          <w:szCs w:val="18"/>
        </w:rPr>
      </w:pPr>
    </w:p>
    <w:p w:rsidR="000D4ECA" w:rsidRPr="000A1C8E" w:rsidRDefault="000D4ECA" w:rsidP="008372DC">
      <w:pPr>
        <w:numPr>
          <w:ilvl w:val="0"/>
          <w:numId w:val="10"/>
        </w:numPr>
        <w:spacing w:after="60" w:line="276" w:lineRule="auto"/>
        <w:rPr>
          <w:rFonts w:cs="Tahoma"/>
        </w:rPr>
      </w:pPr>
      <w:r w:rsidRPr="000A1C8E">
        <w:rPr>
          <w:rFonts w:cs="Tahoma"/>
          <w:color w:val="000000"/>
          <w:szCs w:val="18"/>
        </w:rPr>
        <w:lastRenderedPageBreak/>
        <w:t>Developer Tools Deployment Planning Services (DTDPS)</w:t>
      </w:r>
    </w:p>
    <w:p w:rsidR="000D4ECA" w:rsidRPr="000A1C8E" w:rsidRDefault="000D4ECA" w:rsidP="008372DC">
      <w:pPr>
        <w:numPr>
          <w:ilvl w:val="1"/>
          <w:numId w:val="109"/>
        </w:numPr>
        <w:spacing w:after="60" w:line="276" w:lineRule="auto"/>
        <w:ind w:left="1987"/>
        <w:rPr>
          <w:rFonts w:cs="Tahoma"/>
        </w:rPr>
      </w:pPr>
      <w:r w:rsidRPr="000A1C8E">
        <w:rPr>
          <w:rFonts w:cs="Tahoma"/>
          <w:color w:val="000000"/>
          <w:szCs w:val="18"/>
        </w:rPr>
        <w:t xml:space="preserve">Descrição: </w:t>
      </w:r>
      <w:r w:rsidRPr="000A1C8E">
        <w:rPr>
          <w:rFonts w:cs="Tahoma"/>
          <w:szCs w:val="18"/>
        </w:rPr>
        <w:t>O DTDPS fornece uma análise rigorosa e uma abordagem concentrada em processo a fim de desenvolver um plano de implantação do Visual Studio Team Foundation Server ou do Visual Studio Test Tools.</w:t>
      </w:r>
      <w:r w:rsidR="00DC6D8B" w:rsidRPr="000A1C8E">
        <w:rPr>
          <w:rFonts w:cs="Tahoma"/>
          <w:szCs w:val="18"/>
        </w:rPr>
        <w:t xml:space="preserve"> </w:t>
      </w:r>
      <w:r w:rsidRPr="000A1C8E">
        <w:rPr>
          <w:rFonts w:cs="Tahoma"/>
          <w:szCs w:val="18"/>
        </w:rPr>
        <w:t>Seguindo as práticas recomendadas da Microsoft, um parceiro certificado criará um plano de implantação exclusivo, personalizado de acordo com as necessidades da empresa</w:t>
      </w:r>
      <w:r w:rsidRPr="000A1C8E">
        <w:rPr>
          <w:rFonts w:cs="Tahoma"/>
          <w:color w:val="000000"/>
          <w:szCs w:val="18"/>
        </w:rPr>
        <w:t xml:space="preserve">. </w:t>
      </w:r>
    </w:p>
    <w:p w:rsidR="000D4ECA" w:rsidRPr="000A1C8E" w:rsidRDefault="000D4ECA" w:rsidP="00346F4B">
      <w:pPr>
        <w:numPr>
          <w:ilvl w:val="1"/>
          <w:numId w:val="109"/>
        </w:numPr>
        <w:spacing w:after="60" w:line="276" w:lineRule="auto"/>
        <w:ind w:left="1980"/>
        <w:rPr>
          <w:rFonts w:cs="Tahoma"/>
        </w:rPr>
      </w:pPr>
      <w:r w:rsidRPr="000A1C8E">
        <w:rPr>
          <w:rFonts w:cs="Tahoma"/>
          <w:color w:val="000000"/>
          <w:szCs w:val="18"/>
        </w:rPr>
        <w:t>Níveis de Serviço: 3 ou 5 dias</w:t>
      </w:r>
    </w:p>
    <w:p w:rsidR="000D4ECA" w:rsidRPr="000A1C8E" w:rsidRDefault="000D4ECA" w:rsidP="00024C3C">
      <w:pPr>
        <w:numPr>
          <w:ilvl w:val="0"/>
          <w:numId w:val="10"/>
        </w:numPr>
        <w:spacing w:after="60" w:line="276" w:lineRule="auto"/>
        <w:rPr>
          <w:rFonts w:cs="Tahoma"/>
        </w:rPr>
      </w:pPr>
      <w:r w:rsidRPr="000A1C8E">
        <w:rPr>
          <w:rFonts w:cs="Tahoma"/>
          <w:color w:val="000000"/>
          <w:szCs w:val="18"/>
        </w:rPr>
        <w:t>Public Cloud, Azure Deployment Planning Services (AZDPS)</w:t>
      </w:r>
    </w:p>
    <w:p w:rsidR="000D4ECA" w:rsidRPr="000A1C8E" w:rsidRDefault="000D4ECA" w:rsidP="00346F4B">
      <w:pPr>
        <w:numPr>
          <w:ilvl w:val="1"/>
          <w:numId w:val="110"/>
        </w:numPr>
        <w:spacing w:after="60" w:line="276" w:lineRule="auto"/>
        <w:ind w:left="1980"/>
        <w:rPr>
          <w:rFonts w:cs="Tahoma"/>
        </w:rPr>
      </w:pPr>
      <w:r w:rsidRPr="000A1C8E">
        <w:rPr>
          <w:rFonts w:cs="Tahoma"/>
          <w:color w:val="000000"/>
          <w:szCs w:val="18"/>
        </w:rPr>
        <w:t xml:space="preserve">Descrição: </w:t>
      </w:r>
      <w:r w:rsidRPr="000A1C8E">
        <w:rPr>
          <w:rFonts w:cs="Tahoma"/>
          <w:szCs w:val="18"/>
        </w:rPr>
        <w:t xml:space="preserve">O </w:t>
      </w:r>
      <w:r w:rsidRPr="000A1C8E">
        <w:rPr>
          <w:rFonts w:cs="Tahoma"/>
          <w:color w:val="1D1B11"/>
          <w:szCs w:val="18"/>
        </w:rPr>
        <w:t>Public</w:t>
      </w:r>
      <w:r w:rsidRPr="000A1C8E">
        <w:rPr>
          <w:rFonts w:cs="Tahoma"/>
          <w:szCs w:val="18"/>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rsidR="000D4ECA" w:rsidRPr="000A1C8E" w:rsidRDefault="000D4ECA" w:rsidP="00346F4B">
      <w:pPr>
        <w:numPr>
          <w:ilvl w:val="1"/>
          <w:numId w:val="110"/>
        </w:numPr>
        <w:spacing w:line="276" w:lineRule="auto"/>
        <w:ind w:left="1987"/>
        <w:rPr>
          <w:rFonts w:cs="Tahoma"/>
        </w:rPr>
      </w:pPr>
      <w:r w:rsidRPr="000A1C8E">
        <w:rPr>
          <w:rFonts w:cs="Tahoma"/>
          <w:color w:val="000000"/>
          <w:szCs w:val="18"/>
        </w:rPr>
        <w:t>Níveis de Serviço: 3, 5 ou 10 dias</w:t>
      </w:r>
    </w:p>
    <w:p w:rsidR="000D4ECA" w:rsidRPr="000A1C8E" w:rsidRDefault="000D4ECA" w:rsidP="0063466C">
      <w:pPr>
        <w:tabs>
          <w:tab w:val="left" w:pos="8040"/>
        </w:tabs>
        <w:rPr>
          <w:rFonts w:cs="Tahoma"/>
        </w:rPr>
      </w:pPr>
    </w:p>
    <w:p w:rsidR="000D4ECA" w:rsidRPr="000A1C8E" w:rsidRDefault="000D4ECA" w:rsidP="000D4ECA">
      <w:pPr>
        <w:spacing w:after="60"/>
        <w:rPr>
          <w:rFonts w:cs="Tahoma"/>
        </w:rPr>
      </w:pPr>
      <w:r w:rsidRPr="000A1C8E">
        <w:rPr>
          <w:rFonts w:cs="Tahoma"/>
          <w:color w:val="000000"/>
          <w:szCs w:val="18"/>
        </w:rPr>
        <w:t>A lista de serviços disponíveis e níveis de serviços associados pode ser alterada a qualquer momento.</w:t>
      </w:r>
      <w:r w:rsidR="00DC6D8B" w:rsidRPr="000A1C8E">
        <w:rPr>
          <w:rFonts w:cs="Tahoma"/>
          <w:color w:val="000000"/>
          <w:szCs w:val="18"/>
        </w:rPr>
        <w:t xml:space="preserve"> </w:t>
      </w:r>
      <w:r w:rsidRPr="000A1C8E">
        <w:rPr>
          <w:rFonts w:cs="Tahoma"/>
          <w:color w:val="000000"/>
          <w:szCs w:val="18"/>
        </w:rPr>
        <w:t>Os Provedores Qualificados fornecerão aos clientes uma descrição do Escopo do Trabalho disponível para cada uma das ofertas de serviço acima mediante solicitação.</w:t>
      </w:r>
    </w:p>
    <w:p w:rsidR="000D4ECA" w:rsidRPr="000A1C8E" w:rsidRDefault="000D4ECA" w:rsidP="0063466C">
      <w:pPr>
        <w:rPr>
          <w:rFonts w:cs="Tahoma"/>
        </w:rPr>
      </w:pPr>
    </w:p>
    <w:p w:rsidR="000D4ECA" w:rsidRPr="000A1C8E" w:rsidRDefault="000D4ECA" w:rsidP="000D4ECA">
      <w:pPr>
        <w:spacing w:after="60"/>
        <w:rPr>
          <w:rFonts w:cs="Tahoma"/>
        </w:rPr>
      </w:pPr>
      <w:r w:rsidRPr="000A1C8E">
        <w:rPr>
          <w:rFonts w:cs="Tahoma"/>
          <w:color w:val="000000"/>
          <w:szCs w:val="18"/>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DC6D8B" w:rsidRPr="000A1C8E">
        <w:rPr>
          <w:rFonts w:cs="Tahoma"/>
          <w:color w:val="000000"/>
          <w:szCs w:val="18"/>
        </w:rPr>
        <w:t xml:space="preserve"> </w:t>
      </w:r>
      <w:r w:rsidRPr="000A1C8E">
        <w:rPr>
          <w:rFonts w:cs="Tahoma"/>
          <w:bCs/>
          <w:color w:val="000000"/>
          <w:szCs w:val="18"/>
        </w:rPr>
        <w:t>A quantidade de dias que um cliente recebe é colocada em um pool de Dias de Serviços de Planejamento a partir do qual o cliente pode criar cupons para as ofertas de serviços acima.</w:t>
      </w:r>
      <w:r w:rsidR="00DC6D8B" w:rsidRPr="000A1C8E">
        <w:rPr>
          <w:rFonts w:cs="Tahoma"/>
          <w:bCs/>
          <w:color w:val="000000"/>
          <w:szCs w:val="18"/>
        </w:rPr>
        <w:t xml:space="preserve"> </w:t>
      </w:r>
      <w:r w:rsidRPr="000A1C8E">
        <w:rPr>
          <w:rFonts w:cs="Tahoma"/>
          <w:bCs/>
          <w:color w:val="000000"/>
          <w:szCs w:val="18"/>
        </w:rPr>
        <w:t>Os clientes podem escolher um ou mais dos serviços acima e podem selecionar nos níveis de serviços disponíveis até o número de dias de Serviços de Planejamento que eles têm disponível.</w:t>
      </w:r>
    </w:p>
    <w:p w:rsidR="001C1727" w:rsidRPr="000A1C8E" w:rsidRDefault="001C1727">
      <w:pPr>
        <w:rPr>
          <w:rFonts w:cs="Tahoma"/>
        </w:rPr>
      </w:pPr>
    </w:p>
    <w:p w:rsidR="000D4ECA" w:rsidRPr="000A1C8E" w:rsidRDefault="000D4ECA" w:rsidP="000D4ECA">
      <w:pPr>
        <w:spacing w:after="60"/>
        <w:rPr>
          <w:rFonts w:cs="Tahoma"/>
        </w:rPr>
      </w:pPr>
      <w:r w:rsidRPr="000A1C8E">
        <w:rPr>
          <w:rFonts w:cs="Tahoma"/>
          <w:bCs/>
          <w:color w:val="000000"/>
          <w:szCs w:val="18"/>
        </w:rPr>
        <w:t>A tabela a seguir lista as licenças de Aplicativos e Servidores qualificados e os pontos associados a cada uma delas:</w:t>
      </w:r>
    </w:p>
    <w:p w:rsidR="0063466C" w:rsidRPr="000A1C8E"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A1C8E"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b/>
                <w:bCs/>
                <w:szCs w:val="18"/>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b/>
                <w:bCs/>
                <w:szCs w:val="18"/>
              </w:rPr>
              <w:t>Pontos</w:t>
            </w:r>
          </w:p>
        </w:tc>
      </w:tr>
      <w:tr w:rsidR="000D4ECA" w:rsidRPr="000A1C8E"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D31281">
            <w:pPr>
              <w:spacing w:after="60"/>
              <w:jc w:val="center"/>
              <w:rPr>
                <w:rFonts w:cs="Tahoma"/>
                <w:szCs w:val="18"/>
              </w:rPr>
            </w:pPr>
            <w:r w:rsidRPr="000A1C8E">
              <w:rPr>
                <w:rFonts w:cs="Tahoma"/>
                <w:szCs w:val="18"/>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1</w:t>
            </w:r>
          </w:p>
        </w:tc>
      </w:tr>
      <w:tr w:rsidR="000D4ECA" w:rsidRPr="000A1C8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F56FC9" w:rsidP="007002E0">
            <w:pPr>
              <w:spacing w:after="60"/>
              <w:jc w:val="center"/>
              <w:rPr>
                <w:rFonts w:cs="Tahoma"/>
                <w:szCs w:val="18"/>
              </w:rPr>
            </w:pPr>
            <w:r w:rsidRPr="000A1C8E">
              <w:rPr>
                <w:rFonts w:eastAsia="Calibri" w:cs="Tahoma"/>
                <w:szCs w:val="18"/>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25</w:t>
            </w:r>
          </w:p>
        </w:tc>
      </w:tr>
      <w:tr w:rsidR="000D4ECA" w:rsidRPr="000A1C8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F56FC9" w:rsidP="000D4ECA">
            <w:pPr>
              <w:spacing w:after="60"/>
              <w:jc w:val="center"/>
              <w:rPr>
                <w:rFonts w:cs="Tahoma"/>
                <w:szCs w:val="18"/>
              </w:rPr>
            </w:pPr>
            <w:r w:rsidRPr="000A1C8E">
              <w:rPr>
                <w:rFonts w:eastAsia="Calibri" w:cs="Tahoma"/>
                <w:szCs w:val="18"/>
              </w:rPr>
              <w:t xml:space="preserve">Edições do SQL Server Enterprise, </w:t>
            </w:r>
            <w:r w:rsidRPr="000A1C8E">
              <w:rPr>
                <w:rFonts w:cs="Tahoma"/>
                <w:szCs w:val="18"/>
              </w:rPr>
              <w:t xml:space="preserve">SQL Server Business Intelligence, </w:t>
            </w:r>
            <w:r w:rsidRPr="000A1C8E">
              <w:rPr>
                <w:rFonts w:eastAsia="Calibri" w:cs="Tahoma"/>
                <w:szCs w:val="18"/>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50</w:t>
            </w:r>
          </w:p>
        </w:tc>
      </w:tr>
      <w:tr w:rsidR="000D4ECA" w:rsidRPr="000A1C8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F56FC9" w:rsidP="000D4ECA">
            <w:pPr>
              <w:spacing w:after="60"/>
              <w:jc w:val="center"/>
              <w:rPr>
                <w:rFonts w:cs="Tahoma"/>
                <w:szCs w:val="18"/>
              </w:rPr>
            </w:pPr>
            <w:r w:rsidRPr="000A1C8E">
              <w:rPr>
                <w:rFonts w:eastAsia="Calibri" w:cs="Tahoma"/>
                <w:szCs w:val="18"/>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75</w:t>
            </w:r>
          </w:p>
        </w:tc>
      </w:tr>
    </w:tbl>
    <w:p w:rsidR="000D4ECA" w:rsidRPr="000A1C8E" w:rsidRDefault="000D4ECA" w:rsidP="0063466C">
      <w:pPr>
        <w:ind w:firstLine="720"/>
        <w:rPr>
          <w:rFonts w:cs="Tahoma"/>
        </w:rPr>
      </w:pPr>
      <w:r w:rsidRPr="000A1C8E">
        <w:rPr>
          <w:rFonts w:cs="Tahoma"/>
          <w:b/>
          <w:i/>
          <w:sz w:val="16"/>
          <w:szCs w:val="18"/>
        </w:rPr>
        <w:t>Observação:</w:t>
      </w:r>
      <w:r w:rsidRPr="000A1C8E">
        <w:rPr>
          <w:rFonts w:cs="Tahoma"/>
          <w:i/>
          <w:sz w:val="16"/>
          <w:szCs w:val="18"/>
        </w:rPr>
        <w:t xml:space="preserve"> Para CALs, consulte a tabela Pacotes de CALs nesta seção</w:t>
      </w:r>
    </w:p>
    <w:p w:rsidR="00F56FC9" w:rsidRPr="000A1C8E" w:rsidRDefault="00F56FC9" w:rsidP="0063466C">
      <w:pPr>
        <w:rPr>
          <w:rFonts w:cs="Tahoma"/>
        </w:rPr>
      </w:pPr>
    </w:p>
    <w:p w:rsidR="000D4ECA" w:rsidRPr="000A1C8E" w:rsidRDefault="000D4ECA" w:rsidP="0063466C">
      <w:pPr>
        <w:rPr>
          <w:rFonts w:cs="Tahoma"/>
        </w:rPr>
      </w:pPr>
      <w:r w:rsidRPr="000A1C8E">
        <w:rPr>
          <w:rFonts w:cs="Tahoma"/>
          <w:szCs w:val="18"/>
        </w:rPr>
        <w:t>Quando esses produtos qualificados são comprados por meio do Enrollment for Application Platform (EAP) ou Enrollment for Core Infrastructure (ECI), cada ponto concedido, coberto pelo EAP e pelo ECI, é multiplicado por</w:t>
      </w:r>
      <w:r w:rsidR="00551D30" w:rsidRPr="000A1C8E">
        <w:rPr>
          <w:rFonts w:cs="Tahoma"/>
          <w:szCs w:val="18"/>
        </w:rPr>
        <w:t> </w:t>
      </w:r>
      <w:r w:rsidRPr="000A1C8E">
        <w:rPr>
          <w:rFonts w:cs="Tahoma"/>
          <w:szCs w:val="18"/>
        </w:rPr>
        <w:t>2</w:t>
      </w:r>
      <w:r w:rsidR="00551D30" w:rsidRPr="000A1C8E">
        <w:rPr>
          <w:rFonts w:cs="Tahoma"/>
          <w:szCs w:val="18"/>
        </w:rPr>
        <w:t> </w:t>
      </w:r>
      <w:r w:rsidRPr="000A1C8E">
        <w:rPr>
          <w:rFonts w:cs="Tahoma"/>
          <w:szCs w:val="18"/>
        </w:rPr>
        <w:t xml:space="preserve">(dois). </w:t>
      </w:r>
    </w:p>
    <w:p w:rsidR="000D4ECA" w:rsidRPr="000A1C8E" w:rsidRDefault="000D4ECA" w:rsidP="0063466C">
      <w:pPr>
        <w:rPr>
          <w:rFonts w:cs="Tahoma"/>
        </w:rPr>
      </w:pPr>
    </w:p>
    <w:p w:rsidR="00266DB4" w:rsidRPr="000A1C8E" w:rsidRDefault="00266DB4" w:rsidP="0063466C">
      <w:pPr>
        <w:rPr>
          <w:rFonts w:cs="Tahoma"/>
        </w:rPr>
      </w:pPr>
    </w:p>
    <w:p w:rsidR="00266DB4" w:rsidRPr="000A1C8E" w:rsidRDefault="00266DB4" w:rsidP="0063466C">
      <w:pPr>
        <w:rPr>
          <w:rFonts w:cs="Tahoma"/>
        </w:rPr>
      </w:pPr>
    </w:p>
    <w:p w:rsidR="00266DB4" w:rsidRPr="000A1C8E" w:rsidRDefault="00266DB4" w:rsidP="0063466C">
      <w:pPr>
        <w:rPr>
          <w:rFonts w:cs="Tahoma"/>
        </w:rPr>
      </w:pPr>
    </w:p>
    <w:p w:rsidR="00266DB4" w:rsidRPr="000A1C8E" w:rsidRDefault="00266DB4" w:rsidP="0063466C">
      <w:pPr>
        <w:rPr>
          <w:rFonts w:cs="Tahoma"/>
        </w:rPr>
      </w:pPr>
    </w:p>
    <w:p w:rsidR="00266DB4" w:rsidRPr="000A1C8E" w:rsidRDefault="00266DB4" w:rsidP="0063466C">
      <w:pPr>
        <w:rPr>
          <w:rFonts w:cs="Tahoma"/>
        </w:rPr>
      </w:pPr>
    </w:p>
    <w:p w:rsidR="000D4ECA" w:rsidRPr="000A1C8E" w:rsidRDefault="000D4ECA" w:rsidP="00266DB4">
      <w:pPr>
        <w:rPr>
          <w:rFonts w:cs="Tahoma"/>
        </w:rPr>
      </w:pPr>
      <w:r w:rsidRPr="000A1C8E">
        <w:rPr>
          <w:rFonts w:cs="Tahoma"/>
          <w:szCs w:val="18"/>
        </w:rPr>
        <w:lastRenderedPageBreak/>
        <w:t>O total de pontos para o qual o cliente é qualificado define as qualificações de Dias de Serviços de Planejamento, conforme mostrado abaixo:</w:t>
      </w:r>
    </w:p>
    <w:p w:rsidR="000D4ECA" w:rsidRPr="000A1C8E" w:rsidRDefault="000D4ECA" w:rsidP="00266DB4">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A1C8E"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A1C8E" w:rsidRDefault="000D4ECA" w:rsidP="00551D30">
            <w:pPr>
              <w:keepNext/>
              <w:keepLines/>
              <w:spacing w:after="60"/>
              <w:jc w:val="center"/>
              <w:rPr>
                <w:rFonts w:cs="Tahoma"/>
                <w:szCs w:val="18"/>
              </w:rPr>
            </w:pPr>
            <w:r w:rsidRPr="000A1C8E">
              <w:rPr>
                <w:rFonts w:cs="Tahoma"/>
                <w:b/>
                <w:bCs/>
                <w:szCs w:val="18"/>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A1C8E" w:rsidRDefault="000D4ECA" w:rsidP="00551D30">
            <w:pPr>
              <w:keepNext/>
              <w:keepLines/>
              <w:spacing w:after="60"/>
              <w:jc w:val="center"/>
              <w:rPr>
                <w:rFonts w:cs="Tahoma"/>
                <w:szCs w:val="18"/>
              </w:rPr>
            </w:pPr>
            <w:r w:rsidRPr="000A1C8E">
              <w:rPr>
                <w:rFonts w:cs="Tahoma"/>
                <w:b/>
                <w:bCs/>
                <w:szCs w:val="18"/>
              </w:rPr>
              <w:t>Dias de Serviços de Planejamento</w:t>
            </w:r>
          </w:p>
        </w:tc>
      </w:tr>
      <w:tr w:rsidR="000D4ECA" w:rsidRPr="000A1C8E"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keepNext/>
              <w:keepLines/>
              <w:spacing w:after="60"/>
              <w:jc w:val="center"/>
              <w:rPr>
                <w:rFonts w:cs="Tahoma"/>
                <w:szCs w:val="18"/>
              </w:rPr>
            </w:pPr>
            <w:r w:rsidRPr="000A1C8E">
              <w:rPr>
                <w:rFonts w:cs="Tahoma"/>
                <w:szCs w:val="18"/>
              </w:rPr>
              <w:t>200</w:t>
            </w:r>
            <w:r w:rsidR="00266DB4" w:rsidRPr="000A1C8E">
              <w:rPr>
                <w:rFonts w:cs="Tahoma"/>
                <w:szCs w:val="18"/>
              </w:rPr>
              <w:t xml:space="preserve"> – </w:t>
            </w:r>
            <w:r w:rsidRPr="000A1C8E">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keepNext/>
              <w:keepLines/>
              <w:spacing w:after="60"/>
              <w:jc w:val="center"/>
              <w:rPr>
                <w:rFonts w:cs="Tahoma"/>
                <w:szCs w:val="18"/>
              </w:rPr>
            </w:pPr>
            <w:r w:rsidRPr="000A1C8E">
              <w:rPr>
                <w:rFonts w:cs="Tahoma"/>
                <w:szCs w:val="18"/>
              </w:rPr>
              <w:t>1</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500</w:t>
            </w:r>
            <w:r w:rsidR="00266DB4" w:rsidRPr="000A1C8E">
              <w:rPr>
                <w:rFonts w:cs="Tahoma"/>
                <w:szCs w:val="18"/>
              </w:rPr>
              <w:t xml:space="preserve"> – </w:t>
            </w:r>
            <w:r w:rsidRPr="000A1C8E">
              <w:rPr>
                <w:rFonts w:cs="Tahoma"/>
                <w:szCs w:val="18"/>
              </w:rPr>
              <w:t>1</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3</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2</w:t>
            </w:r>
            <w:r w:rsidR="00551D30" w:rsidRPr="000A1C8E">
              <w:rPr>
                <w:rFonts w:cs="Tahoma"/>
                <w:szCs w:val="18"/>
              </w:rPr>
              <w:t>.</w:t>
            </w:r>
            <w:r w:rsidRPr="000A1C8E">
              <w:rPr>
                <w:rFonts w:cs="Tahoma"/>
                <w:szCs w:val="18"/>
              </w:rPr>
              <w:t>000</w:t>
            </w:r>
            <w:r w:rsidR="00266DB4" w:rsidRPr="000A1C8E">
              <w:rPr>
                <w:rFonts w:cs="Tahoma"/>
                <w:szCs w:val="18"/>
              </w:rPr>
              <w:t xml:space="preserve"> – </w:t>
            </w:r>
            <w:r w:rsidRPr="000A1C8E">
              <w:rPr>
                <w:rFonts w:cs="Tahoma"/>
                <w:szCs w:val="18"/>
              </w:rPr>
              <w:t>3</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5</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4</w:t>
            </w:r>
            <w:r w:rsidR="00551D30" w:rsidRPr="000A1C8E">
              <w:rPr>
                <w:rFonts w:cs="Tahoma"/>
                <w:szCs w:val="18"/>
              </w:rPr>
              <w:t>.</w:t>
            </w:r>
            <w:r w:rsidRPr="000A1C8E">
              <w:rPr>
                <w:rFonts w:cs="Tahoma"/>
                <w:szCs w:val="18"/>
              </w:rPr>
              <w:t>000 – 29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10</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30</w:t>
            </w:r>
            <w:r w:rsidR="00551D30" w:rsidRPr="000A1C8E">
              <w:rPr>
                <w:rFonts w:cs="Tahoma"/>
                <w:szCs w:val="18"/>
              </w:rPr>
              <w:t>.</w:t>
            </w:r>
            <w:r w:rsidRPr="000A1C8E">
              <w:rPr>
                <w:rFonts w:cs="Tahoma"/>
                <w:szCs w:val="18"/>
              </w:rPr>
              <w:t>000 – 49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15</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50</w:t>
            </w:r>
            <w:r w:rsidR="00551D30" w:rsidRPr="000A1C8E">
              <w:rPr>
                <w:rFonts w:cs="Tahoma"/>
                <w:szCs w:val="18"/>
              </w:rPr>
              <w:t>.</w:t>
            </w:r>
            <w:r w:rsidRPr="000A1C8E">
              <w:rPr>
                <w:rFonts w:cs="Tahoma"/>
                <w:szCs w:val="18"/>
              </w:rPr>
              <w:t>000 – 99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20</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100</w:t>
            </w:r>
            <w:r w:rsidR="00551D30" w:rsidRPr="000A1C8E">
              <w:rPr>
                <w:rFonts w:cs="Tahoma"/>
                <w:szCs w:val="18"/>
              </w:rPr>
              <w:t>.</w:t>
            </w:r>
            <w:r w:rsidRPr="000A1C8E">
              <w:rPr>
                <w:rFonts w:cs="Tahoma"/>
                <w:szCs w:val="18"/>
              </w:rPr>
              <w:t>000 – 199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30</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200</w:t>
            </w:r>
            <w:r w:rsidR="00551D30" w:rsidRPr="000A1C8E">
              <w:rPr>
                <w:rFonts w:cs="Tahoma"/>
                <w:szCs w:val="18"/>
              </w:rPr>
              <w:t>.</w:t>
            </w:r>
            <w:r w:rsidRPr="000A1C8E">
              <w:rPr>
                <w:rFonts w:cs="Tahoma"/>
                <w:szCs w:val="18"/>
              </w:rPr>
              <w:t>000 – 399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40</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400</w:t>
            </w:r>
            <w:r w:rsidR="00551D30" w:rsidRPr="000A1C8E">
              <w:rPr>
                <w:rFonts w:cs="Tahoma"/>
                <w:szCs w:val="18"/>
              </w:rPr>
              <w:t>.</w:t>
            </w:r>
            <w:r w:rsidRPr="000A1C8E">
              <w:rPr>
                <w:rFonts w:cs="Tahoma"/>
                <w:szCs w:val="18"/>
              </w:rPr>
              <w:t>000 – 599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50</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600</w:t>
            </w:r>
            <w:r w:rsidR="00551D30" w:rsidRPr="000A1C8E">
              <w:rPr>
                <w:rFonts w:cs="Tahoma"/>
                <w:szCs w:val="18"/>
              </w:rPr>
              <w:t>.</w:t>
            </w:r>
            <w:r w:rsidRPr="000A1C8E">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75</w:t>
            </w:r>
          </w:p>
        </w:tc>
      </w:tr>
    </w:tbl>
    <w:p w:rsidR="000D4ECA" w:rsidRPr="000A1C8E" w:rsidRDefault="000D4ECA" w:rsidP="0063466C">
      <w:pPr>
        <w:rPr>
          <w:rFonts w:cs="Tahoma"/>
        </w:rPr>
      </w:pPr>
    </w:p>
    <w:p w:rsidR="000D4ECA" w:rsidRPr="000A1C8E" w:rsidRDefault="000D4ECA" w:rsidP="0063466C">
      <w:pPr>
        <w:rPr>
          <w:rFonts w:cs="Tahoma"/>
        </w:rPr>
      </w:pPr>
      <w:r w:rsidRPr="000A1C8E">
        <w:rPr>
          <w:rFonts w:cs="Tahoma"/>
          <w:szCs w:val="18"/>
        </w:rPr>
        <w:t xml:space="preserve">A cobertura do Pacote de CALs Principais e de SA de Pacote de CALs do SQL conta como </w:t>
      </w:r>
      <w:r w:rsidRPr="000A1C8E">
        <w:rPr>
          <w:rFonts w:cs="Tahoma"/>
          <w:szCs w:val="18"/>
          <w:u w:val="single"/>
        </w:rPr>
        <w:t>1 (um) ponto</w:t>
      </w:r>
      <w:r w:rsidRPr="000A1C8E">
        <w:rPr>
          <w:rFonts w:cs="Tahoma"/>
          <w:szCs w:val="18"/>
        </w:rPr>
        <w:t xml:space="preserve"> em relação aos valores limite na primeira coluna a seguir, e a cobertura de SA de Pacote de CALs Empresariais conta como </w:t>
      </w:r>
      <w:r w:rsidRPr="000A1C8E">
        <w:rPr>
          <w:rFonts w:cs="Tahoma"/>
          <w:szCs w:val="18"/>
          <w:u w:val="single"/>
        </w:rPr>
        <w:t>2</w:t>
      </w:r>
      <w:r w:rsidR="00551D30" w:rsidRPr="000A1C8E">
        <w:rPr>
          <w:rFonts w:cs="Tahoma"/>
          <w:szCs w:val="18"/>
          <w:u w:val="single"/>
        </w:rPr>
        <w:t> </w:t>
      </w:r>
      <w:r w:rsidRPr="000A1C8E">
        <w:rPr>
          <w:rFonts w:cs="Tahoma"/>
          <w:szCs w:val="18"/>
          <w:u w:val="single"/>
        </w:rPr>
        <w:t>(dois) pontos</w:t>
      </w:r>
      <w:r w:rsidRPr="000A1C8E">
        <w:rPr>
          <w:rFonts w:cs="Tahoma"/>
          <w:szCs w:val="18"/>
        </w:rPr>
        <w:t xml:space="preserve"> em relação aos valores limite na primeira coluna a seguir:</w:t>
      </w:r>
    </w:p>
    <w:p w:rsidR="000D4ECA" w:rsidRPr="000A1C8E"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A1C8E"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A1C8E" w:rsidRDefault="000D4ECA" w:rsidP="000D4ECA">
            <w:pPr>
              <w:spacing w:after="60"/>
              <w:rPr>
                <w:rFonts w:cs="Tahoma"/>
                <w:szCs w:val="18"/>
              </w:rPr>
            </w:pPr>
            <w:r w:rsidRPr="000A1C8E">
              <w:rPr>
                <w:rFonts w:cs="Tahoma"/>
                <w:b/>
                <w:bCs/>
                <w:szCs w:val="18"/>
              </w:rPr>
              <w:t xml:space="preserve">Dias de Serviços de Planejamento </w:t>
            </w:r>
          </w:p>
        </w:tc>
      </w:tr>
      <w:tr w:rsidR="000D4ECA" w:rsidRPr="000A1C8E"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200</w:t>
            </w:r>
            <w:r w:rsidR="00612409" w:rsidRPr="000A1C8E">
              <w:rPr>
                <w:rFonts w:cs="Tahoma"/>
                <w:szCs w:val="18"/>
              </w:rPr>
              <w:t xml:space="preserve"> – </w:t>
            </w:r>
            <w:r w:rsidRPr="000A1C8E">
              <w:rPr>
                <w:rFonts w:cs="Tahoma"/>
                <w:szCs w:val="18"/>
              </w:rPr>
              <w:t>3</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1</w:t>
            </w:r>
          </w:p>
        </w:tc>
      </w:tr>
      <w:tr w:rsidR="000D4ECA" w:rsidRPr="000A1C8E"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551D30" w:rsidP="00551D30">
            <w:pPr>
              <w:spacing w:after="60"/>
              <w:jc w:val="center"/>
              <w:rPr>
                <w:rFonts w:cs="Tahoma"/>
                <w:szCs w:val="18"/>
              </w:rPr>
            </w:pPr>
            <w:r w:rsidRPr="000A1C8E">
              <w:rPr>
                <w:rFonts w:cs="Tahoma"/>
                <w:szCs w:val="18"/>
              </w:rPr>
              <w:t>4.000 – 9.</w:t>
            </w:r>
            <w:r w:rsidR="000D4ECA"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3</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10</w:t>
            </w:r>
            <w:r w:rsidR="00551D30" w:rsidRPr="000A1C8E">
              <w:rPr>
                <w:rFonts w:cs="Tahoma"/>
                <w:szCs w:val="18"/>
              </w:rPr>
              <w:t>.</w:t>
            </w:r>
            <w:r w:rsidRPr="000A1C8E">
              <w:rPr>
                <w:rFonts w:cs="Tahoma"/>
                <w:szCs w:val="18"/>
              </w:rPr>
              <w:t>000 – 99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5</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100</w:t>
            </w:r>
            <w:r w:rsidR="00551D30" w:rsidRPr="000A1C8E">
              <w:rPr>
                <w:rFonts w:cs="Tahoma"/>
                <w:szCs w:val="18"/>
              </w:rPr>
              <w:t>.</w:t>
            </w:r>
            <w:r w:rsidRPr="000A1C8E">
              <w:rPr>
                <w:rFonts w:cs="Tahoma"/>
                <w:szCs w:val="18"/>
              </w:rPr>
              <w:t>000 – 299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7</w:t>
            </w:r>
          </w:p>
        </w:tc>
      </w:tr>
      <w:tr w:rsidR="000D4ECA" w:rsidRPr="000A1C8E"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300</w:t>
            </w:r>
            <w:r w:rsidR="00551D30" w:rsidRPr="000A1C8E">
              <w:rPr>
                <w:rFonts w:cs="Tahoma"/>
                <w:szCs w:val="18"/>
              </w:rPr>
              <w:t>.</w:t>
            </w:r>
            <w:r w:rsidRPr="000A1C8E">
              <w:rPr>
                <w:rFonts w:cs="Tahoma"/>
                <w:szCs w:val="18"/>
              </w:rPr>
              <w:t>000 – 599</w:t>
            </w:r>
            <w:r w:rsidR="00551D30" w:rsidRPr="000A1C8E">
              <w:rPr>
                <w:rFonts w:cs="Tahoma"/>
                <w:szCs w:val="18"/>
              </w:rPr>
              <w:t>.</w:t>
            </w:r>
            <w:r w:rsidRPr="000A1C8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10</w:t>
            </w:r>
          </w:p>
        </w:tc>
      </w:tr>
      <w:tr w:rsidR="000D4ECA" w:rsidRPr="000A1C8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551D30">
            <w:pPr>
              <w:spacing w:after="60"/>
              <w:jc w:val="center"/>
              <w:rPr>
                <w:rFonts w:cs="Tahoma"/>
                <w:szCs w:val="18"/>
              </w:rPr>
            </w:pPr>
            <w:r w:rsidRPr="000A1C8E">
              <w:rPr>
                <w:rFonts w:cs="Tahoma"/>
                <w:szCs w:val="18"/>
              </w:rPr>
              <w:t>600</w:t>
            </w:r>
            <w:r w:rsidR="00551D30" w:rsidRPr="000A1C8E">
              <w:rPr>
                <w:rFonts w:cs="Tahoma"/>
                <w:szCs w:val="18"/>
              </w:rPr>
              <w:t>.</w:t>
            </w:r>
            <w:r w:rsidRPr="000A1C8E">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A1C8E" w:rsidRDefault="000D4ECA" w:rsidP="000D4ECA">
            <w:pPr>
              <w:spacing w:after="60"/>
              <w:jc w:val="center"/>
              <w:rPr>
                <w:rFonts w:cs="Tahoma"/>
                <w:szCs w:val="18"/>
              </w:rPr>
            </w:pPr>
            <w:r w:rsidRPr="000A1C8E">
              <w:rPr>
                <w:rFonts w:cs="Tahoma"/>
                <w:szCs w:val="18"/>
              </w:rPr>
              <w:t>12</w:t>
            </w:r>
          </w:p>
        </w:tc>
      </w:tr>
    </w:tbl>
    <w:p w:rsidR="001C1727" w:rsidRPr="000A1C8E" w:rsidRDefault="001C1727">
      <w:pPr>
        <w:rPr>
          <w:rFonts w:cs="Tahoma"/>
        </w:rPr>
      </w:pPr>
    </w:p>
    <w:p w:rsidR="000D4ECA" w:rsidRPr="000A1C8E" w:rsidRDefault="000D4ECA" w:rsidP="000D4ECA">
      <w:pPr>
        <w:spacing w:after="60"/>
        <w:rPr>
          <w:rFonts w:cs="Tahoma"/>
        </w:rPr>
      </w:pPr>
      <w:r w:rsidRPr="000A1C8E">
        <w:rPr>
          <w:rFonts w:cs="Tahoma"/>
          <w:szCs w:val="20"/>
        </w:rPr>
        <w:t>Exemplos</w:t>
      </w:r>
    </w:p>
    <w:p w:rsidR="000D4ECA" w:rsidRPr="000A1C8E" w:rsidRDefault="000D4ECA" w:rsidP="000D4ECA">
      <w:pPr>
        <w:spacing w:after="60"/>
        <w:rPr>
          <w:rFonts w:cs="Tahoma"/>
        </w:rPr>
      </w:pPr>
      <w:r w:rsidRPr="000A1C8E">
        <w:rPr>
          <w:rFonts w:cs="Tahoma"/>
          <w:szCs w:val="20"/>
        </w:rPr>
        <w:t>Contrato Open Value com:</w:t>
      </w:r>
    </w:p>
    <w:p w:rsidR="000D4ECA" w:rsidRPr="000A1C8E" w:rsidRDefault="000D4ECA" w:rsidP="000D4ECA">
      <w:pPr>
        <w:spacing w:after="60"/>
        <w:rPr>
          <w:rFonts w:cs="Tahoma"/>
        </w:rPr>
      </w:pPr>
      <w:r w:rsidRPr="000A1C8E">
        <w:rPr>
          <w:rFonts w:cs="Tahoma"/>
          <w:szCs w:val="20"/>
        </w:rPr>
        <w:t>150 L&amp;SA do Office Professional Plus</w:t>
      </w:r>
    </w:p>
    <w:p w:rsidR="000D4ECA" w:rsidRPr="000A1C8E" w:rsidRDefault="000D4ECA" w:rsidP="000D4ECA">
      <w:pPr>
        <w:spacing w:after="60"/>
        <w:rPr>
          <w:rFonts w:cs="Tahoma"/>
        </w:rPr>
      </w:pPr>
      <w:r w:rsidRPr="000A1C8E">
        <w:rPr>
          <w:rFonts w:cs="Tahoma"/>
          <w:szCs w:val="20"/>
          <w:u w:val="single"/>
        </w:rPr>
        <w:t>+ 50 SA do Visio Standard</w:t>
      </w:r>
      <w:r w:rsidRPr="000A1C8E">
        <w:rPr>
          <w:rFonts w:cs="Tahoma"/>
          <w:szCs w:val="20"/>
          <w:u w:val="single"/>
        </w:rPr>
        <w:tab/>
      </w:r>
    </w:p>
    <w:p w:rsidR="000D4ECA" w:rsidRPr="000A1C8E" w:rsidRDefault="000D4ECA" w:rsidP="000D4ECA">
      <w:pPr>
        <w:spacing w:after="60"/>
        <w:rPr>
          <w:rFonts w:cs="Tahoma"/>
        </w:rPr>
      </w:pPr>
      <w:r w:rsidRPr="000A1C8E">
        <w:rPr>
          <w:rFonts w:cs="Tahoma"/>
          <w:szCs w:val="20"/>
        </w:rPr>
        <w:t>200 Pontos Cobertos de Licenças de Aplicativos e/ou Servidores Office = 1 dia</w:t>
      </w:r>
    </w:p>
    <w:p w:rsidR="000D4ECA" w:rsidRPr="000A1C8E" w:rsidRDefault="000D4ECA" w:rsidP="00077CE5">
      <w:pPr>
        <w:rPr>
          <w:rFonts w:cs="Tahoma"/>
        </w:rPr>
      </w:pPr>
    </w:p>
    <w:p w:rsidR="000D4ECA" w:rsidRPr="000A1C8E" w:rsidRDefault="000D4ECA" w:rsidP="000D4ECA">
      <w:pPr>
        <w:spacing w:after="60"/>
        <w:rPr>
          <w:rFonts w:cs="Tahoma"/>
        </w:rPr>
      </w:pPr>
      <w:r w:rsidRPr="000A1C8E">
        <w:rPr>
          <w:rFonts w:cs="Tahoma"/>
          <w:szCs w:val="20"/>
        </w:rPr>
        <w:t>Registro Select ou Select Plus do SAM com:</w:t>
      </w:r>
    </w:p>
    <w:p w:rsidR="000D4ECA" w:rsidRPr="000A1C8E" w:rsidRDefault="000D4ECA" w:rsidP="000D4ECA">
      <w:pPr>
        <w:spacing w:after="60"/>
        <w:rPr>
          <w:rFonts w:cs="Tahoma"/>
        </w:rPr>
      </w:pPr>
      <w:r w:rsidRPr="000A1C8E">
        <w:rPr>
          <w:rFonts w:cs="Tahoma"/>
          <w:szCs w:val="20"/>
        </w:rPr>
        <w:t>3.500 SA de Pacote CAL Empresarial</w:t>
      </w:r>
    </w:p>
    <w:p w:rsidR="000D4ECA" w:rsidRPr="000A1C8E" w:rsidRDefault="000D4ECA" w:rsidP="000D4ECA">
      <w:pPr>
        <w:spacing w:after="60"/>
        <w:rPr>
          <w:rFonts w:cs="Tahoma"/>
        </w:rPr>
      </w:pPr>
      <w:r w:rsidRPr="000A1C8E">
        <w:rPr>
          <w:rFonts w:cs="Tahoma"/>
          <w:szCs w:val="20"/>
          <w:u w:val="single"/>
        </w:rPr>
        <w:t>x 2 pontos cada</w:t>
      </w:r>
      <w:r w:rsidRPr="000A1C8E">
        <w:rPr>
          <w:rFonts w:cs="Tahoma"/>
          <w:szCs w:val="20"/>
          <w:u w:val="single"/>
        </w:rPr>
        <w:tab/>
      </w:r>
      <w:r w:rsidRPr="000A1C8E">
        <w:rPr>
          <w:rFonts w:cs="Tahoma"/>
          <w:szCs w:val="20"/>
          <w:u w:val="single"/>
        </w:rPr>
        <w:tab/>
      </w:r>
      <w:r w:rsidRPr="000A1C8E">
        <w:rPr>
          <w:rFonts w:cs="Tahoma"/>
          <w:szCs w:val="20"/>
        </w:rPr>
        <w:t xml:space="preserve"> </w:t>
      </w:r>
    </w:p>
    <w:p w:rsidR="000D4ECA" w:rsidRPr="000A1C8E" w:rsidRDefault="000D4ECA" w:rsidP="000D4ECA">
      <w:pPr>
        <w:spacing w:after="60"/>
        <w:rPr>
          <w:rFonts w:cs="Tahoma"/>
        </w:rPr>
      </w:pPr>
      <w:r w:rsidRPr="000A1C8E">
        <w:rPr>
          <w:rFonts w:cs="Tahoma"/>
          <w:szCs w:val="20"/>
        </w:rPr>
        <w:t xml:space="preserve">7.000 pontos de CAL = 3 dias </w:t>
      </w:r>
    </w:p>
    <w:p w:rsidR="000D4ECA" w:rsidRPr="000A1C8E" w:rsidRDefault="000D4ECA" w:rsidP="00077CE5">
      <w:pPr>
        <w:rPr>
          <w:rFonts w:cs="Tahoma"/>
        </w:rPr>
      </w:pPr>
    </w:p>
    <w:p w:rsidR="000D4ECA" w:rsidRPr="000A1C8E" w:rsidRDefault="000D4ECA" w:rsidP="000D4ECA">
      <w:pPr>
        <w:spacing w:after="60"/>
        <w:rPr>
          <w:rFonts w:cs="Tahoma"/>
        </w:rPr>
      </w:pPr>
      <w:r w:rsidRPr="000A1C8E">
        <w:rPr>
          <w:rFonts w:cs="Tahoma"/>
          <w:szCs w:val="20"/>
        </w:rPr>
        <w:t>Registro EA com:</w:t>
      </w:r>
    </w:p>
    <w:p w:rsidR="000D4ECA" w:rsidRPr="000A1C8E" w:rsidRDefault="000D4ECA" w:rsidP="000D4ECA">
      <w:pPr>
        <w:spacing w:after="60"/>
        <w:rPr>
          <w:rFonts w:cs="Tahoma"/>
        </w:rPr>
      </w:pPr>
      <w:r w:rsidRPr="000A1C8E">
        <w:rPr>
          <w:rFonts w:cs="Tahoma"/>
          <w:szCs w:val="20"/>
        </w:rPr>
        <w:t>3.500 Desktops Empresariais</w:t>
      </w:r>
    </w:p>
    <w:p w:rsidR="000D4ECA" w:rsidRPr="000A1C8E" w:rsidRDefault="000D4ECA" w:rsidP="00346F4B">
      <w:pPr>
        <w:numPr>
          <w:ilvl w:val="0"/>
          <w:numId w:val="70"/>
        </w:numPr>
        <w:tabs>
          <w:tab w:val="left" w:pos="720"/>
        </w:tabs>
        <w:spacing w:after="60" w:line="276" w:lineRule="auto"/>
        <w:rPr>
          <w:rFonts w:cs="Tahoma"/>
        </w:rPr>
      </w:pPr>
      <w:r w:rsidRPr="000A1C8E">
        <w:rPr>
          <w:rFonts w:cs="Tahoma"/>
          <w:szCs w:val="20"/>
        </w:rPr>
        <w:t xml:space="preserve">3.500 Office Professional </w:t>
      </w:r>
      <w:r w:rsidRPr="000A1C8E">
        <w:rPr>
          <w:rFonts w:cs="Tahoma"/>
          <w:color w:val="000000"/>
          <w:szCs w:val="20"/>
        </w:rPr>
        <w:t>Plus</w:t>
      </w:r>
    </w:p>
    <w:p w:rsidR="000D4ECA" w:rsidRPr="000A1C8E" w:rsidRDefault="000D4ECA" w:rsidP="00346F4B">
      <w:pPr>
        <w:numPr>
          <w:ilvl w:val="0"/>
          <w:numId w:val="70"/>
        </w:numPr>
        <w:spacing w:after="60" w:line="276" w:lineRule="auto"/>
        <w:rPr>
          <w:rFonts w:cs="Tahoma"/>
        </w:rPr>
      </w:pPr>
      <w:r w:rsidRPr="000A1C8E">
        <w:rPr>
          <w:rFonts w:cs="Tahoma"/>
          <w:color w:val="000000"/>
          <w:szCs w:val="20"/>
        </w:rPr>
        <w:t>3.500 Pacotes CAL Empresarial</w:t>
      </w:r>
    </w:p>
    <w:p w:rsidR="000D4ECA" w:rsidRPr="000A1C8E" w:rsidRDefault="000D4ECA" w:rsidP="000D4ECA">
      <w:pPr>
        <w:spacing w:after="60"/>
        <w:rPr>
          <w:rFonts w:cs="Tahoma"/>
        </w:rPr>
      </w:pPr>
      <w:r w:rsidRPr="000A1C8E">
        <w:rPr>
          <w:rFonts w:cs="Tahoma"/>
          <w:szCs w:val="20"/>
        </w:rPr>
        <w:t>+50 Windows Server Enterprise Edition (x 50 pontos cada = 2.500 pontos)</w:t>
      </w:r>
    </w:p>
    <w:p w:rsidR="000D4ECA" w:rsidRPr="000A1C8E" w:rsidRDefault="000D4ECA" w:rsidP="000D4ECA">
      <w:pPr>
        <w:spacing w:after="60"/>
        <w:rPr>
          <w:rFonts w:cs="Tahoma"/>
        </w:rPr>
      </w:pPr>
      <w:r w:rsidRPr="000A1C8E">
        <w:rPr>
          <w:rFonts w:cs="Tahoma"/>
          <w:szCs w:val="20"/>
          <w:u w:val="single"/>
        </w:rPr>
        <w:t>+ 600 SA do Visio Standard</w:t>
      </w:r>
      <w:r w:rsidRPr="000A1C8E">
        <w:rPr>
          <w:rFonts w:cs="Tahoma"/>
          <w:szCs w:val="20"/>
          <w:u w:val="single"/>
        </w:rPr>
        <w:tab/>
      </w:r>
    </w:p>
    <w:p w:rsidR="000D4ECA" w:rsidRPr="000A1C8E" w:rsidRDefault="000D4ECA" w:rsidP="000D4ECA">
      <w:pPr>
        <w:spacing w:after="60"/>
        <w:rPr>
          <w:rFonts w:cs="Tahoma"/>
        </w:rPr>
      </w:pPr>
      <w:r w:rsidRPr="000A1C8E">
        <w:rPr>
          <w:rFonts w:cs="Tahoma"/>
          <w:szCs w:val="20"/>
        </w:rPr>
        <w:t xml:space="preserve">6.600 Pontos Cobertos de Licenças de Aplicativos e/ou Servidores Office = 10 dias </w:t>
      </w:r>
    </w:p>
    <w:p w:rsidR="000D4ECA" w:rsidRPr="000A1C8E" w:rsidRDefault="000D4ECA" w:rsidP="000D4ECA">
      <w:pPr>
        <w:spacing w:after="60"/>
        <w:rPr>
          <w:rFonts w:cs="Tahoma"/>
        </w:rPr>
      </w:pPr>
      <w:r w:rsidRPr="000A1C8E">
        <w:rPr>
          <w:rFonts w:cs="Tahoma"/>
          <w:szCs w:val="20"/>
        </w:rPr>
        <w:lastRenderedPageBreak/>
        <w:t>7.000 pontos de Pacote CAL com Cobertura = 3 dias</w:t>
      </w:r>
    </w:p>
    <w:p w:rsidR="000D4ECA" w:rsidRPr="000A1C8E" w:rsidRDefault="000D4ECA" w:rsidP="00346F4B">
      <w:pPr>
        <w:numPr>
          <w:ilvl w:val="0"/>
          <w:numId w:val="71"/>
        </w:numPr>
        <w:spacing w:after="60"/>
        <w:ind w:left="720"/>
        <w:rPr>
          <w:rFonts w:cs="Tahoma"/>
        </w:rPr>
      </w:pPr>
      <w:r w:rsidRPr="000A1C8E">
        <w:rPr>
          <w:rFonts w:cs="Tahoma"/>
          <w:szCs w:val="20"/>
        </w:rPr>
        <w:t>Total de 13 Dias de Serviços de Planejamento</w:t>
      </w:r>
    </w:p>
    <w:p w:rsidR="000D4ECA" w:rsidRPr="000A1C8E" w:rsidRDefault="000D4ECA" w:rsidP="000D4ECA">
      <w:pPr>
        <w:spacing w:after="60"/>
        <w:rPr>
          <w:rFonts w:cs="Tahoma"/>
        </w:rPr>
      </w:pPr>
      <w:r w:rsidRPr="000A1C8E">
        <w:rPr>
          <w:rFonts w:cs="Tahoma"/>
          <w:szCs w:val="20"/>
        </w:rPr>
        <w:t>Registro ECI com:</w:t>
      </w:r>
    </w:p>
    <w:p w:rsidR="00316AE2" w:rsidRPr="000A1C8E" w:rsidRDefault="00316AE2" w:rsidP="00316AE2">
      <w:pPr>
        <w:spacing w:after="60"/>
        <w:rPr>
          <w:rFonts w:cs="Tahoma"/>
        </w:rPr>
      </w:pPr>
      <w:r w:rsidRPr="000A1C8E">
        <w:rPr>
          <w:rFonts w:cs="Tahoma"/>
          <w:szCs w:val="20"/>
        </w:rPr>
        <w:t xml:space="preserve">100 ECI Datacenter </w:t>
      </w:r>
    </w:p>
    <w:p w:rsidR="00316AE2" w:rsidRPr="000A1C8E" w:rsidRDefault="00316AE2" w:rsidP="00346F4B">
      <w:pPr>
        <w:numPr>
          <w:ilvl w:val="0"/>
          <w:numId w:val="71"/>
        </w:numPr>
        <w:spacing w:after="60"/>
        <w:ind w:left="720"/>
        <w:rPr>
          <w:rFonts w:cs="Tahoma"/>
        </w:rPr>
      </w:pPr>
      <w:r w:rsidRPr="000A1C8E">
        <w:rPr>
          <w:rFonts w:cs="Tahoma"/>
          <w:szCs w:val="20"/>
        </w:rPr>
        <w:t>100 Windows Server Datacenter Edition (x 75 pontos cada x 2 pontos = 15.000 pontos)</w:t>
      </w:r>
    </w:p>
    <w:p w:rsidR="00316AE2" w:rsidRPr="000A1C8E" w:rsidRDefault="00316AE2" w:rsidP="00346F4B">
      <w:pPr>
        <w:numPr>
          <w:ilvl w:val="0"/>
          <w:numId w:val="71"/>
        </w:numPr>
        <w:spacing w:after="60"/>
        <w:ind w:left="720"/>
        <w:rPr>
          <w:rFonts w:cs="Tahoma"/>
        </w:rPr>
      </w:pPr>
      <w:r w:rsidRPr="000A1C8E">
        <w:rPr>
          <w:rFonts w:cs="Tahoma"/>
          <w:szCs w:val="20"/>
          <w:u w:val="single"/>
        </w:rPr>
        <w:t>100 System Center 2012 Datacenter Edition (x 75 pontos cada x 2 pontos = 15.000 pontos)</w:t>
      </w:r>
    </w:p>
    <w:p w:rsidR="000D4ECA" w:rsidRPr="000A1C8E" w:rsidRDefault="00316AE2" w:rsidP="00697E59">
      <w:pPr>
        <w:spacing w:after="60"/>
        <w:ind w:firstLine="360"/>
        <w:rPr>
          <w:rFonts w:cs="Tahoma"/>
        </w:rPr>
      </w:pPr>
      <w:r w:rsidRPr="000A1C8E">
        <w:rPr>
          <w:rFonts w:cs="Tahoma"/>
          <w:szCs w:val="20"/>
        </w:rPr>
        <w:t>30.000 Pontos Cobertos de licenças de Aplicativos e/ou Servidores Office = 15 dias</w:t>
      </w:r>
    </w:p>
    <w:p w:rsidR="00697E59" w:rsidRPr="000A1C8E" w:rsidRDefault="00697E59" w:rsidP="00077CE5">
      <w:pPr>
        <w:ind w:firstLine="360"/>
        <w:rPr>
          <w:rFonts w:cs="Tahoma"/>
        </w:rPr>
      </w:pPr>
    </w:p>
    <w:p w:rsidR="00023FE7" w:rsidRPr="000A1C8E" w:rsidRDefault="00023FE7" w:rsidP="00F528E5">
      <w:pPr>
        <w:pStyle w:val="AppendixBodyText"/>
        <w:spacing w:after="0"/>
        <w:rPr>
          <w:rFonts w:ascii="Tahoma" w:hAnsi="Tahoma" w:cs="Tahoma"/>
        </w:rPr>
      </w:pPr>
      <w:r w:rsidRPr="000A1C8E">
        <w:rPr>
          <w:rFonts w:ascii="Tahoma" w:hAnsi="Tahoma" w:cs="Tahoma"/>
          <w:sz w:val="18"/>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DC6D8B" w:rsidRPr="000A1C8E">
        <w:rPr>
          <w:rFonts w:ascii="Tahoma" w:hAnsi="Tahoma" w:cs="Tahoma"/>
          <w:sz w:val="18"/>
        </w:rPr>
        <w:t xml:space="preserve"> </w:t>
      </w:r>
      <w:r w:rsidRPr="000A1C8E">
        <w:rPr>
          <w:rFonts w:ascii="Tahoma" w:hAnsi="Tahoma" w:cs="Tahoma"/>
          <w:sz w:val="18"/>
        </w:rPr>
        <w:t xml:space="preserve">Os clientes qualificados podem converter os dias não utilizados do Cupom de Treinamento em dias do Serviço de Planejamento em uma proporção 3:1 (três dias de Cupom de Treinamento = um dia de Serviços de Planejamento). </w:t>
      </w:r>
      <w:r w:rsidRPr="000A1C8E">
        <w:rPr>
          <w:rFonts w:ascii="Tahoma" w:hAnsi="Tahoma" w:cs="Tahoma"/>
          <w:bCs/>
          <w:sz w:val="18"/>
        </w:rPr>
        <w:t>OBSERVAÇÃO: os clientes que desejarem usar seus dias do Cupom de Treinamento em Serviços de Planejamento não devem criar Cupons de Treinamento com esses dias. [</w:t>
      </w:r>
      <w:r w:rsidRPr="000A1C8E">
        <w:rPr>
          <w:rFonts w:ascii="Tahoma" w:hAnsi="Tahoma" w:cs="Tahoma"/>
          <w:sz w:val="18"/>
        </w:rPr>
        <w:t>Os dias dos Serviços de Planejamento</w:t>
      </w:r>
      <w:r w:rsidRPr="000A1C8E">
        <w:rPr>
          <w:rFonts w:ascii="Tahoma" w:hAnsi="Tahoma" w:cs="Tahoma"/>
          <w:bCs/>
          <w:sz w:val="18"/>
        </w:rPr>
        <w:t xml:space="preserve"> não podem ser convertidos em dias do Cupom de Treinamento.] Entretanto, se um cliente desejar reverter uma conversão de dias do Cupom de Treinamento, os dias dos Serviços de</w:t>
      </w:r>
      <w:r w:rsidR="00921759" w:rsidRPr="000A1C8E">
        <w:rPr>
          <w:rFonts w:ascii="Tahoma" w:hAnsi="Tahoma" w:cs="Tahoma"/>
          <w:bCs/>
          <w:sz w:val="18"/>
        </w:rPr>
        <w:t> </w:t>
      </w:r>
      <w:r w:rsidRPr="000A1C8E">
        <w:rPr>
          <w:rFonts w:ascii="Tahoma" w:hAnsi="Tahoma" w:cs="Tahoma"/>
          <w:bCs/>
          <w:sz w:val="18"/>
        </w:rPr>
        <w:t>Planejamento deverão ser convertidos de volta em dias do Cupom de Treinamento. Após a conversão de dias do Cupom de Treinamento em dias de Serviços de Planejamento, os dias de Serviços de Planejamento serão exibidos no</w:t>
      </w:r>
      <w:r w:rsidR="00921759" w:rsidRPr="000A1C8E">
        <w:rPr>
          <w:rFonts w:ascii="Tahoma" w:hAnsi="Tahoma" w:cs="Tahoma"/>
          <w:bCs/>
          <w:sz w:val="18"/>
        </w:rPr>
        <w:t> </w:t>
      </w:r>
      <w:r w:rsidRPr="000A1C8E">
        <w:rPr>
          <w:rFonts w:ascii="Tahoma" w:hAnsi="Tahoma" w:cs="Tahoma"/>
          <w:bCs/>
          <w:sz w:val="18"/>
        </w:rPr>
        <w:t>pool de dias de Serviços de Planejamento do cliente.</w:t>
      </w:r>
      <w:r w:rsidR="00DC6D8B" w:rsidRPr="000A1C8E">
        <w:rPr>
          <w:rFonts w:ascii="Tahoma" w:hAnsi="Tahoma" w:cs="Tahoma"/>
          <w:bCs/>
          <w:sz w:val="18"/>
        </w:rPr>
        <w:t xml:space="preserve"> </w:t>
      </w:r>
      <w:r w:rsidRPr="000A1C8E">
        <w:rPr>
          <w:rFonts w:ascii="Tahoma" w:hAnsi="Tahoma" w:cs="Tahoma"/>
          <w:bCs/>
          <w:sz w:val="18"/>
        </w:rPr>
        <w:t>Esses dias poderão ser usados para criar cupom(ns) para serviços disponíveis (como o DDPS ou o SDPS).</w:t>
      </w:r>
      <w:r w:rsidR="00DC6D8B" w:rsidRPr="000A1C8E">
        <w:rPr>
          <w:rFonts w:ascii="Tahoma" w:hAnsi="Tahoma" w:cs="Tahoma"/>
          <w:bCs/>
          <w:sz w:val="18"/>
        </w:rPr>
        <w:t xml:space="preserve"> </w:t>
      </w:r>
      <w:r w:rsidRPr="000A1C8E">
        <w:rPr>
          <w:rFonts w:ascii="Tahoma" w:hAnsi="Tahoma" w:cs="Tahoma"/>
          <w:bCs/>
          <w:sz w:val="18"/>
        </w:rPr>
        <w:t>*A qualificação dos clientes para converter dias de volta em dias de</w:t>
      </w:r>
      <w:r w:rsidR="00921759" w:rsidRPr="000A1C8E">
        <w:rPr>
          <w:rFonts w:ascii="Tahoma" w:hAnsi="Tahoma" w:cs="Tahoma"/>
          <w:bCs/>
          <w:sz w:val="18"/>
        </w:rPr>
        <w:t> </w:t>
      </w:r>
      <w:r w:rsidRPr="000A1C8E">
        <w:rPr>
          <w:rFonts w:ascii="Tahoma" w:hAnsi="Tahoma" w:cs="Tahoma"/>
          <w:bCs/>
          <w:sz w:val="18"/>
        </w:rPr>
        <w:t>Cupom de Treinamento é limitada com base no número de dias disponíveis no nível Dias de Serviços de Planejamento.</w:t>
      </w:r>
      <w:r w:rsidR="00DC6D8B" w:rsidRPr="000A1C8E">
        <w:rPr>
          <w:rFonts w:ascii="Tahoma" w:hAnsi="Tahoma" w:cs="Tahoma"/>
          <w:bCs/>
          <w:sz w:val="18"/>
        </w:rPr>
        <w:t xml:space="preserve"> </w:t>
      </w:r>
      <w:r w:rsidRPr="000A1C8E">
        <w:rPr>
          <w:rFonts w:ascii="Tahoma" w:hAnsi="Tahoma" w:cs="Tahoma"/>
          <w:bCs/>
          <w:sz w:val="18"/>
        </w:rPr>
        <w:t>Se um cliente desejar converter de volta 10 dias, mas houver apenas 8 Dias de Serviços de Planejamento em seu pool, ele poderá converter apenas 8 dias.</w:t>
      </w:r>
      <w:r w:rsidR="00DC6D8B" w:rsidRPr="000A1C8E">
        <w:rPr>
          <w:rFonts w:ascii="Tahoma" w:hAnsi="Tahoma" w:cs="Tahoma"/>
          <w:bCs/>
          <w:sz w:val="18"/>
        </w:rPr>
        <w:t xml:space="preserve"> </w:t>
      </w:r>
    </w:p>
    <w:p w:rsidR="00F528E5" w:rsidRPr="000A1C8E" w:rsidRDefault="00F528E5" w:rsidP="00F528E5">
      <w:pPr>
        <w:pStyle w:val="AppendixBodyText"/>
        <w:spacing w:after="0"/>
        <w:rPr>
          <w:rFonts w:ascii="Tahoma" w:hAnsi="Tahoma" w:cs="Tahoma"/>
          <w:sz w:val="18"/>
        </w:rPr>
      </w:pPr>
    </w:p>
    <w:p w:rsidR="00023FE7" w:rsidRPr="000A1C8E" w:rsidRDefault="00023FE7" w:rsidP="00F528E5">
      <w:pPr>
        <w:pStyle w:val="AppendixBodyText"/>
        <w:spacing w:after="0"/>
        <w:rPr>
          <w:rFonts w:ascii="Tahoma" w:hAnsi="Tahoma" w:cs="Tahoma"/>
        </w:rPr>
      </w:pPr>
      <w:r w:rsidRPr="000A1C8E">
        <w:rPr>
          <w:rFonts w:ascii="Tahoma" w:hAnsi="Tahoma" w:cs="Tahoma"/>
          <w:bCs/>
          <w:sz w:val="18"/>
        </w:rPr>
        <w:t>Os clientes em contratos de Licenciamento por Volume qualificados que não atenderem aos valores limite mínimos</w:t>
      </w:r>
      <w:r w:rsidR="00921759" w:rsidRPr="000A1C8E">
        <w:rPr>
          <w:rFonts w:ascii="Tahoma" w:hAnsi="Tahoma" w:cs="Tahoma"/>
          <w:bCs/>
          <w:sz w:val="18"/>
        </w:rPr>
        <w:t> </w:t>
      </w:r>
      <w:r w:rsidRPr="000A1C8E">
        <w:rPr>
          <w:rFonts w:ascii="Tahoma" w:hAnsi="Tahoma" w:cs="Tahoma"/>
          <w:bCs/>
          <w:sz w:val="18"/>
        </w:rPr>
        <w:t>para receber qualificações do Serviço de Planejamento, mas que atenderem ou excederem os critérios de</w:t>
      </w:r>
      <w:r w:rsidR="00921759" w:rsidRPr="000A1C8E">
        <w:rPr>
          <w:rFonts w:ascii="Tahoma" w:hAnsi="Tahoma" w:cs="Tahoma"/>
          <w:bCs/>
          <w:sz w:val="18"/>
        </w:rPr>
        <w:t> </w:t>
      </w:r>
      <w:r w:rsidRPr="000A1C8E">
        <w:rPr>
          <w:rFonts w:ascii="Tahoma" w:hAnsi="Tahoma" w:cs="Tahoma"/>
          <w:bCs/>
          <w:sz w:val="18"/>
        </w:rPr>
        <w:t>conversão de dias do Cupom de Treinamento, poderão converter os dias do Cupom de Treinamento conforme especificado acima.</w:t>
      </w:r>
    </w:p>
    <w:p w:rsidR="00023FE7" w:rsidRPr="000A1C8E" w:rsidRDefault="00023FE7" w:rsidP="00077CE5">
      <w:pPr>
        <w:pStyle w:val="AppendixBodyText"/>
        <w:spacing w:after="0"/>
        <w:rPr>
          <w:rFonts w:ascii="Tahoma" w:hAnsi="Tahoma" w:cs="Tahoma"/>
          <w:sz w:val="18"/>
        </w:rPr>
      </w:pPr>
    </w:p>
    <w:p w:rsidR="00023FE7" w:rsidRPr="000A1C8E" w:rsidRDefault="000D4ECA">
      <w:pPr>
        <w:pStyle w:val="AppendixBodyText"/>
        <w:rPr>
          <w:rFonts w:ascii="Tahoma" w:hAnsi="Tahoma" w:cs="Tahoma"/>
        </w:rPr>
      </w:pPr>
      <w:r w:rsidRPr="000A1C8E">
        <w:rPr>
          <w:rFonts w:ascii="Tahoma" w:hAnsi="Tahoma" w:cs="Tahoma"/>
          <w:sz w:val="18"/>
        </w:rPr>
        <w:t>Os Serviços de Planejamento podem ser fornecidos ao cliente por Parceiros da Microsoft ou Serviços de Consultoria</w:t>
      </w:r>
      <w:r w:rsidR="00921759" w:rsidRPr="000A1C8E">
        <w:rPr>
          <w:rFonts w:ascii="Tahoma" w:hAnsi="Tahoma" w:cs="Tahoma"/>
          <w:sz w:val="18"/>
        </w:rPr>
        <w:t> </w:t>
      </w:r>
      <w:r w:rsidRPr="000A1C8E">
        <w:rPr>
          <w:rFonts w:ascii="Tahoma" w:hAnsi="Tahoma" w:cs="Tahoma"/>
          <w:sz w:val="18"/>
        </w:rPr>
        <w:t>Microsoft qualificados.</w:t>
      </w:r>
      <w:r w:rsidR="00DC6D8B" w:rsidRPr="000A1C8E">
        <w:rPr>
          <w:rFonts w:ascii="Tahoma" w:hAnsi="Tahoma" w:cs="Tahoma"/>
          <w:sz w:val="18"/>
        </w:rPr>
        <w:t xml:space="preserve"> </w:t>
      </w:r>
      <w:r w:rsidRPr="000A1C8E">
        <w:rPr>
          <w:rFonts w:ascii="Tahoma" w:hAnsi="Tahoma" w:cs="Tahoma"/>
          <w:sz w:val="18"/>
        </w:rPr>
        <w:t>Um cliente pode visualizar a lista de Provedores Qualificados aqui: http://directory.partners.extranet.microsoft.com/psbproviders</w:t>
      </w:r>
      <w:r w:rsidR="00DC6D8B" w:rsidRPr="000A1C8E">
        <w:rPr>
          <w:rFonts w:ascii="Tahoma" w:hAnsi="Tahoma" w:cs="Tahoma"/>
          <w:sz w:val="18"/>
        </w:rPr>
        <w:t xml:space="preserve"> </w:t>
      </w:r>
    </w:p>
    <w:p w:rsidR="00EC05F0" w:rsidRPr="000A1C8E" w:rsidRDefault="00EC05F0" w:rsidP="00921759">
      <w:pPr>
        <w:pStyle w:val="AppendixBodyText"/>
        <w:spacing w:after="0"/>
        <w:rPr>
          <w:rFonts w:ascii="Tahoma" w:hAnsi="Tahoma" w:cs="Tahoma"/>
          <w:sz w:val="18"/>
        </w:rPr>
      </w:pPr>
    </w:p>
    <w:p w:rsidR="00023FE7" w:rsidRPr="000A1C8E" w:rsidRDefault="000D4ECA" w:rsidP="005A141F">
      <w:pPr>
        <w:pStyle w:val="AppendixBodyText"/>
        <w:spacing w:after="0"/>
        <w:rPr>
          <w:rFonts w:ascii="Tahoma" w:hAnsi="Tahoma" w:cs="Tahoma"/>
        </w:rPr>
      </w:pPr>
      <w:r w:rsidRPr="000A1C8E">
        <w:rPr>
          <w:rFonts w:ascii="Tahoma" w:hAnsi="Tahoma" w:cs="Tahoma"/>
          <w:sz w:val="18"/>
        </w:rPr>
        <w:t>Os compromissos de Serviços de Planejamento fornecem uma consultoria que abrange um escopo de trabalho predefinido que resulta em um plano de implantação de alto nível; a implantação real do software não pode ser incluída.</w:t>
      </w:r>
    </w:p>
    <w:p w:rsidR="00023FE7" w:rsidRPr="000A1C8E" w:rsidRDefault="00023FE7" w:rsidP="005A141F">
      <w:pPr>
        <w:pStyle w:val="AppendixBodyText"/>
        <w:spacing w:after="0"/>
        <w:rPr>
          <w:rFonts w:ascii="Tahoma" w:hAnsi="Tahoma" w:cs="Tahoma"/>
          <w:sz w:val="18"/>
        </w:rPr>
      </w:pPr>
    </w:p>
    <w:p w:rsidR="00AC1997" w:rsidRPr="000A1C8E" w:rsidRDefault="000D4ECA" w:rsidP="002F529F">
      <w:pPr>
        <w:pStyle w:val="AppendixBodyText"/>
        <w:numPr>
          <w:ilvl w:val="0"/>
          <w:numId w:val="1"/>
        </w:numPr>
        <w:tabs>
          <w:tab w:val="clear" w:pos="720"/>
          <w:tab w:val="num" w:pos="1440"/>
        </w:tabs>
        <w:ind w:left="1440"/>
        <w:rPr>
          <w:rFonts w:ascii="Tahoma" w:hAnsi="Tahoma" w:cs="Tahoma"/>
        </w:rPr>
      </w:pPr>
      <w:r w:rsidRPr="000A1C8E">
        <w:rPr>
          <w:rFonts w:ascii="Tahoma" w:hAnsi="Tahoma" w:cs="Tahoma"/>
          <w:bCs/>
          <w:sz w:val="18"/>
        </w:rPr>
        <w:t>Os Serviços de Planejamento não estão disponíveis em todos os idiomas.</w:t>
      </w:r>
    </w:p>
    <w:p w:rsidR="00AC1997" w:rsidRPr="000A1C8E" w:rsidRDefault="000D4ECA" w:rsidP="002F529F">
      <w:pPr>
        <w:pStyle w:val="AppendixBodyText"/>
        <w:numPr>
          <w:ilvl w:val="0"/>
          <w:numId w:val="1"/>
        </w:numPr>
        <w:tabs>
          <w:tab w:val="clear" w:pos="720"/>
          <w:tab w:val="num" w:pos="1440"/>
        </w:tabs>
        <w:ind w:left="1440"/>
        <w:rPr>
          <w:rFonts w:ascii="Tahoma" w:hAnsi="Tahoma" w:cs="Tahoma"/>
        </w:rPr>
      </w:pPr>
      <w:r w:rsidRPr="000A1C8E">
        <w:rPr>
          <w:rFonts w:ascii="Tahoma" w:hAnsi="Tahoma" w:cs="Tahoma"/>
          <w:bCs/>
          <w:color w:val="000000"/>
          <w:sz w:val="18"/>
        </w:rPr>
        <w:t>Os cupons dos Serviços de Planejamento podem ser resgatados apenas pelo cliente que estiver qualificado para o benefício.</w:t>
      </w:r>
    </w:p>
    <w:p w:rsidR="00AC1997" w:rsidRPr="000A1C8E" w:rsidRDefault="000D4ECA" w:rsidP="002F529F">
      <w:pPr>
        <w:pStyle w:val="AppendixBodyText"/>
        <w:numPr>
          <w:ilvl w:val="0"/>
          <w:numId w:val="1"/>
        </w:numPr>
        <w:tabs>
          <w:tab w:val="clear" w:pos="720"/>
          <w:tab w:val="num" w:pos="1440"/>
        </w:tabs>
        <w:ind w:left="1440"/>
        <w:rPr>
          <w:rFonts w:ascii="Tahoma" w:hAnsi="Tahoma" w:cs="Tahoma"/>
        </w:rPr>
      </w:pPr>
      <w:r w:rsidRPr="000A1C8E">
        <w:rPr>
          <w:rFonts w:ascii="Tahoma" w:hAnsi="Tahoma" w:cs="Tahoma"/>
          <w:bCs/>
          <w:color w:val="000000"/>
          <w:sz w:val="18"/>
        </w:rPr>
        <w:t>Os cupons dos Serviços de Planejamento não podem ser trocados por dinheiro, valores nem outras considerações de valor.</w:t>
      </w:r>
    </w:p>
    <w:p w:rsidR="00AC1997" w:rsidRPr="000A1C8E" w:rsidRDefault="00AC1997" w:rsidP="002F529F">
      <w:pPr>
        <w:pStyle w:val="AppendixBodyText"/>
        <w:numPr>
          <w:ilvl w:val="0"/>
          <w:numId w:val="1"/>
        </w:numPr>
        <w:tabs>
          <w:tab w:val="clear" w:pos="720"/>
          <w:tab w:val="num" w:pos="1440"/>
        </w:tabs>
        <w:ind w:left="1440"/>
        <w:rPr>
          <w:rFonts w:ascii="Tahoma" w:hAnsi="Tahoma" w:cs="Tahoma"/>
        </w:rPr>
      </w:pPr>
      <w:r w:rsidRPr="000A1C8E">
        <w:rPr>
          <w:rFonts w:ascii="Tahoma" w:hAnsi="Tahoma" w:cs="Tahoma"/>
          <w:bCs/>
          <w:color w:val="000000"/>
          <w:sz w:val="18"/>
        </w:rPr>
        <w:t xml:space="preserve">Os clientes que estiverem interessados em adquirir serviços adicionais além desses cobertos pelo </w:t>
      </w:r>
      <w:r w:rsidRPr="000A1C8E">
        <w:rPr>
          <w:rFonts w:ascii="Tahoma" w:hAnsi="Tahoma" w:cs="Tahoma"/>
          <w:color w:val="000000"/>
          <w:sz w:val="18"/>
          <w:szCs w:val="18"/>
        </w:rPr>
        <w:t>escopo do trabalho do compromisso de cupom atribuído (conforme definido pelo tipo de cupom e nível de serviço)</w:t>
      </w:r>
      <w:r w:rsidRPr="000A1C8E">
        <w:rPr>
          <w:rFonts w:ascii="Tahoma" w:hAnsi="Tahoma" w:cs="Tahoma"/>
          <w:bCs/>
          <w:color w:val="000000"/>
          <w:sz w:val="18"/>
        </w:rPr>
        <w:t xml:space="preserve"> devem pagar a seus provedores fora desse programa.</w:t>
      </w:r>
    </w:p>
    <w:p w:rsidR="00AC1997" w:rsidRPr="000A1C8E" w:rsidRDefault="00AC1997" w:rsidP="002F529F">
      <w:pPr>
        <w:pStyle w:val="AppendixBodyText"/>
        <w:numPr>
          <w:ilvl w:val="0"/>
          <w:numId w:val="1"/>
        </w:numPr>
        <w:tabs>
          <w:tab w:val="clear" w:pos="720"/>
          <w:tab w:val="num" w:pos="1440"/>
        </w:tabs>
        <w:ind w:left="1440"/>
        <w:rPr>
          <w:rFonts w:ascii="Tahoma" w:hAnsi="Tahoma" w:cs="Tahoma"/>
        </w:rPr>
      </w:pPr>
      <w:r w:rsidRPr="000A1C8E">
        <w:rPr>
          <w:rFonts w:ascii="Tahoma" w:hAnsi="Tahoma" w:cs="Tahoma"/>
          <w:color w:val="000000"/>
          <w:sz w:val="18"/>
        </w:rPr>
        <w:t>A redução d</w:t>
      </w:r>
      <w:r w:rsidRPr="000A1C8E">
        <w:rPr>
          <w:rFonts w:ascii="Tahoma" w:hAnsi="Tahoma" w:cs="Tahoma"/>
          <w:bCs/>
          <w:color w:val="000000"/>
          <w:sz w:val="18"/>
        </w:rPr>
        <w:t>a</w:t>
      </w:r>
      <w:r w:rsidRPr="000A1C8E">
        <w:rPr>
          <w:rFonts w:ascii="Tahoma" w:hAnsi="Tahoma" w:cs="Tahoma"/>
          <w:color w:val="000000"/>
          <w:sz w:val="18"/>
        </w:rPr>
        <w:t xml:space="preserve"> cobertura do SA qualificada como um resultado de devoluções e outros ajustes de cobrança</w:t>
      </w:r>
      <w:r w:rsidRPr="000A1C8E">
        <w:rPr>
          <w:rFonts w:ascii="Tahoma" w:hAnsi="Tahoma" w:cs="Tahoma"/>
          <w:bCs/>
          <w:color w:val="000000"/>
          <w:sz w:val="18"/>
        </w:rPr>
        <w:t>,</w:t>
      </w:r>
      <w:r w:rsidRPr="000A1C8E">
        <w:rPr>
          <w:rFonts w:ascii="Tahoma" w:hAnsi="Tahoma" w:cs="Tahoma"/>
          <w:color w:val="000000"/>
          <w:sz w:val="18"/>
        </w:rPr>
        <w:t xml:space="preserve"> quando permitidos, </w:t>
      </w:r>
      <w:r w:rsidRPr="000A1C8E">
        <w:rPr>
          <w:rFonts w:ascii="Tahoma" w:hAnsi="Tahoma" w:cs="Tahoma"/>
          <w:bCs/>
          <w:color w:val="000000"/>
          <w:sz w:val="18"/>
        </w:rPr>
        <w:t>pode</w:t>
      </w:r>
      <w:r w:rsidRPr="000A1C8E">
        <w:rPr>
          <w:rFonts w:ascii="Tahoma" w:hAnsi="Tahoma" w:cs="Tahoma"/>
          <w:color w:val="000000"/>
          <w:sz w:val="18"/>
        </w:rPr>
        <w:t xml:space="preserve"> diminuir os dias de qualificação dos Serviços de Planejamento do </w:t>
      </w:r>
      <w:r w:rsidRPr="000A1C8E">
        <w:rPr>
          <w:rFonts w:ascii="Tahoma" w:hAnsi="Tahoma" w:cs="Tahoma"/>
          <w:bCs/>
          <w:color w:val="000000"/>
          <w:sz w:val="18"/>
        </w:rPr>
        <w:t>cliente.</w:t>
      </w:r>
    </w:p>
    <w:p w:rsidR="00762183" w:rsidRPr="000A1C8E" w:rsidRDefault="00AC1997" w:rsidP="00346F4B">
      <w:pPr>
        <w:pStyle w:val="AppendixBodyText"/>
        <w:numPr>
          <w:ilvl w:val="0"/>
          <w:numId w:val="22"/>
        </w:numPr>
        <w:tabs>
          <w:tab w:val="num" w:pos="1440"/>
        </w:tabs>
        <w:ind w:left="1440"/>
        <w:rPr>
          <w:rFonts w:ascii="Tahoma" w:hAnsi="Tahoma" w:cs="Tahoma"/>
        </w:rPr>
      </w:pPr>
      <w:r w:rsidRPr="000A1C8E">
        <w:rPr>
          <w:rFonts w:ascii="Tahoma" w:hAnsi="Tahoma" w:cs="Tahoma"/>
          <w:bCs/>
          <w:color w:val="000000"/>
          <w:sz w:val="18"/>
        </w:rPr>
        <w:t xml:space="preserve">Os cupons são válidos apenas com </w:t>
      </w:r>
      <w:r w:rsidRPr="000A1C8E">
        <w:rPr>
          <w:rFonts w:ascii="Tahoma" w:hAnsi="Tahoma" w:cs="Tahoma"/>
          <w:color w:val="000000"/>
          <w:sz w:val="18"/>
        </w:rPr>
        <w:t xml:space="preserve">Provedores qualificados </w:t>
      </w:r>
      <w:r w:rsidRPr="000A1C8E">
        <w:rPr>
          <w:rFonts w:ascii="Tahoma" w:hAnsi="Tahoma" w:cs="Tahoma"/>
          <w:bCs/>
          <w:color w:val="000000"/>
          <w:sz w:val="18"/>
        </w:rPr>
        <w:t>para o tipo de serviço específico para o</w:t>
      </w:r>
      <w:r w:rsidR="00921759" w:rsidRPr="000A1C8E">
        <w:rPr>
          <w:rFonts w:ascii="Tahoma" w:hAnsi="Tahoma" w:cs="Tahoma"/>
          <w:bCs/>
          <w:color w:val="000000"/>
          <w:sz w:val="18"/>
        </w:rPr>
        <w:t> </w:t>
      </w:r>
      <w:r w:rsidRPr="000A1C8E">
        <w:rPr>
          <w:rFonts w:ascii="Tahoma" w:hAnsi="Tahoma" w:cs="Tahoma"/>
          <w:bCs/>
          <w:color w:val="000000"/>
          <w:sz w:val="18"/>
        </w:rPr>
        <w:t xml:space="preserve">qual o cupom está </w:t>
      </w:r>
      <w:r w:rsidRPr="000A1C8E">
        <w:rPr>
          <w:rFonts w:ascii="Tahoma" w:hAnsi="Tahoma" w:cs="Tahoma"/>
          <w:bCs/>
          <w:color w:val="000000"/>
          <w:sz w:val="18"/>
          <w:szCs w:val="18"/>
        </w:rPr>
        <w:t xml:space="preserve">sendo resgatado. </w:t>
      </w:r>
      <w:r w:rsidRPr="000A1C8E">
        <w:rPr>
          <w:rFonts w:ascii="Tahoma" w:hAnsi="Tahoma" w:cs="Tahoma"/>
          <w:color w:val="000000"/>
          <w:sz w:val="18"/>
          <w:szCs w:val="18"/>
        </w:rPr>
        <w:t>O cupom pode ser usado com qualquer Provedor qualificado de todo o mundo. A participação pode variar.</w:t>
      </w:r>
    </w:p>
    <w:p w:rsidR="0083748D" w:rsidRPr="000A1C8E" w:rsidRDefault="0083748D" w:rsidP="002F529F">
      <w:pPr>
        <w:pStyle w:val="AppendixBodyText"/>
        <w:numPr>
          <w:ilvl w:val="0"/>
          <w:numId w:val="1"/>
        </w:numPr>
        <w:tabs>
          <w:tab w:val="clear" w:pos="720"/>
          <w:tab w:val="num" w:pos="1440"/>
        </w:tabs>
        <w:ind w:left="1440"/>
        <w:rPr>
          <w:rFonts w:ascii="Tahoma" w:hAnsi="Tahoma" w:cs="Tahoma"/>
        </w:rPr>
      </w:pPr>
      <w:r w:rsidRPr="000A1C8E">
        <w:rPr>
          <w:rFonts w:ascii="Tahoma" w:hAnsi="Tahoma" w:cs="Tahoma"/>
          <w:color w:val="000000"/>
          <w:sz w:val="18"/>
          <w:szCs w:val="18"/>
        </w:rPr>
        <w:t>Os cupons devem ser atribuídos durante o período de cobertura do Software Assurance.</w:t>
      </w:r>
    </w:p>
    <w:p w:rsidR="0083748D" w:rsidRPr="000A1C8E" w:rsidRDefault="0083748D" w:rsidP="002F529F">
      <w:pPr>
        <w:pStyle w:val="AppendixBodyText"/>
        <w:numPr>
          <w:ilvl w:val="0"/>
          <w:numId w:val="1"/>
        </w:numPr>
        <w:tabs>
          <w:tab w:val="clear" w:pos="720"/>
          <w:tab w:val="num" w:pos="1440"/>
        </w:tabs>
        <w:ind w:left="1440"/>
        <w:rPr>
          <w:rFonts w:ascii="Tahoma" w:hAnsi="Tahoma" w:cs="Tahoma"/>
        </w:rPr>
      </w:pPr>
      <w:r w:rsidRPr="000A1C8E">
        <w:rPr>
          <w:rFonts w:ascii="Tahoma" w:hAnsi="Tahoma" w:cs="Tahoma"/>
          <w:color w:val="000000"/>
          <w:sz w:val="18"/>
          <w:szCs w:val="18"/>
        </w:rPr>
        <w:lastRenderedPageBreak/>
        <w:t>Os cupons expiram após 180 dias da data de atribuição do cupom, independentemente da data de</w:t>
      </w:r>
      <w:r w:rsidR="00921759" w:rsidRPr="000A1C8E">
        <w:rPr>
          <w:rFonts w:ascii="Tahoma" w:hAnsi="Tahoma" w:cs="Tahoma"/>
          <w:color w:val="000000"/>
          <w:sz w:val="18"/>
          <w:szCs w:val="18"/>
        </w:rPr>
        <w:t> </w:t>
      </w:r>
      <w:r w:rsidRPr="000A1C8E">
        <w:rPr>
          <w:rFonts w:ascii="Tahoma" w:hAnsi="Tahoma" w:cs="Tahoma"/>
          <w:color w:val="000000"/>
          <w:sz w:val="18"/>
          <w:szCs w:val="18"/>
        </w:rPr>
        <w:t>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rsidR="00AC1997" w:rsidRPr="000A1C8E" w:rsidRDefault="00AC1997" w:rsidP="002F529F">
      <w:pPr>
        <w:pStyle w:val="AppendixBodyText"/>
        <w:numPr>
          <w:ilvl w:val="0"/>
          <w:numId w:val="21"/>
        </w:numPr>
        <w:tabs>
          <w:tab w:val="num" w:pos="1440"/>
        </w:tabs>
        <w:rPr>
          <w:rFonts w:ascii="Tahoma" w:hAnsi="Tahoma" w:cs="Tahoma"/>
        </w:rPr>
      </w:pPr>
      <w:r w:rsidRPr="000A1C8E">
        <w:rPr>
          <w:rFonts w:ascii="Tahoma" w:hAnsi="Tahoma" w:cs="Tahoma"/>
          <w:bCs/>
          <w:color w:val="000000"/>
          <w:sz w:val="18"/>
          <w:szCs w:val="18"/>
        </w:rPr>
        <w:t>A Microsoft não é responsável</w:t>
      </w:r>
      <w:r w:rsidRPr="000A1C8E">
        <w:rPr>
          <w:rFonts w:ascii="Tahoma" w:hAnsi="Tahoma" w:cs="Tahoma"/>
          <w:bCs/>
          <w:color w:val="000000"/>
          <w:sz w:val="18"/>
        </w:rPr>
        <w:t xml:space="preserve"> por cupons perdidos, roubados ou utilizados indevidamente.</w:t>
      </w:r>
    </w:p>
    <w:p w:rsidR="00AC1997" w:rsidRPr="000A1C8E" w:rsidRDefault="00AC1997" w:rsidP="002F529F">
      <w:pPr>
        <w:pStyle w:val="AppendixBodyText"/>
        <w:numPr>
          <w:ilvl w:val="0"/>
          <w:numId w:val="21"/>
        </w:numPr>
        <w:tabs>
          <w:tab w:val="num" w:pos="1440"/>
        </w:tabs>
        <w:rPr>
          <w:rFonts w:ascii="Tahoma" w:hAnsi="Tahoma" w:cs="Tahoma"/>
        </w:rPr>
      </w:pPr>
      <w:r w:rsidRPr="000A1C8E">
        <w:rPr>
          <w:rFonts w:ascii="Tahoma" w:hAnsi="Tahoma" w:cs="Tahoma"/>
          <w:bCs/>
          <w:color w:val="000000"/>
          <w:sz w:val="18"/>
        </w:rPr>
        <w:t xml:space="preserve">Os serviços fornecidos sob cupons são </w:t>
      </w:r>
      <w:r w:rsidRPr="000A1C8E">
        <w:rPr>
          <w:rFonts w:ascii="Tahoma" w:hAnsi="Tahoma" w:cs="Tahoma"/>
          <w:color w:val="000000"/>
          <w:sz w:val="18"/>
        </w:rPr>
        <w:t>oferecidos de acordo com um contrato entre o Cliente e o</w:t>
      </w:r>
      <w:r w:rsidR="00921759" w:rsidRPr="000A1C8E">
        <w:rPr>
          <w:rFonts w:ascii="Tahoma" w:hAnsi="Tahoma" w:cs="Tahoma"/>
          <w:color w:val="000000"/>
          <w:sz w:val="18"/>
        </w:rPr>
        <w:t> </w:t>
      </w:r>
      <w:r w:rsidRPr="000A1C8E">
        <w:rPr>
          <w:rFonts w:ascii="Tahoma" w:hAnsi="Tahoma" w:cs="Tahoma"/>
          <w:color w:val="000000"/>
          <w:sz w:val="18"/>
        </w:rPr>
        <w:t>Provedor Qualificado. A Microsoft não é responsável por nenhum trabalho ou falha da parte do Provedor Qualificado relacionado aos serviços.</w:t>
      </w:r>
    </w:p>
    <w:p w:rsidR="00F643B6" w:rsidRPr="000A1C8E" w:rsidRDefault="00AC1997" w:rsidP="00346F4B">
      <w:pPr>
        <w:pStyle w:val="AppendixBodyText"/>
        <w:numPr>
          <w:ilvl w:val="0"/>
          <w:numId w:val="72"/>
        </w:numPr>
        <w:rPr>
          <w:rFonts w:ascii="Tahoma" w:hAnsi="Tahoma" w:cs="Tahoma"/>
        </w:rPr>
      </w:pPr>
      <w:r w:rsidRPr="000A1C8E">
        <w:rPr>
          <w:rFonts w:ascii="Tahoma" w:hAnsi="Tahoma" w:cs="Tahoma"/>
          <w:bCs/>
          <w:color w:val="000000"/>
          <w:sz w:val="18"/>
        </w:rPr>
        <w:t>Ao aceitar um compromisso de Serviços de Planejamento, os clientes</w:t>
      </w:r>
      <w:r w:rsidRPr="000A1C8E">
        <w:rPr>
          <w:rFonts w:ascii="Tahoma" w:hAnsi="Tahoma" w:cs="Tahoma"/>
          <w:bCs/>
          <w:sz w:val="18"/>
        </w:rPr>
        <w:t xml:space="preserve"> reconhecem que receberão uma pesquisa na conclusão do compromisso para fins de controle de qualidade.</w:t>
      </w:r>
    </w:p>
    <w:p w:rsidR="0008036A" w:rsidRPr="000A1C8E" w:rsidRDefault="00F643B6" w:rsidP="00346F4B">
      <w:pPr>
        <w:pStyle w:val="AppendixBodyText"/>
        <w:numPr>
          <w:ilvl w:val="0"/>
          <w:numId w:val="72"/>
        </w:numPr>
        <w:rPr>
          <w:rFonts w:ascii="Tahoma" w:hAnsi="Tahoma" w:cs="Tahoma"/>
        </w:rPr>
      </w:pPr>
      <w:r w:rsidRPr="000A1C8E">
        <w:rPr>
          <w:rFonts w:ascii="Tahoma" w:hAnsi="Tahoma" w:cs="Tahoma"/>
          <w:bCs/>
          <w:color w:val="000000"/>
          <w:sz w:val="18"/>
          <w:szCs w:val="18"/>
        </w:rPr>
        <w:t>As tabelas acima mostram os dias de serviço disponíveis com base em um registro ou contrato integral de 3 anos.</w:t>
      </w:r>
      <w:r w:rsidR="00DC6D8B" w:rsidRPr="000A1C8E">
        <w:rPr>
          <w:rFonts w:ascii="Tahoma" w:hAnsi="Tahoma" w:cs="Tahoma"/>
          <w:bCs/>
          <w:color w:val="000000"/>
          <w:sz w:val="18"/>
          <w:szCs w:val="18"/>
        </w:rPr>
        <w:t xml:space="preserve"> </w:t>
      </w:r>
      <w:r w:rsidRPr="000A1C8E">
        <w:rPr>
          <w:rFonts w:ascii="Tahoma" w:hAnsi="Tahoma" w:cs="Tahoma"/>
          <w:bCs/>
          <w:color w:val="000000"/>
          <w:sz w:val="18"/>
          <w:szCs w:val="18"/>
        </w:rPr>
        <w:t>Os clientes que adquirirem a cobertura do Software Assurance por um ano r</w:t>
      </w:r>
      <w:r w:rsidRPr="000A1C8E">
        <w:rPr>
          <w:rFonts w:ascii="Tahoma" w:hAnsi="Tahoma" w:cs="Tahoma"/>
          <w:color w:val="000000"/>
          <w:sz w:val="18"/>
          <w:szCs w:val="18"/>
        </w:rPr>
        <w:t>eceberão um terço do número declarado de dias de serviço.</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Os clientes que adquirirem a cobertura do Software Assurance por dois anos receberão dois terços do número declarado de</w:t>
      </w:r>
      <w:r w:rsidR="00921759" w:rsidRPr="000A1C8E">
        <w:rPr>
          <w:rFonts w:ascii="Tahoma" w:hAnsi="Tahoma" w:cs="Tahoma"/>
          <w:color w:val="000000"/>
          <w:sz w:val="18"/>
          <w:szCs w:val="18"/>
        </w:rPr>
        <w:t> </w:t>
      </w:r>
      <w:r w:rsidRPr="000A1C8E">
        <w:rPr>
          <w:rFonts w:ascii="Tahoma" w:hAnsi="Tahoma" w:cs="Tahoma"/>
          <w:color w:val="000000"/>
          <w:sz w:val="18"/>
          <w:szCs w:val="18"/>
        </w:rPr>
        <w:t>dias</w:t>
      </w:r>
      <w:r w:rsidR="00921759" w:rsidRPr="000A1C8E">
        <w:rPr>
          <w:rFonts w:ascii="Tahoma" w:hAnsi="Tahoma" w:cs="Tahoma"/>
          <w:color w:val="000000"/>
          <w:sz w:val="18"/>
          <w:szCs w:val="18"/>
        </w:rPr>
        <w:t> </w:t>
      </w:r>
      <w:r w:rsidRPr="000A1C8E">
        <w:rPr>
          <w:rFonts w:ascii="Tahoma" w:hAnsi="Tahoma" w:cs="Tahoma"/>
          <w:color w:val="000000"/>
          <w:sz w:val="18"/>
          <w:szCs w:val="18"/>
        </w:rPr>
        <w:t>de serviço.</w:t>
      </w:r>
      <w:r w:rsidR="00DC6D8B" w:rsidRPr="000A1C8E">
        <w:rPr>
          <w:rFonts w:ascii="Tahoma" w:hAnsi="Tahoma" w:cs="Tahoma"/>
          <w:color w:val="000000"/>
          <w:sz w:val="18"/>
          <w:szCs w:val="18"/>
        </w:rPr>
        <w:t xml:space="preserve"> </w:t>
      </w:r>
    </w:p>
    <w:p w:rsidR="0008036A" w:rsidRPr="000A1C8E" w:rsidRDefault="0008036A" w:rsidP="005A141F">
      <w:pPr>
        <w:pStyle w:val="AppendixBodyText"/>
        <w:spacing w:after="0"/>
        <w:rPr>
          <w:rFonts w:ascii="Tahoma" w:hAnsi="Tahoma" w:cs="Tahoma"/>
          <w:sz w:val="18"/>
          <w:szCs w:val="18"/>
        </w:rPr>
      </w:pPr>
    </w:p>
    <w:p w:rsidR="00023FE7" w:rsidRPr="000A1C8E" w:rsidRDefault="00023FE7">
      <w:pPr>
        <w:pStyle w:val="AppendixBodyText"/>
        <w:rPr>
          <w:rFonts w:ascii="Tahoma" w:hAnsi="Tahoma" w:cs="Tahoma"/>
        </w:rPr>
      </w:pPr>
      <w:r w:rsidRPr="000A1C8E">
        <w:rPr>
          <w:rFonts w:ascii="Tahoma" w:hAnsi="Tahoma" w:cs="Tahoma"/>
          <w:bCs/>
          <w:color w:val="000000"/>
          <w:sz w:val="18"/>
        </w:rPr>
        <w:t>Os resultados finais preenchidos enviados pelo Provedor Qualificado à Microsoft ao final do compromisso poderão ser usados para fins de controle de qualidade e compartilhados com a equipe de contas Microsoft do cliente para essa finalidade.</w:t>
      </w:r>
    </w:p>
    <w:p w:rsidR="00023FE7" w:rsidRPr="000A1C8E" w:rsidRDefault="00023FE7" w:rsidP="005A141F">
      <w:pPr>
        <w:pStyle w:val="AppendixBodyText"/>
        <w:spacing w:after="0"/>
        <w:rPr>
          <w:rFonts w:ascii="Tahoma" w:hAnsi="Tahoma" w:cs="Tahoma"/>
          <w:sz w:val="18"/>
        </w:rPr>
      </w:pPr>
    </w:p>
    <w:p w:rsidR="00023FE7" w:rsidRPr="000A1C8E" w:rsidRDefault="00023FE7">
      <w:pPr>
        <w:pStyle w:val="Heading3"/>
        <w:rPr>
          <w:rFonts w:ascii="Tahoma" w:hAnsi="Tahoma" w:cs="Tahoma"/>
        </w:rPr>
      </w:pPr>
      <w:bookmarkStart w:id="729" w:name="_Toc328145999"/>
      <w:bookmarkStart w:id="730" w:name="_Toc336338230"/>
      <w:bookmarkStart w:id="731" w:name="_Toc361829314"/>
      <w:r w:rsidRPr="000A1C8E">
        <w:rPr>
          <w:rFonts w:ascii="Tahoma" w:hAnsi="Tahoma" w:cs="Tahoma"/>
          <w:sz w:val="24"/>
        </w:rPr>
        <w:t>Windows 8 Enterprise</w:t>
      </w:r>
      <w:bookmarkEnd w:id="729"/>
      <w:bookmarkEnd w:id="730"/>
      <w:bookmarkEnd w:id="731"/>
      <w:r w:rsidRPr="000A1C8E">
        <w:rPr>
          <w:rFonts w:ascii="Tahoma" w:hAnsi="Tahoma" w:cs="Tahoma"/>
          <w:sz w:val="24"/>
        </w:rPr>
        <w:t xml:space="preserve"> </w:t>
      </w:r>
    </w:p>
    <w:p w:rsidR="00023FE7" w:rsidRPr="000A1C8E" w:rsidRDefault="00023FE7" w:rsidP="00077CE5">
      <w:pPr>
        <w:pStyle w:val="AppendixBodyText"/>
        <w:spacing w:after="0"/>
        <w:rPr>
          <w:rFonts w:ascii="Tahoma" w:hAnsi="Tahoma" w:cs="Tahoma"/>
          <w:sz w:val="18"/>
        </w:rPr>
      </w:pPr>
    </w:p>
    <w:p w:rsidR="005A141F" w:rsidRPr="000A1C8E" w:rsidRDefault="00324479" w:rsidP="005A141F">
      <w:pPr>
        <w:spacing w:after="60"/>
        <w:jc w:val="both"/>
        <w:rPr>
          <w:rFonts w:cs="Tahoma"/>
        </w:rPr>
      </w:pPr>
      <w:r w:rsidRPr="000A1C8E">
        <w:rPr>
          <w:rFonts w:cs="Tahoma"/>
          <w:b/>
          <w:szCs w:val="18"/>
        </w:rPr>
        <w:t>Clientes qualificados do Software Assurance</w:t>
      </w:r>
    </w:p>
    <w:p w:rsidR="00324479" w:rsidRPr="000A1C8E" w:rsidRDefault="00324479" w:rsidP="00324479">
      <w:pPr>
        <w:jc w:val="both"/>
        <w:rPr>
          <w:rFonts w:cs="Tahoma"/>
        </w:rPr>
      </w:pPr>
      <w:r w:rsidRPr="000A1C8E">
        <w:rPr>
          <w:rFonts w:cs="Tahoma"/>
          <w:szCs w:val="18"/>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 Enterprise em vez do Windows 8 Pro nesse dispositivo.</w:t>
      </w:r>
    </w:p>
    <w:p w:rsidR="00324479" w:rsidRPr="000A1C8E" w:rsidRDefault="00324479" w:rsidP="00324479">
      <w:pPr>
        <w:jc w:val="both"/>
        <w:rPr>
          <w:rFonts w:cs="Tahoma"/>
        </w:rPr>
      </w:pPr>
    </w:p>
    <w:p w:rsidR="00324479" w:rsidRPr="000A1C8E" w:rsidRDefault="00324479" w:rsidP="00324479">
      <w:pPr>
        <w:jc w:val="both"/>
        <w:rPr>
          <w:rFonts w:cs="Tahoma"/>
        </w:rPr>
      </w:pPr>
      <w:r w:rsidRPr="000A1C8E">
        <w:rPr>
          <w:rFonts w:cs="Tahoma"/>
          <w:szCs w:val="18"/>
        </w:rPr>
        <w:t xml:space="preserve">Os clientes qualificados o Software Assurance têm direito de usar o Windows 8 Enterprise conforme descrito nos Direitos de Uso de Produto. Os clientes não podem mover o Windows 8 Enterprise do dispositivo licenciado para outro dispositivo, exceto em conjunção com a reatribuição permitida de sua cobertura do Software Assurance. </w:t>
      </w:r>
    </w:p>
    <w:p w:rsidR="00324479" w:rsidRPr="000A1C8E" w:rsidRDefault="00324479" w:rsidP="00324479">
      <w:pPr>
        <w:jc w:val="both"/>
        <w:rPr>
          <w:rFonts w:cs="Tahoma"/>
        </w:rPr>
      </w:pPr>
    </w:p>
    <w:p w:rsidR="005A141F" w:rsidRPr="000A1C8E" w:rsidRDefault="00324479" w:rsidP="00862623">
      <w:pPr>
        <w:keepNext/>
        <w:spacing w:after="60"/>
        <w:jc w:val="both"/>
        <w:rPr>
          <w:rFonts w:cs="Tahoma"/>
        </w:rPr>
      </w:pPr>
      <w:r w:rsidRPr="000A1C8E">
        <w:rPr>
          <w:rFonts w:cs="Tahoma"/>
          <w:b/>
          <w:szCs w:val="18"/>
        </w:rPr>
        <w:t>Clientes qualificados para os Benefícios de Serviços Online</w:t>
      </w:r>
    </w:p>
    <w:p w:rsidR="00324479" w:rsidRPr="000A1C8E" w:rsidRDefault="0071258F" w:rsidP="00324479">
      <w:pPr>
        <w:jc w:val="both"/>
        <w:rPr>
          <w:rFonts w:cs="Tahoma"/>
        </w:rPr>
      </w:pPr>
      <w:r w:rsidRPr="000A1C8E">
        <w:rPr>
          <w:rFonts w:cs="Tahoma"/>
          <w:szCs w:val="18"/>
        </w:rPr>
        <w:t>Os clientes do Windows Intune (Por Dispositivo) têm direito de usar o Windows 8 Enterprise conforme descrito nos Direitos de Uso de Produto. Consulte na seção Notas do Produto desta Lista de Produtos os termos aplicáveis à</w:t>
      </w:r>
      <w:r w:rsidR="00921759" w:rsidRPr="000A1C8E">
        <w:rPr>
          <w:rFonts w:cs="Tahoma"/>
          <w:szCs w:val="18"/>
        </w:rPr>
        <w:t> </w:t>
      </w:r>
      <w:r w:rsidRPr="000A1C8E">
        <w:rPr>
          <w:rFonts w:cs="Tahoma"/>
          <w:szCs w:val="18"/>
        </w:rPr>
        <w:t>aquisição e reatribuição de licenças do Windows Intune (Por Dispositivo).</w:t>
      </w:r>
    </w:p>
    <w:p w:rsidR="005A141F" w:rsidRPr="000A1C8E" w:rsidDel="008900EB" w:rsidRDefault="005A141F" w:rsidP="00324479">
      <w:pPr>
        <w:jc w:val="both"/>
        <w:rPr>
          <w:rFonts w:cs="Tahoma"/>
        </w:rPr>
      </w:pPr>
    </w:p>
    <w:p w:rsidR="00324479" w:rsidRPr="000A1C8E" w:rsidRDefault="00324479" w:rsidP="00324479">
      <w:pPr>
        <w:spacing w:after="60"/>
        <w:rPr>
          <w:rFonts w:cs="Tahoma"/>
        </w:rPr>
      </w:pPr>
      <w:r w:rsidRPr="000A1C8E">
        <w:rPr>
          <w:rFonts w:cs="Tahoma"/>
          <w:szCs w:val="18"/>
        </w:rPr>
        <w:t>Os clientes do Software Assurance e do Windows Intune (Por Dispositivo) podem usar a edição MUI das versões anteriores do sistema operacional de desktop Windows em vez do Windows 8 Enterprise.</w:t>
      </w:r>
    </w:p>
    <w:p w:rsidR="00870095" w:rsidRPr="000A1C8E" w:rsidRDefault="00870095" w:rsidP="005A141F">
      <w:pPr>
        <w:pStyle w:val="Heading3"/>
        <w:spacing w:after="60"/>
        <w:rPr>
          <w:rFonts w:ascii="Tahoma" w:hAnsi="Tahoma" w:cs="Tahoma"/>
        </w:rPr>
      </w:pPr>
    </w:p>
    <w:p w:rsidR="00870095" w:rsidRPr="000A1C8E" w:rsidRDefault="00870095" w:rsidP="005A141F">
      <w:pPr>
        <w:pStyle w:val="Heading3"/>
        <w:spacing w:after="60"/>
        <w:rPr>
          <w:rFonts w:ascii="Tahoma" w:hAnsi="Tahoma" w:cs="Tahoma"/>
        </w:rPr>
      </w:pPr>
      <w:bookmarkStart w:id="732" w:name="_Toc336338231"/>
      <w:bookmarkStart w:id="733" w:name="_Toc361829315"/>
      <w:r w:rsidRPr="000A1C8E">
        <w:rPr>
          <w:rFonts w:ascii="Tahoma" w:hAnsi="Tahoma" w:cs="Tahoma"/>
          <w:sz w:val="18"/>
        </w:rPr>
        <w:t>Windows 8 Enterprise Sideloading</w:t>
      </w:r>
      <w:bookmarkEnd w:id="732"/>
      <w:bookmarkEnd w:id="733"/>
    </w:p>
    <w:p w:rsidR="00810479" w:rsidRPr="000A1C8E" w:rsidRDefault="00870095" w:rsidP="00991DD4">
      <w:pPr>
        <w:jc w:val="both"/>
        <w:rPr>
          <w:rFonts w:cs="Tahoma"/>
        </w:rPr>
      </w:pPr>
      <w:r w:rsidRPr="000A1C8E">
        <w:rPr>
          <w:rFonts w:cs="Tahoma"/>
          <w:szCs w:val="18"/>
        </w:rPr>
        <w:t>Consulte a nota do produto Windows 8 Enterprise Sideloading na seção “Notas do Produto” deste documento.</w:t>
      </w:r>
    </w:p>
    <w:p w:rsidR="00BD1A6A" w:rsidRPr="000A1C8E" w:rsidRDefault="00BD1A6A">
      <w:pPr>
        <w:rPr>
          <w:rFonts w:cs="Tahoma"/>
        </w:rPr>
      </w:pPr>
      <w:bookmarkStart w:id="734" w:name="_Toc336338232"/>
    </w:p>
    <w:p w:rsidR="00EA1BE9" w:rsidRPr="000A1C8E" w:rsidRDefault="00EA1BE9" w:rsidP="005A141F">
      <w:pPr>
        <w:pStyle w:val="Heading3"/>
        <w:spacing w:after="60"/>
        <w:rPr>
          <w:rFonts w:ascii="Tahoma" w:hAnsi="Tahoma" w:cs="Tahoma"/>
        </w:rPr>
      </w:pPr>
      <w:bookmarkStart w:id="735" w:name="_Toc361829316"/>
      <w:r w:rsidRPr="000A1C8E">
        <w:rPr>
          <w:rFonts w:ascii="Tahoma" w:hAnsi="Tahoma" w:cs="Tahoma"/>
          <w:sz w:val="18"/>
        </w:rPr>
        <w:t>Licença de Assinatura do Windows Companion</w:t>
      </w:r>
      <w:bookmarkEnd w:id="734"/>
      <w:bookmarkEnd w:id="735"/>
    </w:p>
    <w:p w:rsidR="00EA1BE9" w:rsidRPr="000A1C8E" w:rsidRDefault="00EA1BE9" w:rsidP="00870095">
      <w:pPr>
        <w:jc w:val="both"/>
        <w:rPr>
          <w:rFonts w:cs="Tahoma"/>
        </w:rPr>
      </w:pPr>
      <w:r w:rsidRPr="000A1C8E">
        <w:rPr>
          <w:rFonts w:cs="Tahoma"/>
          <w:szCs w:val="18"/>
        </w:rPr>
        <w:t>Consulte a nota da Licença de Assinatura do Windows Companion na seção “Notas do Produto” deste documento.</w:t>
      </w:r>
    </w:p>
    <w:p w:rsidR="00870095" w:rsidRPr="000A1C8E" w:rsidRDefault="00870095" w:rsidP="003C56F1">
      <w:pPr>
        <w:jc w:val="both"/>
        <w:rPr>
          <w:rFonts w:cs="Tahoma"/>
        </w:rPr>
      </w:pPr>
    </w:p>
    <w:p w:rsidR="005E6903" w:rsidRPr="000A1C8E" w:rsidRDefault="005E6903" w:rsidP="003C56F1">
      <w:pPr>
        <w:jc w:val="both"/>
        <w:rPr>
          <w:rFonts w:cs="Tahoma"/>
        </w:rPr>
      </w:pPr>
    </w:p>
    <w:p w:rsidR="005E6903" w:rsidRPr="000A1C8E" w:rsidRDefault="005E6903" w:rsidP="003C56F1">
      <w:pPr>
        <w:jc w:val="both"/>
        <w:rPr>
          <w:rFonts w:cs="Tahoma"/>
        </w:rPr>
      </w:pPr>
    </w:p>
    <w:p w:rsidR="005E6903" w:rsidRPr="000A1C8E" w:rsidRDefault="005E6903" w:rsidP="003C56F1">
      <w:pPr>
        <w:jc w:val="both"/>
        <w:rPr>
          <w:rFonts w:cs="Tahoma"/>
        </w:rPr>
      </w:pPr>
    </w:p>
    <w:p w:rsidR="005E6903" w:rsidRPr="000A1C8E" w:rsidRDefault="005E6903" w:rsidP="003C56F1">
      <w:pPr>
        <w:jc w:val="both"/>
        <w:rPr>
          <w:rFonts w:cs="Tahoma"/>
        </w:rPr>
      </w:pPr>
    </w:p>
    <w:p w:rsidR="005E6903" w:rsidRPr="000A1C8E" w:rsidRDefault="005E6903" w:rsidP="003C56F1">
      <w:pPr>
        <w:jc w:val="both"/>
        <w:rPr>
          <w:rFonts w:cs="Tahoma"/>
        </w:rPr>
      </w:pPr>
    </w:p>
    <w:p w:rsidR="005E6903" w:rsidRPr="000A1C8E" w:rsidRDefault="005E6903" w:rsidP="003C56F1">
      <w:pPr>
        <w:jc w:val="both"/>
        <w:rPr>
          <w:rFonts w:cs="Tahoma"/>
        </w:rPr>
      </w:pPr>
    </w:p>
    <w:p w:rsidR="005E6903" w:rsidRPr="000A1C8E" w:rsidRDefault="005E6903" w:rsidP="003C56F1">
      <w:pPr>
        <w:jc w:val="both"/>
        <w:rPr>
          <w:rFonts w:cs="Tahoma"/>
        </w:rPr>
      </w:pPr>
    </w:p>
    <w:p w:rsidR="005E6903" w:rsidRPr="000A1C8E" w:rsidRDefault="005E6903" w:rsidP="003C56F1">
      <w:pPr>
        <w:jc w:val="both"/>
        <w:rPr>
          <w:rFonts w:cs="Tahoma"/>
        </w:rPr>
      </w:pPr>
    </w:p>
    <w:p w:rsidR="00023FE7" w:rsidRPr="000A1C8E" w:rsidRDefault="00023FE7" w:rsidP="005E6903">
      <w:pPr>
        <w:pStyle w:val="Heading3"/>
        <w:rPr>
          <w:rFonts w:ascii="Tahoma" w:hAnsi="Tahoma" w:cs="Tahoma"/>
        </w:rPr>
      </w:pPr>
      <w:bookmarkStart w:id="736" w:name="_Toc328146000"/>
      <w:bookmarkStart w:id="737" w:name="_Toc336338233"/>
      <w:bookmarkStart w:id="738" w:name="_Toc361829317"/>
      <w:r w:rsidRPr="000A1C8E">
        <w:rPr>
          <w:rFonts w:ascii="Tahoma" w:hAnsi="Tahoma" w:cs="Tahoma"/>
          <w:sz w:val="24"/>
        </w:rPr>
        <w:lastRenderedPageBreak/>
        <w:t>Cupons de Treinamento</w:t>
      </w:r>
      <w:bookmarkEnd w:id="736"/>
      <w:bookmarkEnd w:id="737"/>
      <w:bookmarkEnd w:id="738"/>
    </w:p>
    <w:p w:rsidR="00023FE7" w:rsidRPr="000A1C8E" w:rsidRDefault="00023FE7" w:rsidP="005E6903">
      <w:pPr>
        <w:pStyle w:val="AppendixBodyText"/>
        <w:spacing w:after="0"/>
        <w:rPr>
          <w:rFonts w:ascii="Tahoma" w:hAnsi="Tahoma" w:cs="Tahoma"/>
        </w:rPr>
      </w:pPr>
    </w:p>
    <w:p w:rsidR="00023FE7" w:rsidRPr="000A1C8E" w:rsidRDefault="008A15A8" w:rsidP="005E6903">
      <w:pPr>
        <w:pStyle w:val="AppendixBodyText"/>
        <w:spacing w:after="0"/>
        <w:rPr>
          <w:rFonts w:ascii="Tahoma" w:hAnsi="Tahoma" w:cs="Tahoma"/>
          <w:sz w:val="18"/>
          <w:szCs w:val="18"/>
        </w:rPr>
      </w:pPr>
      <w:r w:rsidRPr="000A1C8E">
        <w:rPr>
          <w:rFonts w:ascii="Tahoma" w:hAnsi="Tahoma" w:cs="Tahoma"/>
          <w:sz w:val="18"/>
          <w:szCs w:val="18"/>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DC6D8B" w:rsidRPr="000A1C8E">
        <w:rPr>
          <w:rFonts w:ascii="Tahoma" w:hAnsi="Tahoma" w:cs="Tahoma"/>
          <w:sz w:val="18"/>
          <w:szCs w:val="18"/>
        </w:rPr>
        <w:t xml:space="preserve"> </w:t>
      </w:r>
      <w:r w:rsidRPr="000A1C8E">
        <w:rPr>
          <w:rFonts w:ascii="Tahoma" w:hAnsi="Tahoma" w:cs="Tahoma"/>
          <w:sz w:val="18"/>
          <w:szCs w:val="18"/>
        </w:rPr>
        <w:t>Esses cupons qualificam os clientes a receberem cursos de um Microsoft Partner com uma Competência em Aprendizagem (Microsoft Learning Partner) por um número específico de dias de treinamento.</w:t>
      </w:r>
      <w:r w:rsidR="00DC6D8B" w:rsidRPr="000A1C8E">
        <w:rPr>
          <w:rFonts w:ascii="Tahoma" w:hAnsi="Tahoma" w:cs="Tahoma"/>
          <w:sz w:val="18"/>
          <w:szCs w:val="18"/>
        </w:rPr>
        <w:t xml:space="preserve"> </w:t>
      </w:r>
      <w:r w:rsidRPr="000A1C8E">
        <w:rPr>
          <w:rFonts w:ascii="Tahoma" w:hAnsi="Tahoma" w:cs="Tahoma"/>
          <w:sz w:val="18"/>
          <w:szCs w:val="18"/>
        </w:rPr>
        <w:t>O número de dias concedidos varia por programa e por número de licenças qualificadas para os quais o Software Assurance tiver sido adquirido.</w:t>
      </w:r>
      <w:r w:rsidR="00DC6D8B" w:rsidRPr="000A1C8E">
        <w:rPr>
          <w:rFonts w:ascii="Tahoma" w:hAnsi="Tahoma" w:cs="Tahoma"/>
          <w:sz w:val="18"/>
          <w:szCs w:val="18"/>
        </w:rPr>
        <w:t xml:space="preserve"> </w:t>
      </w:r>
      <w:r w:rsidRPr="000A1C8E">
        <w:rPr>
          <w:rFonts w:ascii="Tahoma" w:hAnsi="Tahoma" w:cs="Tahoma"/>
          <w:sz w:val="18"/>
          <w:szCs w:val="18"/>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rsidR="005E6903" w:rsidRPr="000A1C8E" w:rsidRDefault="005E6903" w:rsidP="005E6903">
      <w:pPr>
        <w:pStyle w:val="AppendixBodyText"/>
        <w:spacing w:after="0"/>
        <w:rPr>
          <w:rFonts w:ascii="Tahoma" w:hAnsi="Tahoma" w:cs="Tahoma"/>
        </w:rPr>
      </w:pPr>
    </w:p>
    <w:tbl>
      <w:tblPr>
        <w:tblW w:w="9293"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240"/>
      </w:tblGrid>
      <w:tr w:rsidR="00F76ED4" w:rsidRPr="000A1C8E" w:rsidTr="005E6903">
        <w:trPr>
          <w:cantSplit/>
          <w:trHeight w:val="531"/>
        </w:trPr>
        <w:tc>
          <w:tcPr>
            <w:tcW w:w="2903" w:type="dxa"/>
            <w:shd w:val="clear" w:color="auto" w:fill="FFCC99"/>
            <w:vAlign w:val="center"/>
          </w:tcPr>
          <w:p w:rsidR="00F76ED4" w:rsidRPr="000A1C8E" w:rsidRDefault="00F76ED4" w:rsidP="005E6903">
            <w:pPr>
              <w:pStyle w:val="AppendixTableHeadings"/>
              <w:keepNext/>
              <w:rPr>
                <w:rFonts w:ascii="Tahoma" w:hAnsi="Tahoma" w:cs="Tahoma"/>
                <w:sz w:val="20"/>
                <w:szCs w:val="20"/>
              </w:rPr>
            </w:pPr>
            <w:r w:rsidRPr="000A1C8E">
              <w:rPr>
                <w:rFonts w:ascii="Tahoma" w:hAnsi="Tahoma" w:cs="Tahoma"/>
                <w:sz w:val="20"/>
                <w:szCs w:val="20"/>
              </w:rPr>
              <w:t>Programa</w:t>
            </w:r>
          </w:p>
        </w:tc>
        <w:tc>
          <w:tcPr>
            <w:tcW w:w="3150" w:type="dxa"/>
            <w:shd w:val="clear" w:color="auto" w:fill="FFCC99"/>
            <w:vAlign w:val="center"/>
          </w:tcPr>
          <w:p w:rsidR="00F76ED4" w:rsidRPr="000A1C8E" w:rsidRDefault="00F76ED4" w:rsidP="005E6903">
            <w:pPr>
              <w:pStyle w:val="AppendixTableHeadings"/>
              <w:keepNext/>
              <w:rPr>
                <w:rFonts w:ascii="Tahoma" w:hAnsi="Tahoma" w:cs="Tahoma"/>
                <w:sz w:val="20"/>
                <w:szCs w:val="20"/>
              </w:rPr>
            </w:pPr>
            <w:r w:rsidRPr="000A1C8E">
              <w:rPr>
                <w:rFonts w:ascii="Tahoma" w:hAnsi="Tahoma" w:cs="Tahoma"/>
                <w:sz w:val="20"/>
                <w:szCs w:val="20"/>
              </w:rPr>
              <w:t>Produtos do Pool de Aplicativos do Office System</w:t>
            </w:r>
            <w:r w:rsidRPr="000A1C8E">
              <w:rPr>
                <w:rFonts w:ascii="Tahoma" w:hAnsi="Tahoma" w:cs="Tahoma"/>
                <w:b w:val="0"/>
                <w:i/>
                <w:sz w:val="20"/>
                <w:szCs w:val="20"/>
              </w:rPr>
              <w:t xml:space="preserve"> </w:t>
            </w:r>
          </w:p>
        </w:tc>
        <w:tc>
          <w:tcPr>
            <w:tcW w:w="3240" w:type="dxa"/>
            <w:shd w:val="clear" w:color="auto" w:fill="FFCC99"/>
            <w:vAlign w:val="center"/>
          </w:tcPr>
          <w:p w:rsidR="00F76ED4" w:rsidRPr="000A1C8E" w:rsidRDefault="00F76ED4" w:rsidP="005E6903">
            <w:pPr>
              <w:pStyle w:val="AppendixTableHeadings"/>
              <w:keepNext/>
              <w:rPr>
                <w:rFonts w:ascii="Tahoma" w:hAnsi="Tahoma" w:cs="Tahoma"/>
                <w:sz w:val="20"/>
                <w:szCs w:val="20"/>
              </w:rPr>
            </w:pPr>
            <w:r w:rsidRPr="000A1C8E">
              <w:rPr>
                <w:rFonts w:ascii="Tahoma" w:hAnsi="Tahoma" w:cs="Tahoma"/>
                <w:sz w:val="20"/>
                <w:szCs w:val="20"/>
              </w:rPr>
              <w:t>Pool de Sistemas</w:t>
            </w:r>
          </w:p>
        </w:tc>
      </w:tr>
      <w:tr w:rsidR="00F76ED4" w:rsidRPr="000A1C8E" w:rsidTr="005E6903">
        <w:trPr>
          <w:cantSplit/>
          <w:trHeight w:val="236"/>
        </w:trPr>
        <w:tc>
          <w:tcPr>
            <w:tcW w:w="2903"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Open Value</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2 dias por 50 licenças (máximo de 20 dias)</w:t>
            </w: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1 dia por 50 licenças</w:t>
            </w:r>
          </w:p>
          <w:p w:rsidR="00F76ED4" w:rsidRPr="000A1C8E" w:rsidRDefault="00F76ED4" w:rsidP="005E6903">
            <w:pPr>
              <w:pStyle w:val="AppendixTableText"/>
              <w:keepNext/>
              <w:rPr>
                <w:rFonts w:ascii="Tahoma" w:hAnsi="Tahoma" w:cs="Tahoma"/>
              </w:rPr>
            </w:pPr>
            <w:r w:rsidRPr="000A1C8E">
              <w:rPr>
                <w:rFonts w:ascii="Tahoma" w:hAnsi="Tahoma" w:cs="Tahoma"/>
              </w:rPr>
              <w:t>(máximo de 10 dias)</w:t>
            </w: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5E6903">
            <w:pPr>
              <w:pStyle w:val="AppendixTableHeadings"/>
              <w:keepNext/>
              <w:rPr>
                <w:rFonts w:ascii="Tahoma" w:hAnsi="Tahoma" w:cs="Tahoma"/>
                <w:b w:val="0"/>
              </w:rPr>
            </w:pPr>
            <w:r w:rsidRPr="000A1C8E">
              <w:rPr>
                <w:rFonts w:ascii="Tahoma" w:hAnsi="Tahoma" w:cs="Tahoma"/>
                <w:b w:val="0"/>
              </w:rPr>
              <w:t>1</w:t>
            </w:r>
            <w:r w:rsidR="00256C7E" w:rsidRPr="000A1C8E">
              <w:rPr>
                <w:rFonts w:ascii="Tahoma" w:hAnsi="Tahoma" w:cs="Tahoma"/>
                <w:b w:val="0"/>
              </w:rPr>
              <w:t xml:space="preserve"> </w:t>
            </w:r>
            <w:r w:rsidR="00256C7E" w:rsidRPr="000A1C8E">
              <w:rPr>
                <w:rFonts w:ascii="Tahoma" w:hAnsi="Tahoma" w:cs="Tahoma"/>
              </w:rPr>
              <w:t xml:space="preserve">– </w:t>
            </w:r>
            <w:r w:rsidRPr="000A1C8E">
              <w:rPr>
                <w:rFonts w:ascii="Tahoma" w:hAnsi="Tahoma" w:cs="Tahoma"/>
                <w:b w:val="0"/>
              </w:rPr>
              <w:t>249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2 dias por 50 licenças</w:t>
            </w: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1 dia por 50 licenças</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Text"/>
              <w:keepNext/>
              <w:rPr>
                <w:rFonts w:ascii="Tahoma" w:hAnsi="Tahoma" w:cs="Tahoma"/>
              </w:rPr>
            </w:pPr>
            <w:r w:rsidRPr="000A1C8E">
              <w:rPr>
                <w:rFonts w:ascii="Tahoma" w:hAnsi="Tahoma" w:cs="Tahoma"/>
              </w:rPr>
              <w:t>250</w:t>
            </w:r>
            <w:r w:rsidR="00256C7E" w:rsidRPr="000A1C8E">
              <w:rPr>
                <w:rFonts w:ascii="Tahoma" w:hAnsi="Tahoma" w:cs="Tahoma"/>
              </w:rPr>
              <w:t xml:space="preserve"> – </w:t>
            </w:r>
            <w:r w:rsidRPr="000A1C8E">
              <w:rPr>
                <w:rFonts w:ascii="Tahoma" w:hAnsi="Tahoma" w:cs="Tahoma"/>
              </w:rPr>
              <w:t>2</w:t>
            </w:r>
            <w:r w:rsidR="00D866A7">
              <w:rPr>
                <w:rFonts w:ascii="Tahoma" w:hAnsi="Tahoma" w:cs="Tahoma"/>
              </w:rPr>
              <w:t>.</w:t>
            </w:r>
            <w:r w:rsidRPr="000A1C8E">
              <w:rPr>
                <w:rFonts w:ascii="Tahoma" w:hAnsi="Tahoma" w:cs="Tahoma"/>
              </w:rPr>
              <w:t xml:space="preserve">399 </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20 dias por</w:t>
            </w:r>
          </w:p>
          <w:p w:rsidR="00F76ED4" w:rsidRPr="000A1C8E" w:rsidRDefault="00F76ED4" w:rsidP="005E6903">
            <w:pPr>
              <w:pStyle w:val="AppendixTableText"/>
              <w:keepNext/>
              <w:rPr>
                <w:rFonts w:ascii="Tahoma" w:hAnsi="Tahoma" w:cs="Tahoma"/>
              </w:rPr>
            </w:pPr>
            <w:r w:rsidRPr="000A1C8E">
              <w:rPr>
                <w:rFonts w:ascii="Tahoma" w:hAnsi="Tahoma" w:cs="Tahoma"/>
              </w:rPr>
              <w:t>registro aplicável</w:t>
            </w: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10 dias por</w:t>
            </w:r>
          </w:p>
          <w:p w:rsidR="00F76ED4" w:rsidRPr="000A1C8E" w:rsidRDefault="00F76ED4" w:rsidP="005E6903">
            <w:pPr>
              <w:pStyle w:val="AppendixTableText"/>
              <w:keepNext/>
              <w:rPr>
                <w:rFonts w:ascii="Tahoma" w:hAnsi="Tahoma" w:cs="Tahoma"/>
              </w:rPr>
            </w:pPr>
            <w:r w:rsidRPr="000A1C8E">
              <w:rPr>
                <w:rFonts w:ascii="Tahoma" w:hAnsi="Tahoma" w:cs="Tahoma"/>
              </w:rPr>
              <w:t>registro aplicável</w:t>
            </w: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Text"/>
              <w:keepNext/>
              <w:rPr>
                <w:rFonts w:ascii="Tahoma" w:hAnsi="Tahoma" w:cs="Tahoma"/>
                <w:i/>
              </w:rPr>
            </w:pPr>
            <w:r w:rsidRPr="000A1C8E">
              <w:rPr>
                <w:rFonts w:ascii="Tahoma" w:hAnsi="Tahoma" w:cs="Tahoma"/>
              </w:rPr>
              <w:t>2</w:t>
            </w:r>
            <w:r w:rsidR="00D866A7">
              <w:rPr>
                <w:rFonts w:ascii="Tahoma" w:hAnsi="Tahoma" w:cs="Tahoma"/>
              </w:rPr>
              <w:t>.</w:t>
            </w:r>
            <w:r w:rsidRPr="000A1C8E">
              <w:rPr>
                <w:rFonts w:ascii="Tahoma" w:hAnsi="Tahoma" w:cs="Tahoma"/>
              </w:rPr>
              <w:t>400</w:t>
            </w:r>
            <w:r w:rsidR="00256C7E" w:rsidRPr="000A1C8E">
              <w:rPr>
                <w:rFonts w:ascii="Tahoma" w:hAnsi="Tahoma" w:cs="Tahoma"/>
              </w:rPr>
              <w:t xml:space="preserve"> – </w:t>
            </w:r>
            <w:r w:rsidRPr="000A1C8E">
              <w:rPr>
                <w:rFonts w:ascii="Tahoma" w:hAnsi="Tahoma" w:cs="Tahoma"/>
              </w:rPr>
              <w:t>5</w:t>
            </w:r>
            <w:r w:rsidR="00D866A7">
              <w:rPr>
                <w:rFonts w:ascii="Tahoma" w:hAnsi="Tahoma" w:cs="Tahoma"/>
              </w:rPr>
              <w:t>.</w:t>
            </w:r>
            <w:r w:rsidRPr="000A1C8E">
              <w:rPr>
                <w:rFonts w:ascii="Tahoma" w:hAnsi="Tahoma" w:cs="Tahoma"/>
              </w:rPr>
              <w:t>999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30 dias* </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15 dias* </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Text"/>
              <w:keepNext/>
              <w:rPr>
                <w:rFonts w:ascii="Tahoma" w:hAnsi="Tahoma" w:cs="Tahoma"/>
                <w:i/>
              </w:rPr>
            </w:pPr>
            <w:r w:rsidRPr="000A1C8E">
              <w:rPr>
                <w:rFonts w:ascii="Tahoma" w:hAnsi="Tahoma" w:cs="Tahoma"/>
              </w:rPr>
              <w:t>6</w:t>
            </w:r>
            <w:r w:rsidR="00D866A7">
              <w:rPr>
                <w:rFonts w:ascii="Tahoma" w:hAnsi="Tahoma" w:cs="Tahoma"/>
              </w:rPr>
              <w:t>.</w:t>
            </w:r>
            <w:r w:rsidRPr="000A1C8E">
              <w:rPr>
                <w:rFonts w:ascii="Tahoma" w:hAnsi="Tahoma" w:cs="Tahoma"/>
              </w:rPr>
              <w:t>000</w:t>
            </w:r>
            <w:r w:rsidR="00256C7E" w:rsidRPr="000A1C8E">
              <w:rPr>
                <w:rFonts w:ascii="Tahoma" w:hAnsi="Tahoma" w:cs="Tahoma"/>
              </w:rPr>
              <w:t xml:space="preserve"> – </w:t>
            </w:r>
            <w:r w:rsidRPr="000A1C8E">
              <w:rPr>
                <w:rFonts w:ascii="Tahoma" w:hAnsi="Tahoma" w:cs="Tahoma"/>
              </w:rPr>
              <w:t>14</w:t>
            </w:r>
            <w:r w:rsidR="00D866A7">
              <w:rPr>
                <w:rFonts w:ascii="Tahoma" w:hAnsi="Tahoma" w:cs="Tahoma"/>
              </w:rPr>
              <w:t>.</w:t>
            </w:r>
            <w:r w:rsidRPr="000A1C8E">
              <w:rPr>
                <w:rFonts w:ascii="Tahoma" w:hAnsi="Tahoma" w:cs="Tahoma"/>
              </w:rPr>
              <w:t>999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50 dias* </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25 dias* </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Text"/>
              <w:keepNext/>
              <w:rPr>
                <w:rFonts w:ascii="Tahoma" w:hAnsi="Tahoma" w:cs="Tahoma"/>
                <w:i/>
              </w:rPr>
            </w:pPr>
            <w:r w:rsidRPr="000A1C8E">
              <w:rPr>
                <w:rFonts w:ascii="Tahoma" w:hAnsi="Tahoma" w:cs="Tahoma"/>
              </w:rPr>
              <w:t>15</w:t>
            </w:r>
            <w:r w:rsidR="00D866A7">
              <w:rPr>
                <w:rFonts w:ascii="Tahoma" w:hAnsi="Tahoma" w:cs="Tahoma"/>
              </w:rPr>
              <w:t>.</w:t>
            </w:r>
            <w:r w:rsidRPr="000A1C8E">
              <w:rPr>
                <w:rFonts w:ascii="Tahoma" w:hAnsi="Tahoma" w:cs="Tahoma"/>
              </w:rPr>
              <w:t>000 – 29</w:t>
            </w:r>
            <w:r w:rsidR="00D866A7">
              <w:rPr>
                <w:rFonts w:ascii="Tahoma" w:hAnsi="Tahoma" w:cs="Tahoma"/>
              </w:rPr>
              <w:t>.</w:t>
            </w:r>
            <w:r w:rsidRPr="000A1C8E">
              <w:rPr>
                <w:rFonts w:ascii="Tahoma" w:hAnsi="Tahoma" w:cs="Tahoma"/>
              </w:rPr>
              <w:t>999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110 dias* </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55 dias* </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Text"/>
              <w:keepNext/>
              <w:rPr>
                <w:rFonts w:ascii="Tahoma" w:hAnsi="Tahoma" w:cs="Tahoma"/>
                <w:i/>
              </w:rPr>
            </w:pPr>
            <w:r w:rsidRPr="000A1C8E">
              <w:rPr>
                <w:rFonts w:ascii="Tahoma" w:hAnsi="Tahoma" w:cs="Tahoma"/>
              </w:rPr>
              <w:t>30</w:t>
            </w:r>
            <w:r w:rsidR="00D866A7">
              <w:rPr>
                <w:rFonts w:ascii="Tahoma" w:hAnsi="Tahoma" w:cs="Tahoma"/>
              </w:rPr>
              <w:t>.</w:t>
            </w:r>
            <w:r w:rsidRPr="000A1C8E">
              <w:rPr>
                <w:rFonts w:ascii="Tahoma" w:hAnsi="Tahoma" w:cs="Tahoma"/>
              </w:rPr>
              <w:t>000 – 49</w:t>
            </w:r>
            <w:r w:rsidR="00D866A7">
              <w:rPr>
                <w:rFonts w:ascii="Tahoma" w:hAnsi="Tahoma" w:cs="Tahoma"/>
              </w:rPr>
              <w:t>.</w:t>
            </w:r>
            <w:r w:rsidRPr="000A1C8E">
              <w:rPr>
                <w:rFonts w:ascii="Tahoma" w:hAnsi="Tahoma" w:cs="Tahoma"/>
              </w:rPr>
              <w:t>999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160 dias* </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80 dias*</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Text"/>
              <w:keepNext/>
              <w:rPr>
                <w:rFonts w:ascii="Tahoma" w:hAnsi="Tahoma" w:cs="Tahoma"/>
                <w:i/>
              </w:rPr>
            </w:pPr>
            <w:r w:rsidRPr="000A1C8E">
              <w:rPr>
                <w:rFonts w:ascii="Tahoma" w:hAnsi="Tahoma" w:cs="Tahoma"/>
              </w:rPr>
              <w:t>50</w:t>
            </w:r>
            <w:r w:rsidR="00D866A7">
              <w:rPr>
                <w:rFonts w:ascii="Tahoma" w:hAnsi="Tahoma" w:cs="Tahoma"/>
              </w:rPr>
              <w:t>.</w:t>
            </w:r>
            <w:r w:rsidRPr="000A1C8E">
              <w:rPr>
                <w:rFonts w:ascii="Tahoma" w:hAnsi="Tahoma" w:cs="Tahoma"/>
              </w:rPr>
              <w:t>000 – 99</w:t>
            </w:r>
            <w:r w:rsidR="00D866A7">
              <w:rPr>
                <w:rFonts w:ascii="Tahoma" w:hAnsi="Tahoma" w:cs="Tahoma"/>
              </w:rPr>
              <w:t>.</w:t>
            </w:r>
            <w:r w:rsidRPr="000A1C8E">
              <w:rPr>
                <w:rFonts w:ascii="Tahoma" w:hAnsi="Tahoma" w:cs="Tahoma"/>
              </w:rPr>
              <w:t>999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250 dias*</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125 dias* </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Headings"/>
              <w:keepNext/>
              <w:rPr>
                <w:rFonts w:ascii="Tahoma" w:hAnsi="Tahoma" w:cs="Tahoma"/>
                <w:b w:val="0"/>
              </w:rPr>
            </w:pPr>
            <w:r w:rsidRPr="000A1C8E">
              <w:rPr>
                <w:rFonts w:ascii="Tahoma" w:hAnsi="Tahoma" w:cs="Tahoma"/>
                <w:b w:val="0"/>
              </w:rPr>
              <w:t>100</w:t>
            </w:r>
            <w:r w:rsidR="00D866A7">
              <w:rPr>
                <w:rFonts w:ascii="Tahoma" w:hAnsi="Tahoma" w:cs="Tahoma"/>
                <w:b w:val="0"/>
              </w:rPr>
              <w:t>.</w:t>
            </w:r>
            <w:r w:rsidRPr="000A1C8E">
              <w:rPr>
                <w:rFonts w:ascii="Tahoma" w:hAnsi="Tahoma" w:cs="Tahoma"/>
                <w:b w:val="0"/>
              </w:rPr>
              <w:t>000 – 199</w:t>
            </w:r>
            <w:r w:rsidR="00D866A7">
              <w:rPr>
                <w:rFonts w:ascii="Tahoma" w:hAnsi="Tahoma" w:cs="Tahoma"/>
                <w:b w:val="0"/>
              </w:rPr>
              <w:t>.</w:t>
            </w:r>
            <w:r w:rsidRPr="000A1C8E">
              <w:rPr>
                <w:rFonts w:ascii="Tahoma" w:hAnsi="Tahoma" w:cs="Tahoma"/>
                <w:b w:val="0"/>
              </w:rPr>
              <w:t>999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400 dias*</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200 dias*</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5E6903">
            <w:pPr>
              <w:pStyle w:val="AppendixTableHeadings"/>
              <w:keepNext/>
              <w:rPr>
                <w:rFonts w:ascii="Tahoma" w:hAnsi="Tahoma" w:cs="Tahoma"/>
                <w:b w:val="0"/>
              </w:rPr>
            </w:pPr>
            <w:r w:rsidRPr="000A1C8E">
              <w:rPr>
                <w:rFonts w:ascii="Tahoma" w:hAnsi="Tahoma" w:cs="Tahoma"/>
                <w:b w:val="0"/>
              </w:rPr>
              <w:t>200,000 – 399,999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600 dias*</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300 dias*</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Headings"/>
              <w:keepNext/>
              <w:rPr>
                <w:rFonts w:ascii="Tahoma" w:hAnsi="Tahoma" w:cs="Tahoma"/>
                <w:b w:val="0"/>
              </w:rPr>
            </w:pPr>
            <w:r w:rsidRPr="000A1C8E">
              <w:rPr>
                <w:rFonts w:ascii="Tahoma" w:hAnsi="Tahoma" w:cs="Tahoma"/>
                <w:b w:val="0"/>
              </w:rPr>
              <w:t>400</w:t>
            </w:r>
            <w:r w:rsidR="00D866A7">
              <w:rPr>
                <w:rFonts w:ascii="Tahoma" w:hAnsi="Tahoma" w:cs="Tahoma"/>
                <w:b w:val="0"/>
              </w:rPr>
              <w:t>.</w:t>
            </w:r>
            <w:r w:rsidRPr="000A1C8E">
              <w:rPr>
                <w:rFonts w:ascii="Tahoma" w:hAnsi="Tahoma" w:cs="Tahoma"/>
                <w:b w:val="0"/>
              </w:rPr>
              <w:t>000 – 599</w:t>
            </w:r>
            <w:r w:rsidR="00D866A7">
              <w:rPr>
                <w:rFonts w:ascii="Tahoma" w:hAnsi="Tahoma" w:cs="Tahoma"/>
                <w:b w:val="0"/>
              </w:rPr>
              <w:t>.</w:t>
            </w:r>
            <w:r w:rsidRPr="000A1C8E">
              <w:rPr>
                <w:rFonts w:ascii="Tahoma" w:hAnsi="Tahoma" w:cs="Tahoma"/>
                <w:b w:val="0"/>
              </w:rPr>
              <w:t>999</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800 dias*</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400 dias*</w:t>
            </w:r>
          </w:p>
          <w:p w:rsidR="00F76ED4" w:rsidRPr="000A1C8E" w:rsidRDefault="00F76ED4" w:rsidP="005E6903">
            <w:pPr>
              <w:pStyle w:val="AppendixTableText"/>
              <w:keepNext/>
              <w:rPr>
                <w:rFonts w:ascii="Tahoma" w:hAnsi="Tahoma" w:cs="Tahoma"/>
              </w:rPr>
            </w:pPr>
          </w:p>
        </w:tc>
      </w:tr>
      <w:tr w:rsidR="00F76ED4" w:rsidRPr="000A1C8E" w:rsidTr="005E6903">
        <w:trPr>
          <w:cantSplit/>
          <w:trHeight w:val="236"/>
        </w:trPr>
        <w:tc>
          <w:tcPr>
            <w:tcW w:w="2903" w:type="dxa"/>
            <w:vAlign w:val="center"/>
          </w:tcPr>
          <w:p w:rsidR="00F76ED4" w:rsidRPr="000A1C8E" w:rsidRDefault="00F76ED4" w:rsidP="005E6903">
            <w:pPr>
              <w:pStyle w:val="AppendixTableHeadings"/>
              <w:keepNext/>
              <w:rPr>
                <w:rFonts w:ascii="Tahoma" w:hAnsi="Tahoma" w:cs="Tahoma"/>
              </w:rPr>
            </w:pPr>
            <w:r w:rsidRPr="000A1C8E">
              <w:rPr>
                <w:rFonts w:ascii="Tahoma" w:hAnsi="Tahoma" w:cs="Tahoma"/>
                <w:b w:val="0"/>
              </w:rPr>
              <w:t>SAM</w:t>
            </w:r>
          </w:p>
          <w:p w:rsidR="00F76ED4" w:rsidRPr="000A1C8E" w:rsidRDefault="00F76ED4" w:rsidP="00D866A7">
            <w:pPr>
              <w:pStyle w:val="AppendixTableHeadings"/>
              <w:keepNext/>
              <w:rPr>
                <w:rFonts w:ascii="Tahoma" w:hAnsi="Tahoma" w:cs="Tahoma"/>
                <w:b w:val="0"/>
              </w:rPr>
            </w:pPr>
            <w:r w:rsidRPr="000A1C8E">
              <w:rPr>
                <w:rFonts w:ascii="Tahoma" w:hAnsi="Tahoma" w:cs="Tahoma"/>
                <w:b w:val="0"/>
              </w:rPr>
              <w:t>600</w:t>
            </w:r>
            <w:r w:rsidR="00D866A7">
              <w:rPr>
                <w:rFonts w:ascii="Tahoma" w:hAnsi="Tahoma" w:cs="Tahoma"/>
                <w:b w:val="0"/>
              </w:rPr>
              <w:t>.</w:t>
            </w:r>
            <w:r w:rsidRPr="000A1C8E">
              <w:rPr>
                <w:rFonts w:ascii="Tahoma" w:hAnsi="Tahoma" w:cs="Tahoma"/>
                <w:b w:val="0"/>
              </w:rPr>
              <w:t>000 +</w:t>
            </w:r>
          </w:p>
        </w:tc>
        <w:tc>
          <w:tcPr>
            <w:tcW w:w="315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 xml:space="preserve">1400 dias* </w:t>
            </w:r>
          </w:p>
          <w:p w:rsidR="00F76ED4" w:rsidRPr="000A1C8E" w:rsidRDefault="00F76ED4" w:rsidP="005E6903">
            <w:pPr>
              <w:pStyle w:val="AppendixTableText"/>
              <w:keepNext/>
              <w:rPr>
                <w:rFonts w:ascii="Tahoma" w:hAnsi="Tahoma" w:cs="Tahoma"/>
              </w:rPr>
            </w:pPr>
          </w:p>
        </w:tc>
        <w:tc>
          <w:tcPr>
            <w:tcW w:w="3240" w:type="dxa"/>
            <w:vAlign w:val="center"/>
          </w:tcPr>
          <w:p w:rsidR="00F76ED4" w:rsidRPr="000A1C8E" w:rsidRDefault="00F76ED4" w:rsidP="005E6903">
            <w:pPr>
              <w:pStyle w:val="AppendixTableText"/>
              <w:keepNext/>
              <w:rPr>
                <w:rFonts w:ascii="Tahoma" w:hAnsi="Tahoma" w:cs="Tahoma"/>
              </w:rPr>
            </w:pPr>
            <w:r w:rsidRPr="000A1C8E">
              <w:rPr>
                <w:rFonts w:ascii="Tahoma" w:hAnsi="Tahoma" w:cs="Tahoma"/>
              </w:rPr>
              <w:t>700 dias*</w:t>
            </w:r>
          </w:p>
          <w:p w:rsidR="00F76ED4" w:rsidRPr="000A1C8E" w:rsidRDefault="00F76ED4" w:rsidP="005E6903">
            <w:pPr>
              <w:pStyle w:val="AppendixTableText"/>
              <w:keepNext/>
              <w:rPr>
                <w:rFonts w:ascii="Tahoma" w:hAnsi="Tahoma" w:cs="Tahoma"/>
              </w:rPr>
            </w:pPr>
          </w:p>
        </w:tc>
      </w:tr>
    </w:tbl>
    <w:p w:rsidR="00F528E5" w:rsidRPr="000A1C8E" w:rsidRDefault="00F528E5" w:rsidP="003C56F1">
      <w:pPr>
        <w:pStyle w:val="AppendixBodyText"/>
        <w:spacing w:after="0"/>
        <w:rPr>
          <w:rFonts w:ascii="Tahoma" w:hAnsi="Tahoma" w:cs="Tahoma"/>
        </w:rPr>
      </w:pPr>
    </w:p>
    <w:p w:rsidR="00E762F8" w:rsidRPr="000A1C8E" w:rsidRDefault="00023FE7">
      <w:pPr>
        <w:pStyle w:val="AppendixFlushBulletedList"/>
        <w:tabs>
          <w:tab w:val="clear" w:pos="360"/>
          <w:tab w:val="num" w:pos="0"/>
        </w:tabs>
        <w:ind w:left="0" w:firstLine="0"/>
        <w:rPr>
          <w:rFonts w:ascii="Tahoma" w:hAnsi="Tahoma" w:cs="Tahoma"/>
        </w:rPr>
      </w:pPr>
      <w:r w:rsidRPr="000A1C8E">
        <w:rPr>
          <w:rFonts w:ascii="Tahoma" w:hAnsi="Tahoma" w:cs="Tahoma"/>
          <w:sz w:val="18"/>
          <w:szCs w:val="18"/>
        </w:rPr>
        <w:t>O número mínimo de licenças com Software Assurance necessário para a qualificação do Cupom de Treinamento varia por programa.</w:t>
      </w:r>
    </w:p>
    <w:p w:rsidR="00C65D66" w:rsidRPr="000A1C8E" w:rsidRDefault="00C65D66" w:rsidP="00C65D66">
      <w:pPr>
        <w:tabs>
          <w:tab w:val="left" w:pos="10440"/>
        </w:tabs>
        <w:spacing w:before="120"/>
        <w:ind w:right="306"/>
        <w:rPr>
          <w:rFonts w:cs="Tahoma"/>
        </w:rPr>
      </w:pPr>
      <w:r w:rsidRPr="000A1C8E">
        <w:rPr>
          <w:rFonts w:eastAsia="Calibri" w:cs="Tahoma"/>
          <w:b/>
          <w:i/>
          <w:color w:val="000000"/>
          <w:sz w:val="16"/>
          <w:szCs w:val="16"/>
        </w:rPr>
        <w:t>Observação:</w:t>
      </w:r>
      <w:r w:rsidRPr="000A1C8E">
        <w:rPr>
          <w:rFonts w:eastAsia="Calibri" w:cs="Tahoma"/>
          <w:i/>
          <w:color w:val="000000"/>
          <w:sz w:val="16"/>
          <w:szCs w:val="16"/>
        </w:rPr>
        <w:t xml:space="preserve"> créditos de treinamento disponíveis com base em um registro ou contrato integral de 3 anos (consulte a seguir para obter detalhes).</w:t>
      </w:r>
      <w:r w:rsidR="00DC6D8B" w:rsidRPr="000A1C8E">
        <w:rPr>
          <w:rFonts w:eastAsia="Calibri" w:cs="Tahoma"/>
          <w:i/>
          <w:color w:val="000000"/>
          <w:sz w:val="16"/>
          <w:szCs w:val="16"/>
        </w:rPr>
        <w:t xml:space="preserve"> </w:t>
      </w:r>
    </w:p>
    <w:p w:rsidR="00C65D66" w:rsidRPr="000A1C8E" w:rsidRDefault="00C65D66" w:rsidP="00C65D66">
      <w:pPr>
        <w:spacing w:after="60"/>
        <w:rPr>
          <w:rFonts w:cs="Tahoma"/>
        </w:rPr>
      </w:pPr>
      <w:r w:rsidRPr="000A1C8E">
        <w:rPr>
          <w:rFonts w:eastAsia="Calibri" w:cs="Tahoma"/>
          <w:i/>
          <w:color w:val="000000"/>
          <w:sz w:val="16"/>
          <w:szCs w:val="16"/>
        </w:rPr>
        <w:t>Consulte a tabela com o Aplicativo do Office System</w:t>
      </w:r>
    </w:p>
    <w:p w:rsidR="00EC05F0" w:rsidRPr="000A1C8E" w:rsidRDefault="00C65D66" w:rsidP="00F76ED4">
      <w:pPr>
        <w:tabs>
          <w:tab w:val="left" w:pos="10440"/>
        </w:tabs>
        <w:ind w:right="302"/>
        <w:rPr>
          <w:rFonts w:cs="Tahoma"/>
        </w:rPr>
      </w:pPr>
      <w:r w:rsidRPr="000A1C8E">
        <w:rPr>
          <w:rFonts w:eastAsia="Calibri" w:cs="Tahoma"/>
          <w:i/>
          <w:color w:val="000000"/>
          <w:sz w:val="16"/>
          <w:szCs w:val="16"/>
        </w:rPr>
        <w:t>*Número de dias por registro ou contrato aplicável.</w:t>
      </w:r>
    </w:p>
    <w:p w:rsidR="009D26EE" w:rsidRPr="000A1C8E" w:rsidRDefault="009D26EE" w:rsidP="003C56F1">
      <w:pPr>
        <w:pStyle w:val="AppendixBodyText"/>
        <w:spacing w:after="0"/>
        <w:rPr>
          <w:rFonts w:ascii="Tahoma" w:hAnsi="Tahoma" w:cs="Tahoma"/>
        </w:rPr>
      </w:pP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Nem todos os cursos estão disponíveis em todos os idiomas.</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As políticas locais estabelecidas por Microsoft Learning Partner se aplicam.</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Os Gerentes de Benefícios podem revogar um cupom com status atribuído até a data de cancelamento da aula estabelecida pelo Microsoft Learning Partner.</w:t>
      </w:r>
    </w:p>
    <w:p w:rsidR="009D26EE" w:rsidRPr="000A1C8E" w:rsidRDefault="009D26EE" w:rsidP="00295261">
      <w:pPr>
        <w:pStyle w:val="AppendixBodyText"/>
        <w:numPr>
          <w:ilvl w:val="0"/>
          <w:numId w:val="29"/>
        </w:numPr>
        <w:spacing w:afterLines="60" w:after="144"/>
        <w:rPr>
          <w:rFonts w:ascii="Tahoma" w:hAnsi="Tahoma" w:cs="Tahoma"/>
        </w:rPr>
      </w:pPr>
      <w:r w:rsidRPr="000A1C8E">
        <w:rPr>
          <w:rFonts w:ascii="Tahoma" w:hAnsi="Tahoma" w:cs="Tahoma"/>
          <w:bCs/>
          <w:sz w:val="18"/>
          <w:szCs w:val="18"/>
        </w:rPr>
        <w:lastRenderedPageBreak/>
        <w:t>Todos os dias de curso não cobertos pelo cupom deverão ser pagos pela pessoa que receber o</w:t>
      </w:r>
      <w:r w:rsidR="00295261" w:rsidRPr="000A1C8E">
        <w:rPr>
          <w:rFonts w:ascii="Tahoma" w:hAnsi="Tahoma" w:cs="Tahoma"/>
          <w:bCs/>
          <w:sz w:val="18"/>
          <w:szCs w:val="18"/>
        </w:rPr>
        <w:t> </w:t>
      </w:r>
      <w:r w:rsidRPr="000A1C8E">
        <w:rPr>
          <w:rFonts w:ascii="Tahoma" w:hAnsi="Tahoma" w:cs="Tahoma"/>
          <w:bCs/>
          <w:sz w:val="18"/>
          <w:szCs w:val="18"/>
        </w:rPr>
        <w:t>treinamento.</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Todos os dias do cupom em excesso quanto ao número de dias aplicados a uma aula em particular serão devolvidos ao pool de dias disponível para serem reatribuídos pelos Gerentes de Benefícios.</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Os cursos fornecidos em um formato acelerado exigem um cupom com número de dias equivalente ao número de dias do curso para uma entrega normal do curso.</w:t>
      </w:r>
    </w:p>
    <w:p w:rsidR="009D26EE" w:rsidRPr="000A1C8E" w:rsidRDefault="009D26EE" w:rsidP="00132B04">
      <w:pPr>
        <w:pStyle w:val="AppendixBodyText"/>
        <w:numPr>
          <w:ilvl w:val="0"/>
          <w:numId w:val="29"/>
        </w:numPr>
        <w:spacing w:afterLines="60" w:after="144"/>
        <w:rPr>
          <w:rFonts w:ascii="Tahoma" w:hAnsi="Tahoma" w:cs="Tahoma"/>
        </w:rPr>
      </w:pPr>
      <w:r w:rsidRPr="000A1C8E">
        <w:rPr>
          <w:rFonts w:ascii="Tahoma" w:hAnsi="Tahoma" w:cs="Tahoma"/>
          <w:bCs/>
          <w:sz w:val="18"/>
          <w:szCs w:val="18"/>
        </w:rPr>
        <w:t>O cupom pode ser resgatado apenas pelos dias de treinamento ministrados por instrutor com Microsoft Learning Partners qualificados nos cursos aprovados.</w:t>
      </w:r>
      <w:r w:rsidR="00DC6D8B" w:rsidRPr="000A1C8E">
        <w:rPr>
          <w:rFonts w:ascii="Tahoma" w:hAnsi="Tahoma" w:cs="Tahoma"/>
          <w:bCs/>
          <w:sz w:val="18"/>
          <w:szCs w:val="18"/>
        </w:rPr>
        <w:t xml:space="preserve"> </w:t>
      </w:r>
      <w:r w:rsidRPr="000A1C8E">
        <w:rPr>
          <w:rFonts w:ascii="Tahoma" w:hAnsi="Tahoma" w:cs="Tahoma"/>
          <w:bCs/>
          <w:sz w:val="18"/>
          <w:szCs w:val="18"/>
        </w:rPr>
        <w:t>Os cursos personalizados (diferentes da entrega acelerada de cursos aprovados) não estão qualificados para cobertura</w:t>
      </w:r>
      <w:r w:rsidR="00132B04" w:rsidRPr="000A1C8E">
        <w:rPr>
          <w:rFonts w:ascii="Tahoma" w:hAnsi="Tahoma" w:cs="Tahoma"/>
          <w:bCs/>
          <w:sz w:val="18"/>
          <w:szCs w:val="18"/>
        </w:rPr>
        <w:t> </w:t>
      </w:r>
      <w:r w:rsidRPr="000A1C8E">
        <w:rPr>
          <w:rFonts w:ascii="Tahoma" w:hAnsi="Tahoma" w:cs="Tahoma"/>
          <w:bCs/>
          <w:sz w:val="18"/>
          <w:szCs w:val="18"/>
        </w:rPr>
        <w:t>por</w:t>
      </w:r>
      <w:r w:rsidR="00256C7E" w:rsidRPr="000A1C8E">
        <w:rPr>
          <w:rFonts w:ascii="Tahoma" w:hAnsi="Tahoma" w:cs="Tahoma"/>
          <w:bCs/>
          <w:sz w:val="18"/>
          <w:szCs w:val="18"/>
        </w:rPr>
        <w:t> </w:t>
      </w:r>
      <w:r w:rsidRPr="000A1C8E">
        <w:rPr>
          <w:rFonts w:ascii="Tahoma" w:hAnsi="Tahoma" w:cs="Tahoma"/>
          <w:bCs/>
          <w:sz w:val="18"/>
          <w:szCs w:val="18"/>
        </w:rPr>
        <w:t>esses cupons.</w:t>
      </w:r>
      <w:r w:rsidR="00DC6D8B" w:rsidRPr="000A1C8E">
        <w:rPr>
          <w:rFonts w:ascii="Tahoma" w:hAnsi="Tahoma" w:cs="Tahoma"/>
          <w:bCs/>
          <w:sz w:val="18"/>
          <w:szCs w:val="18"/>
        </w:rPr>
        <w:t xml:space="preserve"> </w:t>
      </w:r>
      <w:r w:rsidRPr="000A1C8E">
        <w:rPr>
          <w:rFonts w:ascii="Tahoma" w:hAnsi="Tahoma" w:cs="Tahoma"/>
          <w:bCs/>
          <w:sz w:val="18"/>
          <w:szCs w:val="18"/>
        </w:rPr>
        <w:t>Para obter informações sobre cursos aprovados, visite o site http://www.microsoft.com/learning/sa/training.mspx.</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Os cupons não podem ser usados para cobrir quaisquer taxas relacionadas a um cliente que não compareça em um curso reservado.</w:t>
      </w:r>
      <w:r w:rsidR="00DC6D8B" w:rsidRPr="000A1C8E">
        <w:rPr>
          <w:rFonts w:ascii="Tahoma" w:hAnsi="Tahoma" w:cs="Tahoma"/>
          <w:bCs/>
          <w:sz w:val="18"/>
          <w:szCs w:val="18"/>
        </w:rPr>
        <w:t xml:space="preserve"> </w:t>
      </w:r>
      <w:r w:rsidRPr="000A1C8E">
        <w:rPr>
          <w:rFonts w:ascii="Tahoma" w:hAnsi="Tahoma" w:cs="Tahoma"/>
          <w:bCs/>
          <w:sz w:val="18"/>
          <w:szCs w:val="18"/>
        </w:rPr>
        <w:t xml:space="preserve">Todas as taxas relacionadas a “Não Comparecimentos” são de responsabilidade do cliente. </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 xml:space="preserve">Os cupons poderão ser resgatados apenas pelo indivíduo aprovado pelo cliente para usar o cupom. </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Os cupons não poderão ser trocados por dinheiro, valores ou outras considerações de valor.</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Os cupons devem ser atribuídos durante o período de cobertura do Software Assurance.</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rsidR="00982A40" w:rsidRPr="000A1C8E" w:rsidRDefault="00982A40" w:rsidP="004F6A95">
      <w:pPr>
        <w:numPr>
          <w:ilvl w:val="0"/>
          <w:numId w:val="29"/>
        </w:numPr>
        <w:spacing w:afterLines="60" w:after="144"/>
        <w:rPr>
          <w:rFonts w:cs="Tahoma"/>
        </w:rPr>
      </w:pPr>
      <w:r w:rsidRPr="000A1C8E">
        <w:rPr>
          <w:rFonts w:cs="Tahoma"/>
          <w:bCs/>
          <w:szCs w:val="18"/>
        </w:rPr>
        <w:t>Com exceção das Sessões de Demonstração, um Voucher de um dia de Treinamento é igual ao equivalente a um dia de sessão de treinamento.</w:t>
      </w:r>
      <w:r w:rsidR="00DC6D8B" w:rsidRPr="000A1C8E">
        <w:rPr>
          <w:rFonts w:cs="Tahoma"/>
          <w:bCs/>
          <w:szCs w:val="18"/>
        </w:rPr>
        <w:t xml:space="preserve"> </w:t>
      </w:r>
      <w:r w:rsidRPr="000A1C8E">
        <w:rPr>
          <w:rFonts w:cs="Tahoma"/>
          <w:bCs/>
          <w:szCs w:val="18"/>
        </w:rPr>
        <w:t>Para as Sessões de Demonstração, um dia de Voucher de Treinamento é igual a uma Sessão de Demonstração.</w:t>
      </w:r>
    </w:p>
    <w:p w:rsidR="00982A40" w:rsidRPr="000A1C8E" w:rsidRDefault="00982A40" w:rsidP="004F6A95">
      <w:pPr>
        <w:numPr>
          <w:ilvl w:val="0"/>
          <w:numId w:val="29"/>
        </w:numPr>
        <w:spacing w:afterLines="60" w:after="144"/>
        <w:rPr>
          <w:rFonts w:cs="Tahoma"/>
        </w:rPr>
      </w:pPr>
      <w:r w:rsidRPr="000A1C8E">
        <w:rPr>
          <w:rFonts w:cs="Tahoma"/>
          <w:bCs/>
          <w:szCs w:val="18"/>
        </w:rPr>
        <w:t>Os clientes devem resgatar os Vouchers de Treinamento para conjuntos de quatro ou mais Sessões de Demonstração</w:t>
      </w:r>
    </w:p>
    <w:p w:rsidR="00982A40" w:rsidRPr="000A1C8E" w:rsidRDefault="00982A40" w:rsidP="00295261">
      <w:pPr>
        <w:numPr>
          <w:ilvl w:val="0"/>
          <w:numId w:val="29"/>
        </w:numPr>
        <w:spacing w:afterLines="60" w:after="144"/>
        <w:rPr>
          <w:rFonts w:cs="Tahoma"/>
        </w:rPr>
      </w:pPr>
      <w:r w:rsidRPr="000A1C8E">
        <w:rPr>
          <w:rFonts w:cs="Tahoma"/>
          <w:bCs/>
          <w:szCs w:val="18"/>
        </w:rPr>
        <w:t>Os Vouchers de Treinamento resgatados para as Sessões de Treinamento, ao contrário dos Vouchers de Treinamento resgatados para outras sessões de treinamento, não se limitando a</w:t>
      </w:r>
      <w:r w:rsidR="00295261" w:rsidRPr="000A1C8E">
        <w:rPr>
          <w:rFonts w:cs="Tahoma"/>
          <w:bCs/>
          <w:szCs w:val="18"/>
        </w:rPr>
        <w:t> </w:t>
      </w:r>
      <w:r w:rsidRPr="000A1C8E">
        <w:rPr>
          <w:rFonts w:cs="Tahoma"/>
          <w:bCs/>
          <w:szCs w:val="18"/>
        </w:rPr>
        <w:t>um</w:t>
      </w:r>
      <w:r w:rsidR="00295261" w:rsidRPr="000A1C8E">
        <w:rPr>
          <w:rFonts w:cs="Tahoma"/>
          <w:bCs/>
          <w:szCs w:val="18"/>
        </w:rPr>
        <w:t> </w:t>
      </w:r>
      <w:r w:rsidRPr="000A1C8E">
        <w:rPr>
          <w:rFonts w:cs="Tahoma"/>
          <w:bCs/>
          <w:szCs w:val="18"/>
        </w:rPr>
        <w:t>único indivíduo.</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 xml:space="preserve">Os cupons poderão ser usados para reservar treinamentos com apenas um Microsoft Learning Partner qualificado de cada vez. </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 Microsoft Learning Partner reserva o direito de cancelar uma aula de acordo com a política de cancelamento local.</w:t>
      </w:r>
    </w:p>
    <w:p w:rsidR="009D26EE" w:rsidRPr="000A1C8E" w:rsidRDefault="009D26EE" w:rsidP="00132B04">
      <w:pPr>
        <w:pStyle w:val="AppendixBodyText"/>
        <w:numPr>
          <w:ilvl w:val="0"/>
          <w:numId w:val="29"/>
        </w:numPr>
        <w:spacing w:afterLines="60" w:after="144"/>
        <w:rPr>
          <w:rFonts w:ascii="Tahoma" w:hAnsi="Tahoma" w:cs="Tahoma"/>
        </w:rPr>
      </w:pPr>
      <w:r w:rsidRPr="000A1C8E">
        <w:rPr>
          <w:rFonts w:ascii="Tahoma" w:hAnsi="Tahoma" w:cs="Tahoma"/>
          <w:bCs/>
          <w:sz w:val="18"/>
          <w:szCs w:val="18"/>
        </w:rPr>
        <w:t>Os cupons são válidos apenas com a participação de Microsoft Learning Partners. Eles podem ser</w:t>
      </w:r>
      <w:r w:rsidR="00132B04" w:rsidRPr="000A1C8E">
        <w:rPr>
          <w:rFonts w:ascii="Tahoma" w:hAnsi="Tahoma" w:cs="Tahoma"/>
          <w:bCs/>
          <w:sz w:val="18"/>
          <w:szCs w:val="18"/>
        </w:rPr>
        <w:t> </w:t>
      </w:r>
      <w:r w:rsidRPr="000A1C8E">
        <w:rPr>
          <w:rFonts w:ascii="Tahoma" w:hAnsi="Tahoma" w:cs="Tahoma"/>
          <w:bCs/>
          <w:sz w:val="18"/>
          <w:szCs w:val="18"/>
        </w:rPr>
        <w:t>usados com qualquer Microsoft Learning Partner qualificado de todo o mundo. A participação pode</w:t>
      </w:r>
      <w:r w:rsidR="00132B04" w:rsidRPr="000A1C8E">
        <w:rPr>
          <w:rFonts w:ascii="Tahoma" w:hAnsi="Tahoma" w:cs="Tahoma"/>
          <w:bCs/>
          <w:sz w:val="18"/>
          <w:szCs w:val="18"/>
        </w:rPr>
        <w:t> </w:t>
      </w:r>
      <w:r w:rsidRPr="000A1C8E">
        <w:rPr>
          <w:rFonts w:ascii="Tahoma" w:hAnsi="Tahoma" w:cs="Tahoma"/>
          <w:bCs/>
          <w:sz w:val="18"/>
          <w:szCs w:val="18"/>
        </w:rPr>
        <w:t>variar.</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Os clientes devem fornecer ao parceiro Microsoft Learning Partner as informações do cupom que gostariam de utilizar no curso antes do final do curso a fim de usá-lo como pagamento do curso.</w:t>
      </w:r>
      <w:r w:rsidR="00DC6D8B" w:rsidRPr="000A1C8E">
        <w:rPr>
          <w:rFonts w:ascii="Tahoma" w:hAnsi="Tahoma" w:cs="Tahoma"/>
          <w:bCs/>
          <w:sz w:val="18"/>
          <w:szCs w:val="18"/>
        </w:rPr>
        <w:t xml:space="preserve"> </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A Microsoft não é responsável por cupons perdidos, roubados ou utilizados indevidamente.</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t>Os cupons podem ser resgatados apenas pelo cliente que estiver qualificado para o benefício.</w:t>
      </w:r>
    </w:p>
    <w:p w:rsidR="00132B04" w:rsidRPr="000A1C8E" w:rsidRDefault="00132B04" w:rsidP="00132B04">
      <w:pPr>
        <w:pStyle w:val="AppendixBodyText"/>
        <w:spacing w:afterLines="60" w:after="144"/>
        <w:ind w:left="1440"/>
        <w:rPr>
          <w:rFonts w:ascii="Tahoma" w:hAnsi="Tahoma" w:cs="Tahoma"/>
        </w:rPr>
      </w:pPr>
    </w:p>
    <w:p w:rsidR="009D26EE" w:rsidRPr="000A1C8E" w:rsidRDefault="009D26EE" w:rsidP="004F6A95">
      <w:pPr>
        <w:pStyle w:val="AppendixBodyText"/>
        <w:numPr>
          <w:ilvl w:val="0"/>
          <w:numId w:val="29"/>
        </w:numPr>
        <w:spacing w:afterLines="60" w:after="144"/>
        <w:rPr>
          <w:rFonts w:ascii="Tahoma" w:hAnsi="Tahoma" w:cs="Tahoma"/>
        </w:rPr>
      </w:pPr>
      <w:r w:rsidRPr="000A1C8E">
        <w:rPr>
          <w:rFonts w:ascii="Tahoma" w:hAnsi="Tahoma" w:cs="Tahoma"/>
          <w:bCs/>
          <w:sz w:val="18"/>
          <w:szCs w:val="18"/>
        </w:rPr>
        <w:lastRenderedPageBreak/>
        <w:t>Os serviços fornecidos sob cupons são oferecidos de acordo com um contrato entre o Cliente e o Provedor Qualificado. A Microsoft não é responsável por nenhum trabalho ou nenhuma falha da parte do Provedor Qualificado relacionado aos serviços.</w:t>
      </w:r>
    </w:p>
    <w:p w:rsidR="00973A93" w:rsidRPr="000A1C8E" w:rsidRDefault="009D26EE" w:rsidP="00132B04">
      <w:pPr>
        <w:pStyle w:val="AppendixBodyText"/>
        <w:numPr>
          <w:ilvl w:val="0"/>
          <w:numId w:val="29"/>
        </w:numPr>
        <w:spacing w:after="0"/>
        <w:rPr>
          <w:rFonts w:ascii="Tahoma" w:hAnsi="Tahoma" w:cs="Tahoma"/>
        </w:rPr>
      </w:pPr>
      <w:r w:rsidRPr="000A1C8E">
        <w:rPr>
          <w:rFonts w:ascii="Tahoma" w:hAnsi="Tahoma" w:cs="Tahoma"/>
          <w:bCs/>
          <w:sz w:val="18"/>
          <w:szCs w:val="18"/>
        </w:rPr>
        <w:t>A tabela acima mostra os créditos de treinamento disponíveis com base em um registro ou contrato integral de 3 anos.</w:t>
      </w:r>
      <w:r w:rsidR="00DC6D8B" w:rsidRPr="000A1C8E">
        <w:rPr>
          <w:rFonts w:ascii="Tahoma" w:hAnsi="Tahoma" w:cs="Tahoma"/>
          <w:bCs/>
          <w:sz w:val="18"/>
          <w:szCs w:val="18"/>
        </w:rPr>
        <w:t xml:space="preserve"> </w:t>
      </w:r>
      <w:r w:rsidRPr="000A1C8E">
        <w:rPr>
          <w:rFonts w:ascii="Tahoma" w:hAnsi="Tahoma" w:cs="Tahoma"/>
          <w:bCs/>
          <w:sz w:val="18"/>
          <w:szCs w:val="18"/>
        </w:rPr>
        <w:t>Os clientes que comprarem a cobertura do Software Assurance por um</w:t>
      </w:r>
      <w:r w:rsidR="00132B04" w:rsidRPr="000A1C8E">
        <w:rPr>
          <w:rFonts w:ascii="Tahoma" w:hAnsi="Tahoma" w:cs="Tahoma"/>
          <w:bCs/>
          <w:sz w:val="18"/>
          <w:szCs w:val="18"/>
        </w:rPr>
        <w:t> </w:t>
      </w:r>
      <w:r w:rsidRPr="000A1C8E">
        <w:rPr>
          <w:rFonts w:ascii="Tahoma" w:hAnsi="Tahoma" w:cs="Tahoma"/>
          <w:bCs/>
          <w:sz w:val="18"/>
          <w:szCs w:val="18"/>
        </w:rPr>
        <w:t>ano receberão um terço do número declarado de créditos de treinamento.</w:t>
      </w:r>
      <w:r w:rsidR="00DC6D8B" w:rsidRPr="000A1C8E">
        <w:rPr>
          <w:rFonts w:ascii="Tahoma" w:hAnsi="Tahoma" w:cs="Tahoma"/>
          <w:bCs/>
          <w:sz w:val="18"/>
          <w:szCs w:val="18"/>
        </w:rPr>
        <w:t xml:space="preserve"> </w:t>
      </w:r>
      <w:r w:rsidRPr="000A1C8E">
        <w:rPr>
          <w:rFonts w:ascii="Tahoma" w:hAnsi="Tahoma" w:cs="Tahoma"/>
          <w:bCs/>
          <w:sz w:val="18"/>
          <w:szCs w:val="18"/>
        </w:rPr>
        <w:t>Os clientes que adquirirem a cobertura do Software Assurance por dois anos receberão dois terços do número declarado de créditos de treinamento.</w:t>
      </w:r>
      <w:bookmarkStart w:id="739" w:name="_Toc336338234"/>
    </w:p>
    <w:p w:rsidR="005A141F" w:rsidRPr="000A1C8E" w:rsidRDefault="005A141F" w:rsidP="005A141F">
      <w:pPr>
        <w:pStyle w:val="AppendixBodyText"/>
        <w:spacing w:after="0"/>
        <w:rPr>
          <w:rFonts w:ascii="Tahoma" w:hAnsi="Tahoma" w:cs="Tahoma"/>
        </w:rPr>
      </w:pPr>
    </w:p>
    <w:p w:rsidR="00023FE7" w:rsidRPr="000A1C8E" w:rsidRDefault="00023FE7">
      <w:pPr>
        <w:pStyle w:val="Heading3"/>
        <w:rPr>
          <w:rFonts w:ascii="Tahoma" w:hAnsi="Tahoma" w:cs="Tahoma"/>
        </w:rPr>
      </w:pPr>
      <w:bookmarkStart w:id="740" w:name="_Toc361829318"/>
      <w:r w:rsidRPr="000A1C8E">
        <w:rPr>
          <w:rFonts w:ascii="Tahoma" w:hAnsi="Tahoma" w:cs="Tahoma"/>
          <w:sz w:val="24"/>
        </w:rPr>
        <w:t>E-Learning</w:t>
      </w:r>
      <w:bookmarkEnd w:id="739"/>
      <w:bookmarkEnd w:id="740"/>
    </w:p>
    <w:p w:rsidR="00023FE7" w:rsidRPr="000A1C8E" w:rsidRDefault="00023FE7" w:rsidP="002D25C8">
      <w:pPr>
        <w:rPr>
          <w:rFonts w:cs="Tahoma"/>
        </w:rPr>
      </w:pPr>
    </w:p>
    <w:p w:rsidR="003C56F1" w:rsidRPr="000A1C8E" w:rsidRDefault="00324479" w:rsidP="008A7860">
      <w:pPr>
        <w:tabs>
          <w:tab w:val="num" w:pos="360"/>
        </w:tabs>
        <w:spacing w:after="60"/>
        <w:rPr>
          <w:rFonts w:cs="Tahoma"/>
        </w:rPr>
      </w:pPr>
      <w:r w:rsidRPr="000A1C8E">
        <w:rPr>
          <w:rFonts w:cs="Tahoma"/>
          <w:b/>
          <w:szCs w:val="18"/>
        </w:rPr>
        <w:t>Clientes qualificados do Software Assurance</w:t>
      </w:r>
    </w:p>
    <w:p w:rsidR="00324479" w:rsidRPr="000A1C8E" w:rsidRDefault="00324479" w:rsidP="002D25C8">
      <w:pPr>
        <w:tabs>
          <w:tab w:val="num" w:pos="360"/>
        </w:tabs>
        <w:rPr>
          <w:rFonts w:cs="Tahoma"/>
        </w:rPr>
      </w:pPr>
      <w:r w:rsidRPr="000A1C8E">
        <w:rPr>
          <w:rFonts w:cs="Tahoma"/>
          <w:szCs w:val="18"/>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rsidR="00324479" w:rsidRPr="000A1C8E" w:rsidRDefault="00324479" w:rsidP="002D25C8">
      <w:pPr>
        <w:tabs>
          <w:tab w:val="num" w:pos="360"/>
        </w:tabs>
        <w:rPr>
          <w:rFonts w:cs="Tahoma"/>
        </w:rPr>
      </w:pPr>
    </w:p>
    <w:p w:rsidR="008A7860" w:rsidRPr="000A1C8E" w:rsidRDefault="00324479" w:rsidP="008A7860">
      <w:pPr>
        <w:tabs>
          <w:tab w:val="num" w:pos="360"/>
        </w:tabs>
        <w:spacing w:after="60"/>
        <w:rPr>
          <w:rFonts w:cs="Tahoma"/>
        </w:rPr>
      </w:pPr>
      <w:r w:rsidRPr="000A1C8E">
        <w:rPr>
          <w:rFonts w:cs="Tahoma"/>
          <w:b/>
          <w:szCs w:val="18"/>
        </w:rPr>
        <w:t>Clientes qualificados para os Benefícios de Serviços Online</w:t>
      </w:r>
    </w:p>
    <w:p w:rsidR="00324479" w:rsidRPr="000A1C8E" w:rsidRDefault="00324479" w:rsidP="002D25C8">
      <w:pPr>
        <w:tabs>
          <w:tab w:val="num" w:pos="360"/>
        </w:tabs>
        <w:rPr>
          <w:rFonts w:cs="Tahoma"/>
        </w:rPr>
      </w:pPr>
      <w:r w:rsidRPr="000A1C8E">
        <w:rPr>
          <w:rFonts w:cs="Tahoma"/>
          <w:szCs w:val="18"/>
        </w:rPr>
        <w:t>Os clientes com Windows Intune (Por Dispositivo) estão qualificados para usar o benefício E-Learning dos Sistemas durante o prazo desse registro.</w:t>
      </w:r>
      <w:r w:rsidR="00DC6D8B" w:rsidRPr="000A1C8E">
        <w:rPr>
          <w:rFonts w:cs="Tahoma"/>
          <w:szCs w:val="18"/>
        </w:rPr>
        <w:t xml:space="preserve"> </w:t>
      </w:r>
      <w:r w:rsidRPr="000A1C8E">
        <w:rPr>
          <w:rFonts w:cs="Tahoma"/>
          <w:szCs w:val="18"/>
        </w:rPr>
        <w:t xml:space="preserve">Da mesma forma, os clientes do Office 365 estão qualificados para usar o benefício E-Learning dos Aplicativos durante o prazo do seu respectivo registro. </w:t>
      </w:r>
    </w:p>
    <w:p w:rsidR="00324479" w:rsidRPr="000A1C8E" w:rsidRDefault="00324479" w:rsidP="002D25C8">
      <w:pPr>
        <w:tabs>
          <w:tab w:val="num" w:pos="360"/>
        </w:tabs>
        <w:rPr>
          <w:rFonts w:cs="Tahoma"/>
        </w:rPr>
      </w:pPr>
    </w:p>
    <w:p w:rsidR="00324479" w:rsidRPr="000A1C8E" w:rsidRDefault="00324479" w:rsidP="00DD2BB9">
      <w:pPr>
        <w:rPr>
          <w:rFonts w:cs="Tahoma"/>
        </w:rPr>
      </w:pPr>
      <w:r w:rsidRPr="000A1C8E">
        <w:rPr>
          <w:rFonts w:cs="Tahoma"/>
          <w:szCs w:val="18"/>
        </w:rPr>
        <w:t>Os clientes qualificados receberão um código de acesso (para Aplicativos, Sistemas, Servidores, Windows Intune (Por</w:t>
      </w:r>
      <w:r w:rsidR="00132B04" w:rsidRPr="000A1C8E">
        <w:rPr>
          <w:rFonts w:cs="Tahoma"/>
          <w:szCs w:val="18"/>
        </w:rPr>
        <w:t> </w:t>
      </w:r>
      <w:r w:rsidRPr="000A1C8E">
        <w:rPr>
          <w:rFonts w:cs="Tahoma"/>
          <w:szCs w:val="18"/>
        </w:rPr>
        <w:t>Dispositivo) e Office 365) por registro/contrato qualificado.</w:t>
      </w:r>
      <w:r w:rsidR="00DC6D8B" w:rsidRPr="000A1C8E">
        <w:rPr>
          <w:rFonts w:cs="Tahoma"/>
          <w:szCs w:val="18"/>
        </w:rPr>
        <w:t xml:space="preserve"> </w:t>
      </w:r>
      <w:r w:rsidRPr="000A1C8E">
        <w:rPr>
          <w:rFonts w:cs="Tahoma"/>
          <w:szCs w:val="18"/>
        </w:rPr>
        <w:t>Os clientes também poderão baixar arquivos de E</w:t>
      </w:r>
      <w:r w:rsidR="00DD2BB9">
        <w:softHyphen/>
      </w:r>
      <w:r w:rsidRPr="000A1C8E">
        <w:rPr>
          <w:rFonts w:cs="Tahoma"/>
          <w:szCs w:val="18"/>
        </w:rPr>
        <w:t>Learning apenas de conteúdo e compatíveis com SCORM (para Aplicativos e Sistemas) a partir do VLSC para importar no LMS (Learning Management System - Sistema de Gerenciamento de Aprendizagem).</w:t>
      </w:r>
      <w:r w:rsidR="00DC6D8B" w:rsidRPr="000A1C8E">
        <w:rPr>
          <w:rFonts w:cs="Tahoma"/>
          <w:szCs w:val="18"/>
        </w:rPr>
        <w:t xml:space="preserve"> </w:t>
      </w:r>
      <w:r w:rsidRPr="000A1C8E">
        <w:rPr>
          <w:rFonts w:cs="Tahoma"/>
          <w:szCs w:val="18"/>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rsidR="00324479" w:rsidRPr="000A1C8E" w:rsidRDefault="00324479" w:rsidP="002D25C8">
      <w:pPr>
        <w:rPr>
          <w:rFonts w:cs="Tahoma"/>
        </w:rPr>
      </w:pPr>
    </w:p>
    <w:p w:rsidR="00324479" w:rsidRPr="000A1C8E" w:rsidRDefault="00324479" w:rsidP="002D25C8">
      <w:pPr>
        <w:rPr>
          <w:rFonts w:cs="Tahoma"/>
        </w:rPr>
      </w:pPr>
      <w:r w:rsidRPr="000A1C8E">
        <w:rPr>
          <w:rFonts w:cs="Tahoma"/>
          <w:szCs w:val="18"/>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DC6D8B" w:rsidRPr="000A1C8E">
        <w:rPr>
          <w:rFonts w:cs="Tahoma"/>
          <w:szCs w:val="18"/>
        </w:rPr>
        <w:t xml:space="preserve"> </w:t>
      </w:r>
      <w:r w:rsidRPr="000A1C8E">
        <w:rPr>
          <w:rFonts w:cs="Tahoma"/>
          <w:szCs w:val="18"/>
        </w:rPr>
        <w:t>O acesso não pode ser transferido de um usuário para outro.</w:t>
      </w:r>
      <w:r w:rsidR="00DC6D8B" w:rsidRPr="000A1C8E">
        <w:rPr>
          <w:rFonts w:cs="Tahoma"/>
          <w:szCs w:val="18"/>
        </w:rPr>
        <w:t xml:space="preserve"> </w:t>
      </w:r>
      <w:r w:rsidRPr="000A1C8E">
        <w:rPr>
          <w:rFonts w:cs="Tahoma"/>
          <w:szCs w:val="18"/>
        </w:rPr>
        <w:t>No início de um curso individual, cada usuário qualificado terá até 12 meses para concluir o curso antes do término do acesso, contanto que o curso seja iniciado antes do término da cobertura do Software Assurance ou licença de assinatura.</w:t>
      </w:r>
    </w:p>
    <w:p w:rsidR="00324479" w:rsidRPr="000A1C8E" w:rsidRDefault="00324479" w:rsidP="002D25C8">
      <w:pPr>
        <w:tabs>
          <w:tab w:val="num" w:pos="360"/>
        </w:tabs>
        <w:rPr>
          <w:rFonts w:cs="Tahoma"/>
        </w:rPr>
      </w:pPr>
    </w:p>
    <w:p w:rsidR="00324479" w:rsidRPr="000A1C8E" w:rsidRDefault="00324479" w:rsidP="002D25C8">
      <w:pPr>
        <w:tabs>
          <w:tab w:val="num" w:pos="0"/>
        </w:tabs>
        <w:rPr>
          <w:rFonts w:cs="Tahoma"/>
        </w:rPr>
      </w:pPr>
      <w:r w:rsidRPr="000A1C8E">
        <w:rPr>
          <w:rFonts w:cs="Tahoma"/>
          <w:szCs w:val="18"/>
        </w:rPr>
        <w:t xml:space="preserve">Os clientes qualificados poderão comprar kits de E-Learning em um centro de abastecimento regional se a opção online não for suficiente. </w:t>
      </w:r>
    </w:p>
    <w:p w:rsidR="00324479" w:rsidRPr="000A1C8E" w:rsidRDefault="00324479" w:rsidP="002D25C8">
      <w:pPr>
        <w:tabs>
          <w:tab w:val="num" w:pos="0"/>
        </w:tabs>
        <w:rPr>
          <w:rFonts w:cs="Tahoma"/>
        </w:rPr>
      </w:pPr>
      <w:r w:rsidRPr="000A1C8E">
        <w:rPr>
          <w:rFonts w:cs="Tahoma"/>
          <w:szCs w:val="18"/>
        </w:rPr>
        <w:t>A implantação e o uso dos cursos de E-Learning pelos clientes estão sujeitos aos termos e condições de seus contratos de licença.</w:t>
      </w:r>
      <w:r w:rsidR="00DC6D8B" w:rsidRPr="000A1C8E">
        <w:rPr>
          <w:rFonts w:cs="Tahoma"/>
          <w:szCs w:val="18"/>
        </w:rPr>
        <w:t xml:space="preserve"> </w:t>
      </w:r>
    </w:p>
    <w:p w:rsidR="00324479" w:rsidRPr="000A1C8E" w:rsidRDefault="00324479" w:rsidP="002D25C8">
      <w:pPr>
        <w:tabs>
          <w:tab w:val="num" w:pos="0"/>
        </w:tabs>
        <w:rPr>
          <w:rFonts w:cs="Tahoma"/>
        </w:rPr>
      </w:pPr>
    </w:p>
    <w:p w:rsidR="008A7860" w:rsidRPr="000A1C8E" w:rsidRDefault="008A7860" w:rsidP="008A7860">
      <w:pPr>
        <w:spacing w:after="60"/>
        <w:rPr>
          <w:rFonts w:cs="Tahoma"/>
        </w:rPr>
      </w:pPr>
      <w:r w:rsidRPr="000A1C8E">
        <w:rPr>
          <w:rFonts w:cs="Tahoma"/>
          <w:b/>
          <w:szCs w:val="18"/>
        </w:rPr>
        <w:t>Aplicativos de E-Learning</w:t>
      </w:r>
    </w:p>
    <w:p w:rsidR="00324479" w:rsidRPr="000A1C8E" w:rsidRDefault="00324479" w:rsidP="002D25C8">
      <w:pPr>
        <w:rPr>
          <w:rFonts w:cs="Tahoma"/>
          <w:spacing w:val="-2"/>
        </w:rPr>
      </w:pPr>
      <w:r w:rsidRPr="000A1C8E">
        <w:rPr>
          <w:rFonts w:cs="Tahoma"/>
          <w:spacing w:val="-2"/>
          <w:szCs w:val="18"/>
        </w:rPr>
        <w:t xml:space="preserve">Os clientes </w:t>
      </w:r>
      <w:r w:rsidRPr="000A1C8E">
        <w:rPr>
          <w:rFonts w:cs="Tahoma"/>
          <w:color w:val="000000"/>
          <w:spacing w:val="-2"/>
          <w:szCs w:val="18"/>
        </w:rPr>
        <w:t>com pacotes do Office Pro Plus para Office 365</w:t>
      </w:r>
      <w:r w:rsidRPr="000A1C8E">
        <w:rPr>
          <w:rFonts w:cs="Tahoma"/>
          <w:spacing w:val="-2"/>
          <w:szCs w:val="18"/>
        </w:rPr>
        <w:t>, Office 365 e Software Assurance para produtos de Aplicativos qualificados estão qualificados a usar cursos de E-Learning hospedados e conteúdo compatível com SCORM.</w:t>
      </w:r>
      <w:r w:rsidR="00DC6D8B" w:rsidRPr="000A1C8E">
        <w:rPr>
          <w:rFonts w:cs="Tahoma"/>
          <w:spacing w:val="-2"/>
          <w:szCs w:val="18"/>
        </w:rPr>
        <w:t xml:space="preserve"> </w:t>
      </w:r>
    </w:p>
    <w:p w:rsidR="00324479" w:rsidRPr="000A1C8E" w:rsidRDefault="00324479" w:rsidP="002D25C8">
      <w:pPr>
        <w:rPr>
          <w:rFonts w:cs="Tahoma"/>
        </w:rPr>
      </w:pPr>
    </w:p>
    <w:p w:rsidR="008A7860" w:rsidRPr="000A1C8E" w:rsidRDefault="008A7860" w:rsidP="008A7860">
      <w:pPr>
        <w:spacing w:after="60"/>
        <w:rPr>
          <w:rFonts w:cs="Tahoma"/>
        </w:rPr>
      </w:pPr>
      <w:r w:rsidRPr="000A1C8E">
        <w:rPr>
          <w:rFonts w:cs="Tahoma"/>
          <w:b/>
          <w:szCs w:val="18"/>
        </w:rPr>
        <w:t>Sistemas de E-Learning</w:t>
      </w:r>
    </w:p>
    <w:p w:rsidR="00324479" w:rsidRPr="000A1C8E" w:rsidRDefault="00324479" w:rsidP="002D25C8">
      <w:pPr>
        <w:rPr>
          <w:rFonts w:cs="Tahoma"/>
        </w:rPr>
      </w:pPr>
      <w:r w:rsidRPr="000A1C8E">
        <w:rPr>
          <w:rFonts w:cs="Tahoma"/>
          <w:szCs w:val="18"/>
        </w:rPr>
        <w:t>os clientes com Windows Intune (Por Dispositivo) e Software Assurance para produtos de Sistema qualificados estão qualificados a usar os cursos de Cliente de E-Learning hospedados e o conteúdo compatível com SCORM.</w:t>
      </w:r>
      <w:r w:rsidR="00DC6D8B" w:rsidRPr="000A1C8E">
        <w:rPr>
          <w:rFonts w:cs="Tahoma"/>
          <w:szCs w:val="18"/>
        </w:rPr>
        <w:t xml:space="preserve"> </w:t>
      </w:r>
    </w:p>
    <w:p w:rsidR="00F76ED4" w:rsidRPr="000A1C8E" w:rsidRDefault="00F76ED4">
      <w:pPr>
        <w:rPr>
          <w:rFonts w:cs="Tahoma"/>
        </w:rPr>
      </w:pPr>
    </w:p>
    <w:p w:rsidR="008A7860" w:rsidRPr="000A1C8E" w:rsidRDefault="008A7860" w:rsidP="008A7860">
      <w:pPr>
        <w:spacing w:after="60"/>
        <w:rPr>
          <w:rFonts w:cs="Tahoma"/>
        </w:rPr>
      </w:pPr>
      <w:r w:rsidRPr="000A1C8E">
        <w:rPr>
          <w:rFonts w:cs="Tahoma"/>
          <w:b/>
          <w:szCs w:val="18"/>
        </w:rPr>
        <w:t>Servidores de E-Learning</w:t>
      </w:r>
    </w:p>
    <w:p w:rsidR="00324479" w:rsidRPr="000A1C8E" w:rsidRDefault="00324479" w:rsidP="002D25C8">
      <w:pPr>
        <w:rPr>
          <w:rFonts w:cs="Tahoma"/>
        </w:rPr>
      </w:pPr>
      <w:r w:rsidRPr="000A1C8E">
        <w:rPr>
          <w:rFonts w:cs="Tahoma"/>
          <w:szCs w:val="18"/>
        </w:rPr>
        <w:t>os clientes com Software Assurance para produtos de Servidor qualificados estão qualificados a usar os cursos de Servidor de E-Learning hospedados.</w:t>
      </w:r>
      <w:r w:rsidR="00DC6D8B" w:rsidRPr="000A1C8E">
        <w:rPr>
          <w:rFonts w:cs="Tahoma"/>
          <w:szCs w:val="18"/>
        </w:rPr>
        <w:t xml:space="preserve"> </w:t>
      </w:r>
    </w:p>
    <w:p w:rsidR="00023FE7" w:rsidRPr="000A1C8E" w:rsidRDefault="00023FE7" w:rsidP="002D25C8">
      <w:pPr>
        <w:rPr>
          <w:rFonts w:cs="Tahoma"/>
        </w:rPr>
      </w:pPr>
    </w:p>
    <w:p w:rsidR="00132B04" w:rsidRPr="000A1C8E" w:rsidRDefault="00132B04" w:rsidP="002D25C8">
      <w:pPr>
        <w:rPr>
          <w:rFonts w:cs="Tahoma"/>
        </w:rPr>
      </w:pPr>
    </w:p>
    <w:p w:rsidR="00132B04" w:rsidRPr="000A1C8E" w:rsidRDefault="00132B04" w:rsidP="002D25C8">
      <w:pPr>
        <w:rPr>
          <w:rFonts w:cs="Tahoma"/>
        </w:rPr>
      </w:pPr>
    </w:p>
    <w:p w:rsidR="00132B04" w:rsidRPr="000A1C8E" w:rsidRDefault="00132B04" w:rsidP="002D25C8">
      <w:pPr>
        <w:rPr>
          <w:rFonts w:cs="Tahoma"/>
        </w:rPr>
      </w:pPr>
    </w:p>
    <w:p w:rsidR="00023FE7" w:rsidRPr="000A1C8E" w:rsidRDefault="00023FE7" w:rsidP="002D25C8">
      <w:pPr>
        <w:pStyle w:val="Heading3"/>
        <w:rPr>
          <w:rFonts w:ascii="Tahoma" w:hAnsi="Tahoma" w:cs="Tahoma"/>
        </w:rPr>
      </w:pPr>
      <w:bookmarkStart w:id="741" w:name="_Toc336338235"/>
      <w:bookmarkStart w:id="742" w:name="_Toc361829319"/>
      <w:r w:rsidRPr="000A1C8E">
        <w:rPr>
          <w:rFonts w:ascii="Tahoma" w:hAnsi="Tahoma" w:cs="Tahoma"/>
          <w:sz w:val="24"/>
        </w:rPr>
        <w:lastRenderedPageBreak/>
        <w:t>Home Use Program</w:t>
      </w:r>
      <w:bookmarkEnd w:id="741"/>
      <w:bookmarkEnd w:id="742"/>
    </w:p>
    <w:p w:rsidR="00023FE7" w:rsidRPr="000A1C8E" w:rsidRDefault="00023FE7" w:rsidP="002D25C8">
      <w:pPr>
        <w:rPr>
          <w:rFonts w:cs="Tahoma"/>
        </w:rPr>
      </w:pPr>
    </w:p>
    <w:p w:rsidR="00023FE7" w:rsidRPr="000A1C8E" w:rsidRDefault="00023FE7" w:rsidP="00132B04">
      <w:pPr>
        <w:pStyle w:val="AppendixBodyText"/>
        <w:spacing w:after="0"/>
        <w:rPr>
          <w:rFonts w:ascii="Tahoma" w:hAnsi="Tahoma" w:cs="Tahoma"/>
        </w:rPr>
      </w:pPr>
      <w:r w:rsidRPr="000A1C8E">
        <w:rPr>
          <w:rFonts w:ascii="Tahoma" w:hAnsi="Tahoma" w:cs="Tahoma"/>
          <w:sz w:val="18"/>
          <w:szCs w:val="18"/>
        </w:rPr>
        <w:t xml:space="preserve">Os clientes com cobertura de Software Assurance ativa para produtos de aplicativos de desktop qualificados estão qualificados </w:t>
      </w:r>
      <w:r w:rsidRPr="000A1C8E">
        <w:rPr>
          <w:rFonts w:ascii="Tahoma" w:hAnsi="Tahoma" w:cs="Tahoma"/>
          <w:color w:val="000000"/>
          <w:sz w:val="18"/>
          <w:szCs w:val="18"/>
        </w:rPr>
        <w:t>a participar do Home Use Program**.</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Contanto que os funcionários primeiro obtenham as chaves de produto apropriadas do Home Use Program com</w:t>
      </w:r>
      <w:r w:rsidR="00132B04" w:rsidRPr="000A1C8E">
        <w:rPr>
          <w:rFonts w:ascii="Tahoma" w:hAnsi="Tahoma" w:cs="Tahoma"/>
          <w:color w:val="000000"/>
          <w:sz w:val="18"/>
          <w:szCs w:val="18"/>
        </w:rPr>
        <w:t> </w:t>
      </w:r>
      <w:r w:rsidRPr="000A1C8E">
        <w:rPr>
          <w:rFonts w:ascii="Tahoma" w:hAnsi="Tahoma" w:cs="Tahoma"/>
          <w:color w:val="000000"/>
          <w:sz w:val="18"/>
          <w:szCs w:val="18"/>
        </w:rPr>
        <w:t>a</w:t>
      </w:r>
      <w:r w:rsidR="00132B04" w:rsidRPr="000A1C8E">
        <w:rPr>
          <w:rFonts w:ascii="Tahoma" w:hAnsi="Tahoma" w:cs="Tahoma"/>
          <w:color w:val="000000"/>
          <w:sz w:val="18"/>
          <w:szCs w:val="18"/>
        </w:rPr>
        <w:t> </w:t>
      </w:r>
      <w:r w:rsidRPr="000A1C8E">
        <w:rPr>
          <w:rFonts w:ascii="Tahoma" w:hAnsi="Tahoma" w:cs="Tahoma"/>
          <w:color w:val="000000"/>
          <w:sz w:val="18"/>
          <w:szCs w:val="18"/>
        </w:rPr>
        <w:t>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132B04" w:rsidRPr="000A1C8E">
        <w:rPr>
          <w:rFonts w:ascii="Tahoma" w:hAnsi="Tahoma" w:cs="Tahoma"/>
          <w:color w:val="000000"/>
          <w:sz w:val="18"/>
          <w:szCs w:val="18"/>
        </w:rPr>
        <w:t> </w:t>
      </w:r>
      <w:r w:rsidRPr="000A1C8E">
        <w:rPr>
          <w:rFonts w:ascii="Tahoma" w:hAnsi="Tahoma" w:cs="Tahoma"/>
          <w:color w:val="000000"/>
          <w:sz w:val="18"/>
          <w:szCs w:val="18"/>
        </w:rPr>
        <w:t>versão atualmente instalada.</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Consulte a tabela ou as seções de produtos individuais a seguir para verificar os aplicativos de desktop que qualificam os clientes a participar do Home Use Program.</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Os aplicativos de desktop disponíveis no Home Use Program também estão identificados na tabela a seguir*.</w:t>
      </w:r>
    </w:p>
    <w:p w:rsidR="00023FE7" w:rsidRPr="000A1C8E" w:rsidRDefault="00023FE7" w:rsidP="002D25C8">
      <w:pPr>
        <w:pStyle w:val="AppendixBodyText"/>
        <w:spacing w:after="0"/>
        <w:rPr>
          <w:rFonts w:ascii="Tahoma" w:hAnsi="Tahoma" w:cs="Tahoma"/>
        </w:rPr>
      </w:pPr>
    </w:p>
    <w:p w:rsidR="00023FE7" w:rsidRPr="000A1C8E" w:rsidRDefault="00023FE7" w:rsidP="005F1D9F">
      <w:pPr>
        <w:pStyle w:val="AppendixFlushBulletedList"/>
        <w:tabs>
          <w:tab w:val="clear" w:pos="360"/>
        </w:tabs>
        <w:ind w:left="0" w:firstLine="0"/>
        <w:rPr>
          <w:rFonts w:ascii="Tahoma" w:hAnsi="Tahoma" w:cs="Tahoma"/>
        </w:rPr>
      </w:pPr>
      <w:r w:rsidRPr="000A1C8E">
        <w:rPr>
          <w:rFonts w:ascii="Tahoma" w:hAnsi="Tahoma" w:cs="Tahoma"/>
          <w:sz w:val="18"/>
          <w:szCs w:val="18"/>
        </w:rPr>
        <w:t>A qualificação dos clientes para participar do Home Use Program se encerra com o término ou a rescisão da cobertura do Software Assurance dos aplicativos de desktop qualificados.</w:t>
      </w:r>
      <w:r w:rsidR="00DC6D8B" w:rsidRPr="000A1C8E">
        <w:rPr>
          <w:rFonts w:ascii="Tahoma" w:hAnsi="Tahoma" w:cs="Tahoma"/>
          <w:sz w:val="18"/>
          <w:szCs w:val="18"/>
        </w:rPr>
        <w:t xml:space="preserve"> </w:t>
      </w:r>
      <w:r w:rsidRPr="000A1C8E">
        <w:rPr>
          <w:rFonts w:ascii="Tahoma" w:hAnsi="Tahoma" w:cs="Tahoma"/>
          <w:sz w:val="18"/>
          <w:szCs w:val="18"/>
        </w:rPr>
        <w:t>A Microsoft pode rescindir a participação de</w:t>
      </w:r>
      <w:r w:rsidR="005F1D9F" w:rsidRPr="000A1C8E">
        <w:rPr>
          <w:rFonts w:ascii="Tahoma" w:hAnsi="Tahoma" w:cs="Tahoma"/>
          <w:sz w:val="18"/>
          <w:szCs w:val="18"/>
        </w:rPr>
        <w:t> </w:t>
      </w:r>
      <w:r w:rsidRPr="000A1C8E">
        <w:rPr>
          <w:rFonts w:ascii="Tahoma" w:hAnsi="Tahoma" w:cs="Tahoma"/>
          <w:sz w:val="18"/>
          <w:szCs w:val="18"/>
        </w:rPr>
        <w:t xml:space="preserve">um cliente no Home Use Program, de maneira imediata e sem aviso, em razão de acesso a ou o licenciamento não autorizado por meio do site do Home Use Program com o código de programa do cliente. </w:t>
      </w:r>
    </w:p>
    <w:p w:rsidR="00023FE7" w:rsidRPr="000A1C8E" w:rsidRDefault="00023FE7" w:rsidP="002D25C8">
      <w:pPr>
        <w:pStyle w:val="AppendixFlushBulletedList"/>
        <w:tabs>
          <w:tab w:val="clear" w:pos="360"/>
        </w:tabs>
        <w:ind w:left="0" w:firstLine="0"/>
        <w:rPr>
          <w:rFonts w:ascii="Tahoma" w:hAnsi="Tahoma" w:cs="Tahoma"/>
        </w:rPr>
      </w:pPr>
    </w:p>
    <w:p w:rsidR="00023FE7" w:rsidRPr="000A1C8E" w:rsidRDefault="00023FE7" w:rsidP="005F1D9F">
      <w:pPr>
        <w:pStyle w:val="AppendixFlushBulletedList"/>
        <w:tabs>
          <w:tab w:val="clear" w:pos="360"/>
        </w:tabs>
        <w:ind w:left="0" w:firstLine="0"/>
        <w:rPr>
          <w:rFonts w:ascii="Tahoma" w:hAnsi="Tahoma" w:cs="Tahoma"/>
        </w:rPr>
      </w:pPr>
      <w:r w:rsidRPr="000A1C8E">
        <w:rPr>
          <w:rFonts w:ascii="Tahoma" w:hAnsi="Tahoma" w:cs="Tahoma"/>
          <w:sz w:val="18"/>
          <w:szCs w:val="18"/>
        </w:rPr>
        <w:t>O número de licenças do Home Use Program que pode ser adquirido para qualquer aplicativo de desktop determinado é limitado ao número de licenças de aplicativos de desktop qualificados correspondentes para os quais</w:t>
      </w:r>
      <w:r w:rsidR="005F1D9F" w:rsidRPr="000A1C8E">
        <w:rPr>
          <w:rFonts w:ascii="Tahoma" w:hAnsi="Tahoma" w:cs="Tahoma"/>
          <w:sz w:val="18"/>
          <w:szCs w:val="18"/>
        </w:rPr>
        <w:t> </w:t>
      </w:r>
      <w:r w:rsidRPr="000A1C8E">
        <w:rPr>
          <w:rFonts w:ascii="Tahoma" w:hAnsi="Tahoma" w:cs="Tahoma"/>
          <w:sz w:val="18"/>
          <w:szCs w:val="18"/>
        </w:rPr>
        <w:t>o</w:t>
      </w:r>
      <w:r w:rsidR="005F1D9F" w:rsidRPr="000A1C8E">
        <w:rPr>
          <w:rFonts w:ascii="Tahoma" w:hAnsi="Tahoma" w:cs="Tahoma"/>
          <w:sz w:val="18"/>
          <w:szCs w:val="18"/>
        </w:rPr>
        <w:t> </w:t>
      </w:r>
      <w:r w:rsidRPr="000A1C8E">
        <w:rPr>
          <w:rFonts w:ascii="Tahoma" w:hAnsi="Tahoma" w:cs="Tahoma"/>
          <w:sz w:val="18"/>
          <w:szCs w:val="18"/>
        </w:rPr>
        <w:t>cliente adquirir o Software Assurance.</w:t>
      </w:r>
      <w:r w:rsidR="00DC6D8B" w:rsidRPr="000A1C8E">
        <w:rPr>
          <w:rFonts w:ascii="Tahoma" w:hAnsi="Tahoma" w:cs="Tahoma"/>
          <w:sz w:val="18"/>
          <w:szCs w:val="18"/>
        </w:rPr>
        <w:t xml:space="preserve"> </w:t>
      </w:r>
      <w:r w:rsidRPr="000A1C8E">
        <w:rPr>
          <w:rFonts w:ascii="Tahoma" w:hAnsi="Tahoma" w:cs="Tahoma"/>
          <w:sz w:val="18"/>
          <w:szCs w:val="18"/>
        </w:rPr>
        <w:t>Sob o Home Use Program, os direitos de uso de um funcionário estão</w:t>
      </w:r>
      <w:r w:rsidR="005F1D9F" w:rsidRPr="000A1C8E">
        <w:rPr>
          <w:rFonts w:ascii="Tahoma" w:hAnsi="Tahoma" w:cs="Tahoma"/>
          <w:sz w:val="18"/>
          <w:szCs w:val="18"/>
        </w:rPr>
        <w:t> </w:t>
      </w:r>
      <w:r w:rsidRPr="000A1C8E">
        <w:rPr>
          <w:rFonts w:ascii="Tahoma" w:hAnsi="Tahoma" w:cs="Tahoma"/>
          <w:sz w:val="18"/>
          <w:szCs w:val="18"/>
        </w:rPr>
        <w:t>relacionados ao vínculo empregatício contínuo com o Cliente e eles se encerram com a rescisão do emprego, a</w:t>
      </w:r>
      <w:r w:rsidR="005F1D9F" w:rsidRPr="000A1C8E">
        <w:rPr>
          <w:rFonts w:ascii="Tahoma" w:hAnsi="Tahoma" w:cs="Tahoma"/>
          <w:sz w:val="18"/>
          <w:szCs w:val="18"/>
        </w:rPr>
        <w:t> </w:t>
      </w:r>
      <w:r w:rsidRPr="000A1C8E">
        <w:rPr>
          <w:rFonts w:ascii="Tahoma" w:hAnsi="Tahoma" w:cs="Tahoma"/>
          <w:sz w:val="18"/>
          <w:szCs w:val="18"/>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23FE7" w:rsidRPr="000A1C8E" w:rsidRDefault="00023FE7" w:rsidP="002D25C8">
      <w:pPr>
        <w:pStyle w:val="AppendixFlushBulletedList"/>
        <w:tabs>
          <w:tab w:val="clear" w:pos="360"/>
        </w:tabs>
        <w:ind w:left="0" w:firstLine="0"/>
        <w:rPr>
          <w:rFonts w:ascii="Tahoma" w:hAnsi="Tahoma" w:cs="Tahoma"/>
        </w:rPr>
      </w:pPr>
    </w:p>
    <w:p w:rsidR="00023FE7" w:rsidRPr="000A1C8E" w:rsidRDefault="00023FE7" w:rsidP="002D25C8">
      <w:pPr>
        <w:pStyle w:val="AppendixFlushBulletedList"/>
        <w:tabs>
          <w:tab w:val="clear" w:pos="360"/>
        </w:tabs>
        <w:ind w:left="0" w:firstLine="0"/>
        <w:rPr>
          <w:rFonts w:ascii="Tahoma" w:hAnsi="Tahoma" w:cs="Tahoma"/>
        </w:rPr>
      </w:pPr>
      <w:r w:rsidRPr="000A1C8E">
        <w:rPr>
          <w:rFonts w:ascii="Tahoma" w:hAnsi="Tahoma" w:cs="Tahoma"/>
          <w:sz w:val="18"/>
          <w:szCs w:val="18"/>
        </w:rPr>
        <w:t>Os clientes não são responsáveis pela conformidade de seus funcionários individuais com os termos de licença de usuário final do Home Use Program.</w:t>
      </w:r>
      <w:r w:rsidR="00DC6D8B" w:rsidRPr="000A1C8E">
        <w:rPr>
          <w:rFonts w:ascii="Tahoma" w:hAnsi="Tahoma" w:cs="Tahoma"/>
          <w:sz w:val="18"/>
          <w:szCs w:val="18"/>
        </w:rPr>
        <w:t xml:space="preserve"> </w:t>
      </w:r>
      <w:r w:rsidRPr="000A1C8E">
        <w:rPr>
          <w:rFonts w:ascii="Tahoma" w:hAnsi="Tahoma" w:cs="Tahoma"/>
          <w:sz w:val="18"/>
          <w:szCs w:val="18"/>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rsidR="00023FE7" w:rsidRPr="000A1C8E" w:rsidRDefault="00023FE7" w:rsidP="002D25C8">
      <w:pPr>
        <w:pStyle w:val="AppendixFlushBulletedList"/>
        <w:tabs>
          <w:tab w:val="clear" w:pos="360"/>
        </w:tabs>
        <w:ind w:left="0" w:firstLine="0"/>
        <w:rPr>
          <w:rFonts w:ascii="Tahoma" w:hAnsi="Tahoma" w:cs="Tahoma"/>
        </w:rPr>
      </w:pPr>
    </w:p>
    <w:p w:rsidR="00023FE7" w:rsidRPr="000A1C8E" w:rsidRDefault="00023FE7" w:rsidP="002D25C8">
      <w:pPr>
        <w:rPr>
          <w:rFonts w:cs="Tahoma"/>
          <w:spacing w:val="-4"/>
        </w:rPr>
      </w:pPr>
      <w:r w:rsidRPr="000A1C8E">
        <w:rPr>
          <w:rFonts w:cs="Tahoma"/>
          <w:color w:val="000000"/>
          <w:spacing w:val="-4"/>
          <w:szCs w:val="18"/>
        </w:rPr>
        <w:t>A participação nesse programa pode ter implicações de tributos para o cliente e seus funcionários.</w:t>
      </w:r>
      <w:r w:rsidR="00DC6D8B" w:rsidRPr="000A1C8E">
        <w:rPr>
          <w:rFonts w:cs="Tahoma"/>
          <w:color w:val="000000"/>
          <w:spacing w:val="-4"/>
          <w:szCs w:val="18"/>
        </w:rPr>
        <w:t xml:space="preserve"> </w:t>
      </w:r>
      <w:r w:rsidRPr="000A1C8E">
        <w:rPr>
          <w:rFonts w:cs="Tahoma"/>
          <w:color w:val="000000"/>
          <w:spacing w:val="-4"/>
          <w:szCs w:val="18"/>
        </w:rPr>
        <w:t xml:space="preserve">O cliente pode desejar contatar um consultor tributarista antes de usar esse benefício. A Microsoft não assume nenhuma responsabilidade pela conformidade com qualquer obrigação de benefício de trabalho, tributo ou relatório que o cliente ou seus funcionários possam ter. </w:t>
      </w:r>
      <w:r w:rsidRPr="000A1C8E">
        <w:rPr>
          <w:rFonts w:cs="Tahoma"/>
          <w:spacing w:val="-4"/>
        </w:rPr>
        <w:t>Os termos adicionais que se aplicam aos funcionários na Nova Zelândia estão definidos a seguir:</w:t>
      </w:r>
    </w:p>
    <w:p w:rsidR="00023FE7" w:rsidRPr="000A1C8E" w:rsidRDefault="00023FE7" w:rsidP="00F93617">
      <w:pPr>
        <w:rPr>
          <w:rFonts w:cs="Tahoma"/>
        </w:rPr>
      </w:pPr>
    </w:p>
    <w:p w:rsidR="00023FE7" w:rsidRPr="000A1C8E" w:rsidRDefault="00023FE7" w:rsidP="004F6A95">
      <w:pPr>
        <w:numPr>
          <w:ilvl w:val="0"/>
          <w:numId w:val="12"/>
        </w:numPr>
        <w:tabs>
          <w:tab w:val="left" w:pos="1440"/>
        </w:tabs>
        <w:spacing w:afterLines="60" w:after="144"/>
        <w:ind w:left="1440"/>
        <w:rPr>
          <w:rFonts w:cs="Tahoma"/>
        </w:rPr>
      </w:pPr>
      <w:r w:rsidRPr="000A1C8E">
        <w:rPr>
          <w:rFonts w:cs="Tahoma"/>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023FE7" w:rsidRPr="000A1C8E" w:rsidRDefault="00023FE7" w:rsidP="00F93617">
      <w:pPr>
        <w:numPr>
          <w:ilvl w:val="0"/>
          <w:numId w:val="12"/>
        </w:numPr>
        <w:tabs>
          <w:tab w:val="left" w:pos="1440"/>
        </w:tabs>
        <w:ind w:left="1440"/>
        <w:rPr>
          <w:rFonts w:cs="Tahoma"/>
        </w:rPr>
      </w:pPr>
      <w:r w:rsidRPr="000A1C8E">
        <w:rPr>
          <w:rFonts w:cs="Tahoma"/>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23FE7" w:rsidRPr="000A1C8E" w:rsidRDefault="00023FE7" w:rsidP="00F93617">
      <w:pPr>
        <w:rPr>
          <w:rFonts w:cs="Tahoma"/>
        </w:rPr>
      </w:pPr>
    </w:p>
    <w:p w:rsidR="00023FE7" w:rsidRPr="000A1C8E" w:rsidRDefault="00023FE7" w:rsidP="002D25C8">
      <w:pPr>
        <w:rPr>
          <w:rFonts w:cs="Tahoma"/>
        </w:rPr>
      </w:pPr>
      <w:r w:rsidRPr="000A1C8E">
        <w:rPr>
          <w:rFonts w:cs="Tahoma"/>
          <w:szCs w:val="18"/>
        </w:rPr>
        <w:t>A lista de aplicativos de desktop qualificados está sujeita a alterações a qualquer momento, sem aviso prévio, e varia por região ou oferta. A disponibilidade do software do Home Use Program está sujeita a alterações a qualquer momento, sem aviso, e varia por região, oferta, aplicativo, versão e idioma.</w:t>
      </w:r>
    </w:p>
    <w:p w:rsidR="00023FE7" w:rsidRPr="000A1C8E" w:rsidRDefault="00023FE7" w:rsidP="002D25C8">
      <w:pPr>
        <w:rPr>
          <w:rFonts w:cs="Tahoma"/>
        </w:rPr>
      </w:pPr>
    </w:p>
    <w:p w:rsidR="00023FE7" w:rsidRPr="000A1C8E" w:rsidRDefault="00502827" w:rsidP="00EC05F0">
      <w:pPr>
        <w:keepNext/>
        <w:keepLines/>
        <w:rPr>
          <w:rFonts w:cs="Tahoma"/>
        </w:rPr>
      </w:pPr>
      <w:r w:rsidRPr="000A1C8E">
        <w:rPr>
          <w:rFonts w:cs="Tahoma"/>
          <w:szCs w:val="18"/>
        </w:rPr>
        <w:lastRenderedPageBreak/>
        <w:t>O HUP do Microsoft Office Professional Plus contém os seguintes programas do Microsoft Office:</w:t>
      </w:r>
    </w:p>
    <w:p w:rsidR="00023FE7" w:rsidRPr="000A1C8E"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0A1C8E" w:rsidTr="00BF1889">
        <w:trPr>
          <w:trHeight w:val="60"/>
        </w:trPr>
        <w:tc>
          <w:tcPr>
            <w:tcW w:w="4437" w:type="dxa"/>
            <w:shd w:val="clear" w:color="auto" w:fill="FABF8F"/>
            <w:tcMar>
              <w:top w:w="0" w:type="dxa"/>
              <w:left w:w="108" w:type="dxa"/>
              <w:bottom w:w="0" w:type="dxa"/>
              <w:right w:w="108" w:type="dxa"/>
            </w:tcMar>
            <w:vAlign w:val="center"/>
          </w:tcPr>
          <w:p w:rsidR="00CA6072" w:rsidRPr="000A1C8E" w:rsidRDefault="00CA6072" w:rsidP="00EC05F0">
            <w:pPr>
              <w:pStyle w:val="appendixtableheadings0"/>
              <w:keepNext/>
              <w:keepLines/>
              <w:rPr>
                <w:rFonts w:ascii="Tahoma" w:hAnsi="Tahoma" w:cs="Tahoma"/>
              </w:rPr>
            </w:pPr>
            <w:r w:rsidRPr="000A1C8E">
              <w:rPr>
                <w:rFonts w:ascii="Tahoma" w:hAnsi="Tahoma" w:cs="Tahoma"/>
                <w:color w:val="000000"/>
                <w:sz w:val="20"/>
                <w:szCs w:val="20"/>
              </w:rPr>
              <w:t xml:space="preserve">Componentes do Office Professional Plus para HUP </w:t>
            </w:r>
          </w:p>
          <w:p w:rsidR="00023FE7" w:rsidRPr="000A1C8E" w:rsidRDefault="00023FE7" w:rsidP="00EC05F0">
            <w:pPr>
              <w:pStyle w:val="appendixtableheadings0"/>
              <w:keepNext/>
              <w:keepLines/>
              <w:rPr>
                <w:rFonts w:ascii="Tahoma" w:hAnsi="Tahoma" w:cs="Tahoma"/>
                <w:color w:val="000000"/>
                <w:sz w:val="20"/>
                <w:szCs w:val="20"/>
              </w:rPr>
            </w:pPr>
          </w:p>
        </w:tc>
      </w:tr>
      <w:tr w:rsidR="00023FE7" w:rsidRPr="000A1C8E" w:rsidTr="00BF1889">
        <w:trPr>
          <w:trHeight w:val="438"/>
        </w:trPr>
        <w:tc>
          <w:tcPr>
            <w:tcW w:w="4437" w:type="dxa"/>
            <w:tcMar>
              <w:top w:w="0" w:type="dxa"/>
              <w:left w:w="108" w:type="dxa"/>
              <w:bottom w:w="0" w:type="dxa"/>
              <w:right w:w="108" w:type="dxa"/>
            </w:tcMar>
            <w:vAlign w:val="center"/>
          </w:tcPr>
          <w:p w:rsidR="00CA6072" w:rsidRPr="000A1C8E" w:rsidRDefault="00CA6072" w:rsidP="00EC05F0">
            <w:pPr>
              <w:pStyle w:val="appendixtabletext0"/>
              <w:keepNext/>
              <w:keepLines/>
              <w:rPr>
                <w:rFonts w:ascii="Tahoma" w:hAnsi="Tahoma" w:cs="Tahoma"/>
              </w:rPr>
            </w:pPr>
            <w:r w:rsidRPr="000A1C8E">
              <w:rPr>
                <w:rFonts w:ascii="Tahoma" w:hAnsi="Tahoma" w:cs="Tahoma"/>
                <w:color w:val="000000"/>
              </w:rPr>
              <w:t>Word 2013</w:t>
            </w:r>
          </w:p>
          <w:p w:rsidR="00CA6072" w:rsidRPr="000A1C8E" w:rsidRDefault="00CA6072" w:rsidP="00EC05F0">
            <w:pPr>
              <w:pStyle w:val="appendixtabletext0"/>
              <w:keepNext/>
              <w:keepLines/>
              <w:rPr>
                <w:rFonts w:ascii="Tahoma" w:hAnsi="Tahoma" w:cs="Tahoma"/>
              </w:rPr>
            </w:pPr>
            <w:r w:rsidRPr="000A1C8E">
              <w:rPr>
                <w:rFonts w:ascii="Tahoma" w:hAnsi="Tahoma" w:cs="Tahoma"/>
                <w:color w:val="000000"/>
              </w:rPr>
              <w:t>Excel</w:t>
            </w:r>
            <w:r w:rsidR="00C83286" w:rsidRPr="000A1C8E">
              <w:rPr>
                <w:rFonts w:ascii="Tahoma" w:hAnsi="Tahoma" w:cs="Tahoma"/>
                <w:color w:val="000000"/>
                <w:vertAlign w:val="superscript"/>
              </w:rPr>
              <w:t>®</w:t>
            </w:r>
            <w:r w:rsidRPr="000A1C8E">
              <w:rPr>
                <w:rFonts w:ascii="Tahoma" w:hAnsi="Tahoma" w:cs="Tahoma"/>
                <w:color w:val="000000"/>
              </w:rPr>
              <w:t xml:space="preserve"> 2013</w:t>
            </w:r>
          </w:p>
          <w:p w:rsidR="00CA6072" w:rsidRPr="000A1C8E" w:rsidRDefault="00CA6072" w:rsidP="00EC05F0">
            <w:pPr>
              <w:pStyle w:val="appendixtabletext0"/>
              <w:keepNext/>
              <w:keepLines/>
              <w:rPr>
                <w:rFonts w:ascii="Tahoma" w:hAnsi="Tahoma" w:cs="Tahoma"/>
              </w:rPr>
            </w:pPr>
            <w:r w:rsidRPr="000A1C8E">
              <w:rPr>
                <w:rFonts w:ascii="Tahoma" w:hAnsi="Tahoma" w:cs="Tahoma"/>
                <w:color w:val="000000"/>
              </w:rPr>
              <w:t>PowerPoint</w:t>
            </w:r>
            <w:r w:rsidR="00C83286" w:rsidRPr="000A1C8E">
              <w:rPr>
                <w:rFonts w:ascii="Tahoma" w:hAnsi="Tahoma" w:cs="Tahoma"/>
                <w:color w:val="000000"/>
                <w:vertAlign w:val="superscript"/>
              </w:rPr>
              <w:t>®</w:t>
            </w:r>
            <w:r w:rsidRPr="000A1C8E">
              <w:rPr>
                <w:rFonts w:ascii="Tahoma" w:hAnsi="Tahoma" w:cs="Tahoma"/>
                <w:color w:val="000000"/>
              </w:rPr>
              <w:t xml:space="preserve"> 2013</w:t>
            </w:r>
          </w:p>
          <w:p w:rsidR="00CA6072" w:rsidRPr="000A1C8E" w:rsidRDefault="00CA6072" w:rsidP="00EC05F0">
            <w:pPr>
              <w:pStyle w:val="appendixtabletext0"/>
              <w:keepNext/>
              <w:keepLines/>
              <w:rPr>
                <w:rFonts w:ascii="Tahoma" w:hAnsi="Tahoma" w:cs="Tahoma"/>
              </w:rPr>
            </w:pPr>
            <w:r w:rsidRPr="000A1C8E">
              <w:rPr>
                <w:rFonts w:ascii="Tahoma" w:hAnsi="Tahoma" w:cs="Tahoma"/>
                <w:color w:val="000000"/>
              </w:rPr>
              <w:t>Outlook</w:t>
            </w:r>
            <w:r w:rsidR="00C83286" w:rsidRPr="000A1C8E">
              <w:rPr>
                <w:rFonts w:ascii="Tahoma" w:hAnsi="Tahoma" w:cs="Tahoma"/>
                <w:color w:val="000000"/>
                <w:vertAlign w:val="superscript"/>
              </w:rPr>
              <w:t>®</w:t>
            </w:r>
            <w:r w:rsidRPr="000A1C8E">
              <w:rPr>
                <w:rFonts w:ascii="Tahoma" w:hAnsi="Tahoma" w:cs="Tahoma"/>
                <w:color w:val="000000"/>
              </w:rPr>
              <w:t xml:space="preserve"> 2013</w:t>
            </w:r>
          </w:p>
          <w:p w:rsidR="00CA6072" w:rsidRPr="000A1C8E" w:rsidRDefault="00CA6072" w:rsidP="00EC05F0">
            <w:pPr>
              <w:pStyle w:val="appendixtabletext0"/>
              <w:keepNext/>
              <w:keepLines/>
              <w:rPr>
                <w:rFonts w:ascii="Tahoma" w:hAnsi="Tahoma" w:cs="Tahoma"/>
              </w:rPr>
            </w:pPr>
            <w:r w:rsidRPr="000A1C8E">
              <w:rPr>
                <w:rFonts w:ascii="Tahoma" w:hAnsi="Tahoma" w:cs="Tahoma"/>
                <w:color w:val="000000"/>
              </w:rPr>
              <w:t>Publisher 2013</w:t>
            </w:r>
          </w:p>
          <w:p w:rsidR="00CA6072" w:rsidRPr="000A1C8E" w:rsidRDefault="00CA6072" w:rsidP="00EC05F0">
            <w:pPr>
              <w:pStyle w:val="appendixtabletext0"/>
              <w:keepNext/>
              <w:keepLines/>
              <w:rPr>
                <w:rFonts w:ascii="Tahoma" w:hAnsi="Tahoma" w:cs="Tahoma"/>
              </w:rPr>
            </w:pPr>
            <w:r w:rsidRPr="000A1C8E">
              <w:rPr>
                <w:rFonts w:ascii="Tahoma" w:hAnsi="Tahoma" w:cs="Tahoma"/>
                <w:color w:val="000000"/>
              </w:rPr>
              <w:t>Access</w:t>
            </w:r>
            <w:r w:rsidR="00C83286" w:rsidRPr="000A1C8E">
              <w:rPr>
                <w:rFonts w:ascii="Tahoma" w:hAnsi="Tahoma" w:cs="Tahoma"/>
                <w:color w:val="000000"/>
                <w:vertAlign w:val="superscript"/>
              </w:rPr>
              <w:t>®</w:t>
            </w:r>
            <w:r w:rsidRPr="000A1C8E">
              <w:rPr>
                <w:rFonts w:ascii="Tahoma" w:hAnsi="Tahoma" w:cs="Tahoma"/>
                <w:color w:val="000000"/>
              </w:rPr>
              <w:t xml:space="preserve"> 2013</w:t>
            </w:r>
          </w:p>
          <w:p w:rsidR="00CA6072" w:rsidRPr="000A1C8E" w:rsidRDefault="00CA6072" w:rsidP="00EC05F0">
            <w:pPr>
              <w:pStyle w:val="appendixtabletext0"/>
              <w:keepNext/>
              <w:keepLines/>
              <w:rPr>
                <w:rFonts w:ascii="Tahoma" w:hAnsi="Tahoma" w:cs="Tahoma"/>
              </w:rPr>
            </w:pPr>
            <w:r w:rsidRPr="000A1C8E">
              <w:rPr>
                <w:rFonts w:ascii="Tahoma" w:hAnsi="Tahoma" w:cs="Tahoma"/>
                <w:color w:val="000000"/>
              </w:rPr>
              <w:t>OneNote</w:t>
            </w:r>
            <w:r w:rsidR="00C83286" w:rsidRPr="000A1C8E">
              <w:rPr>
                <w:rFonts w:ascii="Tahoma" w:hAnsi="Tahoma" w:cs="Tahoma"/>
                <w:color w:val="000000"/>
                <w:vertAlign w:val="superscript"/>
              </w:rPr>
              <w:t>®</w:t>
            </w:r>
            <w:r w:rsidRPr="000A1C8E">
              <w:rPr>
                <w:rFonts w:ascii="Tahoma" w:hAnsi="Tahoma" w:cs="Tahoma"/>
                <w:color w:val="000000"/>
              </w:rPr>
              <w:t xml:space="preserve"> 2013</w:t>
            </w:r>
          </w:p>
          <w:p w:rsidR="00CA6072" w:rsidRPr="000A1C8E" w:rsidRDefault="00CA6072" w:rsidP="00EC05F0">
            <w:pPr>
              <w:pStyle w:val="appendixtabletext0"/>
              <w:keepNext/>
              <w:keepLines/>
              <w:rPr>
                <w:rFonts w:ascii="Tahoma" w:hAnsi="Tahoma" w:cs="Tahoma"/>
              </w:rPr>
            </w:pPr>
            <w:r w:rsidRPr="000A1C8E">
              <w:rPr>
                <w:rFonts w:ascii="Tahoma" w:hAnsi="Tahoma" w:cs="Tahoma"/>
                <w:color w:val="000000"/>
              </w:rPr>
              <w:t>InfoPath</w:t>
            </w:r>
            <w:r w:rsidR="00C83286" w:rsidRPr="000A1C8E">
              <w:rPr>
                <w:rFonts w:ascii="Tahoma" w:hAnsi="Tahoma" w:cs="Tahoma"/>
                <w:color w:val="000000"/>
                <w:vertAlign w:val="superscript"/>
              </w:rPr>
              <w:t>®</w:t>
            </w:r>
            <w:r w:rsidRPr="000A1C8E">
              <w:rPr>
                <w:rFonts w:ascii="Tahoma" w:hAnsi="Tahoma" w:cs="Tahoma"/>
                <w:color w:val="000000"/>
              </w:rPr>
              <w:t xml:space="preserve"> 2013</w:t>
            </w:r>
          </w:p>
          <w:p w:rsidR="00502827" w:rsidRPr="000A1C8E" w:rsidRDefault="00B9674D" w:rsidP="00EC05F0">
            <w:pPr>
              <w:pStyle w:val="appendixtabletext0"/>
              <w:keepNext/>
              <w:keepLines/>
              <w:rPr>
                <w:rFonts w:ascii="Tahoma" w:hAnsi="Tahoma" w:cs="Tahoma"/>
              </w:rPr>
            </w:pPr>
            <w:r w:rsidRPr="000A1C8E">
              <w:rPr>
                <w:rFonts w:ascii="Tahoma" w:hAnsi="Tahoma" w:cs="Tahoma"/>
                <w:color w:val="000000"/>
              </w:rPr>
              <w:t>Lync 2013</w:t>
            </w:r>
          </w:p>
          <w:p w:rsidR="002D25C8" w:rsidRPr="000A1C8E" w:rsidRDefault="002D25C8" w:rsidP="00EC05F0">
            <w:pPr>
              <w:pStyle w:val="appendixtabletext0"/>
              <w:keepNext/>
              <w:keepLines/>
              <w:rPr>
                <w:rFonts w:ascii="Tahoma" w:hAnsi="Tahoma" w:cs="Tahoma"/>
                <w:color w:val="000000"/>
              </w:rPr>
            </w:pPr>
          </w:p>
        </w:tc>
      </w:tr>
    </w:tbl>
    <w:p w:rsidR="001C1727" w:rsidRPr="000A1C8E" w:rsidRDefault="001C1727" w:rsidP="001C1727">
      <w:pPr>
        <w:rPr>
          <w:rFonts w:cs="Tahoma"/>
        </w:rPr>
      </w:pPr>
    </w:p>
    <w:p w:rsidR="00023FE7" w:rsidRPr="000A1C8E"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0A1C8E"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0A1C8E" w:rsidRDefault="00CA6072" w:rsidP="001B035A">
            <w:pPr>
              <w:pStyle w:val="appendixtableheadings0"/>
              <w:rPr>
                <w:rFonts w:ascii="Tahoma" w:hAnsi="Tahoma" w:cs="Tahoma"/>
                <w:color w:val="000000"/>
                <w:sz w:val="20"/>
                <w:szCs w:val="20"/>
              </w:rPr>
            </w:pPr>
            <w:r w:rsidRPr="000A1C8E">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0A1C8E" w:rsidRDefault="00CA6072" w:rsidP="001B035A">
            <w:pPr>
              <w:pStyle w:val="appendixtableheadings0"/>
              <w:rPr>
                <w:rFonts w:ascii="Tahoma" w:hAnsi="Tahoma" w:cs="Tahoma"/>
                <w:color w:val="000000"/>
                <w:sz w:val="20"/>
                <w:szCs w:val="20"/>
              </w:rPr>
            </w:pPr>
            <w:r w:rsidRPr="000A1C8E">
              <w:rPr>
                <w:rFonts w:ascii="Tahoma" w:hAnsi="Tahoma" w:cs="Tahoma"/>
                <w:color w:val="000000"/>
                <w:sz w:val="20"/>
                <w:szCs w:val="20"/>
              </w:rPr>
              <w:t xml:space="preserve">Licença do Home Use Program </w:t>
            </w:r>
            <w:r w:rsidRPr="000A1C8E">
              <w:rPr>
                <w:rFonts w:ascii="Tahoma" w:hAnsi="Tahoma" w:cs="Tahoma"/>
                <w:color w:val="000000"/>
                <w:sz w:val="20"/>
                <w:szCs w:val="20"/>
              </w:rPr>
              <w:br/>
              <w:t>Correspondente</w:t>
            </w:r>
          </w:p>
        </w:tc>
      </w:tr>
      <w:tr w:rsidR="004D700D" w:rsidRPr="000A1C8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0A1C8E" w:rsidRDefault="004D700D" w:rsidP="001B035A">
            <w:pPr>
              <w:pStyle w:val="appendixtabletext0"/>
              <w:rPr>
                <w:rFonts w:ascii="Tahoma" w:hAnsi="Tahoma" w:cs="Tahoma"/>
              </w:rPr>
            </w:pPr>
            <w:r w:rsidRPr="000A1C8E">
              <w:rPr>
                <w:rFonts w:ascii="Tahoma" w:hAnsi="Tahoma" w:cs="Tahoma"/>
                <w:color w:val="000000"/>
              </w:rPr>
              <w:t>Office Standard 2010/2013</w:t>
            </w:r>
          </w:p>
          <w:p w:rsidR="004D700D" w:rsidRPr="000A1C8E" w:rsidRDefault="004D700D" w:rsidP="001B035A">
            <w:pPr>
              <w:pStyle w:val="appendixtabletext0"/>
              <w:rPr>
                <w:rFonts w:ascii="Tahoma" w:hAnsi="Tahoma" w:cs="Tahoma"/>
              </w:rPr>
            </w:pPr>
            <w:r w:rsidRPr="000A1C8E">
              <w:rPr>
                <w:rFonts w:ascii="Tahoma" w:hAnsi="Tahoma" w:cs="Tahoma"/>
                <w:color w:val="000000"/>
              </w:rPr>
              <w:t>Office Professional Plus 2010/2013</w:t>
            </w:r>
          </w:p>
          <w:p w:rsidR="004D700D" w:rsidRPr="000A1C8E" w:rsidRDefault="004D700D" w:rsidP="00693D8B">
            <w:pPr>
              <w:pStyle w:val="appendixtabletext0"/>
              <w:rPr>
                <w:rFonts w:ascii="Tahoma" w:hAnsi="Tahoma" w:cs="Tahoma"/>
                <w:color w:val="000000"/>
              </w:rPr>
            </w:pPr>
            <w:r w:rsidRPr="000A1C8E">
              <w:rPr>
                <w:rFonts w:ascii="Tahoma" w:hAnsi="Tahoma" w:cs="Tahoma"/>
                <w:color w:val="000000"/>
              </w:rPr>
              <w:t>Office para Mac 2008/Office for Mac Standard</w:t>
            </w:r>
            <w:r w:rsidR="00295261" w:rsidRPr="000A1C8E">
              <w:rPr>
                <w:rFonts w:ascii="Tahoma" w:hAnsi="Tahoma" w:cs="Tahoma"/>
                <w:color w:val="000000"/>
              </w:rPr>
              <w:t> </w:t>
            </w:r>
            <w:r w:rsidRPr="000A1C8E">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0A1C8E" w:rsidRDefault="004D700D" w:rsidP="00735622">
            <w:pPr>
              <w:pStyle w:val="appendixtabletext0"/>
              <w:rPr>
                <w:rFonts w:ascii="Tahoma" w:hAnsi="Tahoma" w:cs="Tahoma"/>
              </w:rPr>
            </w:pPr>
            <w:r w:rsidRPr="000A1C8E">
              <w:rPr>
                <w:rFonts w:ascii="Tahoma" w:hAnsi="Tahoma" w:cs="Tahoma"/>
                <w:color w:val="000000"/>
              </w:rPr>
              <w:t>Office Professional Plus 2013 HUP</w:t>
            </w:r>
          </w:p>
          <w:p w:rsidR="004D700D" w:rsidRPr="000A1C8E" w:rsidRDefault="004D700D" w:rsidP="00735622">
            <w:pPr>
              <w:pStyle w:val="appendixtabletext0"/>
              <w:rPr>
                <w:rFonts w:ascii="Tahoma" w:hAnsi="Tahoma" w:cs="Tahoma"/>
              </w:rPr>
            </w:pPr>
            <w:r w:rsidRPr="000A1C8E">
              <w:rPr>
                <w:rFonts w:ascii="Tahoma" w:hAnsi="Tahoma" w:cs="Tahoma"/>
                <w:color w:val="000000"/>
              </w:rPr>
              <w:t>ou</w:t>
            </w:r>
          </w:p>
          <w:p w:rsidR="004D700D" w:rsidRPr="000A1C8E" w:rsidRDefault="00E316C2" w:rsidP="00C37E9D">
            <w:pPr>
              <w:pStyle w:val="appendixtabletext0"/>
              <w:rPr>
                <w:rFonts w:ascii="Tahoma" w:hAnsi="Tahoma" w:cs="Tahoma"/>
                <w:color w:val="000000"/>
              </w:rPr>
            </w:pPr>
            <w:r w:rsidRPr="000A1C8E">
              <w:rPr>
                <w:rFonts w:ascii="Tahoma" w:hAnsi="Tahoma" w:cs="Tahoma"/>
                <w:color w:val="000000"/>
              </w:rPr>
              <w:t>HUP do Office para Mac Home &amp; Business 2011</w:t>
            </w:r>
          </w:p>
        </w:tc>
      </w:tr>
      <w:tr w:rsidR="004D700D" w:rsidRPr="000A1C8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0A1C8E" w:rsidRDefault="004D700D" w:rsidP="001B035A">
            <w:pPr>
              <w:pStyle w:val="appendixtabletext0"/>
              <w:rPr>
                <w:rFonts w:ascii="Tahoma" w:hAnsi="Tahoma" w:cs="Tahoma"/>
              </w:rPr>
            </w:pPr>
            <w:r w:rsidRPr="000A1C8E">
              <w:rPr>
                <w:rFonts w:ascii="Tahoma" w:hAnsi="Tahoma" w:cs="Tahoma"/>
                <w:color w:val="000000"/>
              </w:rPr>
              <w:t>Access 2010/2013</w:t>
            </w:r>
          </w:p>
          <w:p w:rsidR="004D700D" w:rsidRPr="000A1C8E" w:rsidRDefault="004D700D" w:rsidP="001B035A">
            <w:pPr>
              <w:pStyle w:val="appendixtabletext0"/>
              <w:rPr>
                <w:rFonts w:ascii="Tahoma" w:hAnsi="Tahoma" w:cs="Tahoma"/>
              </w:rPr>
            </w:pPr>
            <w:r w:rsidRPr="000A1C8E">
              <w:rPr>
                <w:rFonts w:ascii="Tahoma" w:hAnsi="Tahoma" w:cs="Tahoma"/>
                <w:color w:val="000000"/>
              </w:rPr>
              <w:t>Excel 2010/2013</w:t>
            </w:r>
          </w:p>
          <w:p w:rsidR="004D700D" w:rsidRPr="000A1C8E" w:rsidRDefault="004D700D" w:rsidP="001B035A">
            <w:pPr>
              <w:pStyle w:val="appendixtabletext0"/>
              <w:rPr>
                <w:rFonts w:ascii="Tahoma" w:hAnsi="Tahoma" w:cs="Tahoma"/>
              </w:rPr>
            </w:pPr>
            <w:r w:rsidRPr="000A1C8E">
              <w:rPr>
                <w:rFonts w:ascii="Tahoma" w:hAnsi="Tahoma" w:cs="Tahoma"/>
                <w:color w:val="000000"/>
              </w:rPr>
              <w:t>PowerPoint 2010/2013</w:t>
            </w:r>
          </w:p>
          <w:p w:rsidR="004D700D" w:rsidRPr="000A1C8E" w:rsidRDefault="004D700D" w:rsidP="001B035A">
            <w:pPr>
              <w:pStyle w:val="appendixtabletext0"/>
              <w:rPr>
                <w:rFonts w:ascii="Tahoma" w:hAnsi="Tahoma" w:cs="Tahoma"/>
              </w:rPr>
            </w:pPr>
            <w:r w:rsidRPr="000A1C8E">
              <w:rPr>
                <w:rFonts w:ascii="Tahoma" w:hAnsi="Tahoma" w:cs="Tahoma"/>
                <w:color w:val="000000"/>
              </w:rPr>
              <w:t>InfoPath 2010/2013</w:t>
            </w:r>
          </w:p>
          <w:p w:rsidR="004D700D" w:rsidRPr="000A1C8E" w:rsidRDefault="004D700D" w:rsidP="001B035A">
            <w:pPr>
              <w:pStyle w:val="appendixtabletext0"/>
              <w:rPr>
                <w:rFonts w:ascii="Tahoma" w:hAnsi="Tahoma" w:cs="Tahoma"/>
              </w:rPr>
            </w:pPr>
            <w:r w:rsidRPr="000A1C8E">
              <w:rPr>
                <w:rFonts w:ascii="Tahoma" w:hAnsi="Tahoma" w:cs="Tahoma"/>
                <w:color w:val="000000"/>
              </w:rPr>
              <w:t>OneNote 2010/2013</w:t>
            </w:r>
          </w:p>
          <w:p w:rsidR="004D700D" w:rsidRPr="000A1C8E" w:rsidRDefault="004D700D" w:rsidP="001B035A">
            <w:pPr>
              <w:pStyle w:val="appendixtabletext0"/>
              <w:rPr>
                <w:rFonts w:ascii="Tahoma" w:hAnsi="Tahoma" w:cs="Tahoma"/>
              </w:rPr>
            </w:pPr>
            <w:r w:rsidRPr="000A1C8E">
              <w:rPr>
                <w:rFonts w:ascii="Tahoma" w:hAnsi="Tahoma" w:cs="Tahoma"/>
                <w:color w:val="000000"/>
              </w:rPr>
              <w:t>Outlook 2010/2013</w:t>
            </w:r>
          </w:p>
          <w:p w:rsidR="004D700D" w:rsidRPr="000A1C8E" w:rsidRDefault="004D700D" w:rsidP="001B035A">
            <w:pPr>
              <w:pStyle w:val="appendixtabletext0"/>
              <w:rPr>
                <w:rFonts w:ascii="Tahoma" w:hAnsi="Tahoma" w:cs="Tahoma"/>
              </w:rPr>
            </w:pPr>
            <w:r w:rsidRPr="000A1C8E">
              <w:rPr>
                <w:rFonts w:ascii="Tahoma" w:hAnsi="Tahoma" w:cs="Tahoma"/>
                <w:color w:val="000000"/>
              </w:rPr>
              <w:t>Publisher 2010/2013</w:t>
            </w:r>
          </w:p>
          <w:p w:rsidR="004D700D" w:rsidRPr="000A1C8E" w:rsidRDefault="004D700D" w:rsidP="00737AED">
            <w:pPr>
              <w:pStyle w:val="appendixtabletext0"/>
              <w:rPr>
                <w:rFonts w:ascii="Tahoma" w:hAnsi="Tahoma" w:cs="Tahoma"/>
              </w:rPr>
            </w:pPr>
            <w:r w:rsidRPr="000A1C8E">
              <w:rPr>
                <w:rFonts w:ascii="Tahoma" w:hAnsi="Tahoma" w:cs="Tahoma"/>
                <w:color w:val="000000"/>
              </w:rPr>
              <w:t>Word 2010/2013</w:t>
            </w:r>
          </w:p>
          <w:p w:rsidR="00737AED" w:rsidRPr="000A1C8E"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0A1C8E" w:rsidRDefault="004D700D" w:rsidP="00735622">
            <w:pPr>
              <w:pStyle w:val="appendixtabletext0"/>
              <w:rPr>
                <w:rFonts w:ascii="Tahoma" w:hAnsi="Tahoma" w:cs="Tahoma"/>
              </w:rPr>
            </w:pPr>
            <w:r w:rsidRPr="000A1C8E">
              <w:rPr>
                <w:rFonts w:ascii="Tahoma" w:hAnsi="Tahoma" w:cs="Tahoma"/>
                <w:color w:val="000000"/>
              </w:rPr>
              <w:t>Office Professional Plus 2013 HUP</w:t>
            </w:r>
          </w:p>
          <w:p w:rsidR="004D700D" w:rsidRPr="000A1C8E" w:rsidRDefault="004D700D" w:rsidP="00735622">
            <w:pPr>
              <w:pStyle w:val="appendixtabletext0"/>
              <w:rPr>
                <w:rFonts w:ascii="Tahoma" w:hAnsi="Tahoma" w:cs="Tahoma"/>
              </w:rPr>
            </w:pPr>
            <w:r w:rsidRPr="000A1C8E">
              <w:rPr>
                <w:rFonts w:ascii="Tahoma" w:hAnsi="Tahoma" w:cs="Tahoma"/>
                <w:color w:val="000000"/>
              </w:rPr>
              <w:t>ou</w:t>
            </w:r>
          </w:p>
          <w:p w:rsidR="004D700D" w:rsidRPr="000A1C8E" w:rsidRDefault="00E316C2" w:rsidP="00C37E9D">
            <w:pPr>
              <w:pStyle w:val="appendixtabletext0"/>
              <w:rPr>
                <w:rFonts w:ascii="Tahoma" w:hAnsi="Tahoma" w:cs="Tahoma"/>
                <w:color w:val="000000"/>
              </w:rPr>
            </w:pPr>
            <w:r w:rsidRPr="000A1C8E">
              <w:rPr>
                <w:rFonts w:ascii="Tahoma" w:hAnsi="Tahoma" w:cs="Tahoma"/>
                <w:color w:val="000000"/>
              </w:rPr>
              <w:t>HUP do Office para Mac Home &amp; Business 2011</w:t>
            </w:r>
          </w:p>
        </w:tc>
      </w:tr>
      <w:tr w:rsidR="00CA6072" w:rsidRPr="000A1C8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0A1C8E" w:rsidRDefault="00CA6072" w:rsidP="001B035A">
            <w:pPr>
              <w:pStyle w:val="appendixtabletext0"/>
              <w:rPr>
                <w:rFonts w:ascii="Tahoma" w:hAnsi="Tahoma" w:cs="Tahoma"/>
              </w:rPr>
            </w:pPr>
            <w:r w:rsidRPr="000A1C8E">
              <w:rPr>
                <w:rFonts w:ascii="Tahoma" w:hAnsi="Tahoma" w:cs="Tahoma"/>
                <w:color w:val="000000"/>
              </w:rPr>
              <w:t xml:space="preserve">Visio Standard 2010/2013 </w:t>
            </w:r>
          </w:p>
          <w:p w:rsidR="00502827" w:rsidRPr="000A1C8E" w:rsidRDefault="00CA6072" w:rsidP="00502827">
            <w:pPr>
              <w:pStyle w:val="appendixtabletext0"/>
              <w:rPr>
                <w:rFonts w:ascii="Tahoma" w:hAnsi="Tahoma" w:cs="Tahoma"/>
              </w:rPr>
            </w:pPr>
            <w:r w:rsidRPr="000A1C8E">
              <w:rPr>
                <w:rFonts w:ascii="Tahoma" w:hAnsi="Tahoma" w:cs="Tahoma"/>
                <w:color w:val="000000"/>
              </w:rPr>
              <w:t>Visio Professional 2010/2013</w:t>
            </w:r>
            <w:r w:rsidRPr="000A1C8E">
              <w:rPr>
                <w:rFonts w:ascii="Tahoma" w:hAnsi="Tahoma" w:cs="Tahoma"/>
                <w:strike/>
                <w:color w:val="000000"/>
              </w:rPr>
              <w:t xml:space="preserve"> </w:t>
            </w:r>
          </w:p>
          <w:p w:rsidR="00502827" w:rsidRPr="000A1C8E"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0A1C8E" w:rsidRDefault="00CA6072" w:rsidP="001B035A">
            <w:pPr>
              <w:pStyle w:val="appendixtabletext0"/>
              <w:rPr>
                <w:rFonts w:ascii="Tahoma" w:hAnsi="Tahoma" w:cs="Tahoma"/>
              </w:rPr>
            </w:pPr>
            <w:r w:rsidRPr="000A1C8E">
              <w:rPr>
                <w:rFonts w:ascii="Tahoma" w:hAnsi="Tahoma" w:cs="Tahoma"/>
                <w:color w:val="000000"/>
              </w:rPr>
              <w:t>HUP do Visio Professional 2013</w:t>
            </w:r>
          </w:p>
          <w:p w:rsidR="00CA6072" w:rsidRPr="000A1C8E" w:rsidRDefault="00CA6072" w:rsidP="001B035A">
            <w:pPr>
              <w:pStyle w:val="appendixtabletext0"/>
              <w:rPr>
                <w:rFonts w:ascii="Tahoma" w:hAnsi="Tahoma" w:cs="Tahoma"/>
                <w:color w:val="000000"/>
              </w:rPr>
            </w:pPr>
          </w:p>
        </w:tc>
      </w:tr>
      <w:tr w:rsidR="00CA6072" w:rsidRPr="000A1C8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0A1C8E" w:rsidRDefault="00CA6072" w:rsidP="001B035A">
            <w:pPr>
              <w:pStyle w:val="appendixtabletext0"/>
              <w:rPr>
                <w:rFonts w:ascii="Tahoma" w:hAnsi="Tahoma" w:cs="Tahoma"/>
              </w:rPr>
            </w:pPr>
            <w:r w:rsidRPr="000A1C8E">
              <w:rPr>
                <w:rFonts w:ascii="Tahoma" w:hAnsi="Tahoma" w:cs="Tahoma"/>
                <w:color w:val="000000"/>
              </w:rPr>
              <w:t>Project Standard 2010/2013</w:t>
            </w:r>
          </w:p>
          <w:p w:rsidR="00CA6072" w:rsidRPr="000A1C8E" w:rsidRDefault="00CA6072" w:rsidP="001E3357">
            <w:pPr>
              <w:pStyle w:val="appendixtabletext0"/>
              <w:rPr>
                <w:rFonts w:ascii="Tahoma" w:hAnsi="Tahoma" w:cs="Tahoma"/>
              </w:rPr>
            </w:pPr>
            <w:r w:rsidRPr="000A1C8E">
              <w:rPr>
                <w:rFonts w:ascii="Tahoma" w:hAnsi="Tahoma" w:cs="Tahoma"/>
                <w:color w:val="000000"/>
              </w:rPr>
              <w:t>Project Professional 2010/2013</w:t>
            </w:r>
          </w:p>
          <w:p w:rsidR="00737AED" w:rsidRPr="000A1C8E"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0A1C8E" w:rsidRDefault="00CA6072" w:rsidP="001B035A">
            <w:pPr>
              <w:pStyle w:val="appendixtabletext0"/>
              <w:rPr>
                <w:rFonts w:ascii="Tahoma" w:hAnsi="Tahoma" w:cs="Tahoma"/>
              </w:rPr>
            </w:pPr>
            <w:r w:rsidRPr="000A1C8E">
              <w:rPr>
                <w:rFonts w:ascii="Tahoma" w:hAnsi="Tahoma" w:cs="Tahoma"/>
                <w:color w:val="000000"/>
              </w:rPr>
              <w:t>HUP do Project Standard 2013</w:t>
            </w:r>
          </w:p>
          <w:p w:rsidR="00CA6072" w:rsidRPr="000A1C8E" w:rsidRDefault="00CA6072" w:rsidP="001B035A">
            <w:pPr>
              <w:pStyle w:val="appendixtabletext0"/>
              <w:rPr>
                <w:rFonts w:ascii="Tahoma" w:hAnsi="Tahoma" w:cs="Tahoma"/>
                <w:color w:val="000000"/>
              </w:rPr>
            </w:pPr>
            <w:r w:rsidRPr="000A1C8E">
              <w:rPr>
                <w:rFonts w:ascii="Tahoma" w:hAnsi="Tahoma" w:cs="Tahoma"/>
                <w:color w:val="000000"/>
              </w:rPr>
              <w:t xml:space="preserve"> </w:t>
            </w:r>
          </w:p>
        </w:tc>
      </w:tr>
    </w:tbl>
    <w:p w:rsidR="00023FE7" w:rsidRPr="000A1C8E" w:rsidRDefault="00023FE7">
      <w:pPr>
        <w:pStyle w:val="AppendixBodyText"/>
        <w:ind w:left="630"/>
        <w:rPr>
          <w:rFonts w:ascii="Tahoma" w:hAnsi="Tahoma" w:cs="Tahoma"/>
        </w:rPr>
      </w:pPr>
      <w:r w:rsidRPr="000A1C8E">
        <w:rPr>
          <w:rFonts w:ascii="Tahoma" w:hAnsi="Tahoma" w:cs="Tahoma"/>
          <w:b/>
          <w:i/>
          <w:sz w:val="16"/>
          <w:szCs w:val="16"/>
        </w:rPr>
        <w:t>*</w:t>
      </w:r>
      <w:r w:rsidRPr="000A1C8E">
        <w:rPr>
          <w:rFonts w:ascii="Tahoma" w:hAnsi="Tahoma" w:cs="Tahoma"/>
          <w:i/>
          <w:sz w:val="16"/>
          <w:szCs w:val="16"/>
        </w:rPr>
        <w:t xml:space="preserve">A disponibilidade do software do Home Use Program varia por região, oferta e idioma. </w:t>
      </w:r>
    </w:p>
    <w:p w:rsidR="00023FE7" w:rsidRPr="000A1C8E" w:rsidRDefault="00023FE7">
      <w:pPr>
        <w:pStyle w:val="AppendixBodyText"/>
        <w:ind w:left="630"/>
        <w:rPr>
          <w:rFonts w:ascii="Tahoma" w:hAnsi="Tahoma" w:cs="Tahoma"/>
        </w:rPr>
      </w:pPr>
      <w:r w:rsidRPr="000A1C8E">
        <w:rPr>
          <w:rFonts w:ascii="Tahoma" w:hAnsi="Tahoma" w:cs="Tahoma"/>
          <w:i/>
          <w:sz w:val="16"/>
          <w:szCs w:val="16"/>
        </w:rPr>
        <w:t xml:space="preserve">Para obter mais informações, incluindo informações sobre a disponibilidade futura de software do Home Use Program adicional, consulte o site </w:t>
      </w:r>
      <w:hyperlink r:id="rId22" w:history="1">
        <w:r w:rsidRPr="000A1C8E">
          <w:rPr>
            <w:rStyle w:val="Hyperlink"/>
            <w:rFonts w:ascii="Tahoma" w:hAnsi="Tahoma" w:cs="Tahoma"/>
            <w:i/>
            <w:sz w:val="16"/>
            <w:szCs w:val="16"/>
          </w:rPr>
          <w:t>http://www.microsoft.com/licensing</w:t>
        </w:r>
      </w:hyperlink>
      <w:r w:rsidRPr="000A1C8E">
        <w:rPr>
          <w:rFonts w:ascii="Tahoma" w:hAnsi="Tahoma" w:cs="Tahoma"/>
          <w:i/>
          <w:sz w:val="16"/>
          <w:szCs w:val="16"/>
        </w:rPr>
        <w:t>.</w:t>
      </w:r>
    </w:p>
    <w:p w:rsidR="00023FE7" w:rsidRPr="000A1C8E" w:rsidRDefault="00023FE7">
      <w:pPr>
        <w:pStyle w:val="AppendixBodyText"/>
        <w:ind w:left="630"/>
        <w:rPr>
          <w:rFonts w:ascii="Tahoma" w:hAnsi="Tahoma" w:cs="Tahoma"/>
        </w:rPr>
      </w:pPr>
      <w:r w:rsidRPr="000A1C8E">
        <w:rPr>
          <w:rFonts w:ascii="Tahoma" w:hAnsi="Tahoma" w:cs="Tahoma"/>
          <w:i/>
          <w:sz w:val="16"/>
          <w:szCs w:val="16"/>
        </w:rPr>
        <w:t>** Observação para clientes de Contrato para Campus e Contrato School e Open Value Subscription - Soluções Educacionais: consulte o contrato CASA (3.5 ou posterior) ou o contrato OVS-ES para obter regras adicionais específicas do programa.</w:t>
      </w:r>
    </w:p>
    <w:p w:rsidR="00023FE7" w:rsidRPr="000A1C8E" w:rsidRDefault="00023FE7" w:rsidP="00BD1A6A">
      <w:pPr>
        <w:ind w:left="630"/>
        <w:rPr>
          <w:rFonts w:cs="Tahoma"/>
        </w:rPr>
      </w:pPr>
      <w:r w:rsidRPr="000A1C8E">
        <w:rPr>
          <w:rFonts w:cs="Tahoma"/>
          <w:i/>
          <w:sz w:val="16"/>
          <w:szCs w:val="16"/>
        </w:rPr>
        <w:t xml:space="preserve">*** Observe que o SharePoint Designer agora é um produto gratuito disponível para download neste link </w:t>
      </w:r>
      <w:hyperlink r:id="rId23" w:history="1">
        <w:r w:rsidRPr="000A1C8E">
          <w:rPr>
            <w:rStyle w:val="Hyperlink"/>
            <w:rFonts w:cs="Tahoma"/>
            <w:i/>
            <w:sz w:val="16"/>
            <w:szCs w:val="16"/>
          </w:rPr>
          <w:t>http://www.microsoft.com/spd</w:t>
        </w:r>
      </w:hyperlink>
    </w:p>
    <w:p w:rsidR="00CA395A" w:rsidRPr="000A1C8E" w:rsidRDefault="00CA395A" w:rsidP="008A15A8">
      <w:pPr>
        <w:outlineLvl w:val="2"/>
        <w:rPr>
          <w:rFonts w:cs="Tahoma"/>
        </w:rPr>
      </w:pPr>
      <w:bookmarkStart w:id="743" w:name="_Toc281378922"/>
    </w:p>
    <w:p w:rsidR="00B517FD" w:rsidRPr="000A1C8E" w:rsidRDefault="00B517FD" w:rsidP="008A15A8">
      <w:pPr>
        <w:outlineLvl w:val="2"/>
        <w:rPr>
          <w:rFonts w:cs="Tahoma"/>
        </w:rPr>
      </w:pPr>
    </w:p>
    <w:p w:rsidR="00B517FD" w:rsidRPr="000A1C8E" w:rsidRDefault="00B517FD" w:rsidP="008A15A8">
      <w:pPr>
        <w:outlineLvl w:val="2"/>
        <w:rPr>
          <w:rFonts w:cs="Tahoma"/>
        </w:rPr>
      </w:pPr>
    </w:p>
    <w:p w:rsidR="00B517FD" w:rsidRPr="000A1C8E" w:rsidRDefault="00B517FD" w:rsidP="008A15A8">
      <w:pPr>
        <w:outlineLvl w:val="2"/>
        <w:rPr>
          <w:rFonts w:cs="Tahoma"/>
        </w:rPr>
      </w:pPr>
    </w:p>
    <w:p w:rsidR="00B517FD" w:rsidRPr="000A1C8E" w:rsidRDefault="00B517FD" w:rsidP="008A15A8">
      <w:pPr>
        <w:outlineLvl w:val="2"/>
        <w:rPr>
          <w:rFonts w:cs="Tahoma"/>
        </w:rPr>
      </w:pPr>
    </w:p>
    <w:p w:rsidR="00B517FD" w:rsidRPr="000A1C8E" w:rsidRDefault="00B517FD" w:rsidP="008A15A8">
      <w:pPr>
        <w:outlineLvl w:val="2"/>
        <w:rPr>
          <w:rFonts w:cs="Tahoma"/>
        </w:rPr>
      </w:pPr>
    </w:p>
    <w:p w:rsidR="00B517FD" w:rsidRPr="000A1C8E" w:rsidRDefault="00B517FD" w:rsidP="008A15A8">
      <w:pPr>
        <w:outlineLvl w:val="2"/>
        <w:rPr>
          <w:rFonts w:cs="Tahoma"/>
        </w:rPr>
      </w:pPr>
    </w:p>
    <w:p w:rsidR="00B517FD" w:rsidRPr="000A1C8E" w:rsidRDefault="00B517FD" w:rsidP="008A15A8">
      <w:pPr>
        <w:outlineLvl w:val="2"/>
        <w:rPr>
          <w:rFonts w:cs="Tahoma"/>
        </w:rPr>
      </w:pPr>
    </w:p>
    <w:p w:rsidR="008A15A8" w:rsidRPr="000A1C8E" w:rsidRDefault="008A15A8" w:rsidP="002D25C8">
      <w:pPr>
        <w:outlineLvl w:val="2"/>
        <w:rPr>
          <w:rFonts w:cs="Tahoma"/>
        </w:rPr>
      </w:pPr>
      <w:r w:rsidRPr="000A1C8E">
        <w:rPr>
          <w:rFonts w:eastAsia="Calibri" w:cs="Tahoma"/>
          <w:b/>
          <w:bCs/>
          <w:sz w:val="24"/>
          <w:szCs w:val="20"/>
        </w:rPr>
        <w:lastRenderedPageBreak/>
        <w:t>Enterprise Source Licensing Program</w:t>
      </w:r>
      <w:bookmarkEnd w:id="743"/>
      <w:r w:rsidRPr="000A1C8E">
        <w:rPr>
          <w:rFonts w:eastAsia="Calibri" w:cs="Tahoma"/>
          <w:b/>
          <w:bCs/>
          <w:sz w:val="24"/>
          <w:szCs w:val="20"/>
        </w:rPr>
        <w:t xml:space="preserve"> </w:t>
      </w:r>
    </w:p>
    <w:p w:rsidR="001C20C9" w:rsidRPr="000A1C8E" w:rsidRDefault="001C20C9" w:rsidP="002D25C8">
      <w:pPr>
        <w:outlineLvl w:val="2"/>
        <w:rPr>
          <w:rFonts w:cs="Tahoma"/>
        </w:rPr>
      </w:pPr>
    </w:p>
    <w:p w:rsidR="008A15A8" w:rsidRPr="000A1C8E" w:rsidRDefault="008A15A8" w:rsidP="00B517FD">
      <w:pPr>
        <w:rPr>
          <w:rFonts w:cs="Tahoma"/>
        </w:rPr>
      </w:pPr>
      <w:r w:rsidRPr="000A1C8E">
        <w:rPr>
          <w:rFonts w:eastAsia="Calibri" w:cs="Tahoma"/>
          <w:szCs w:val="18"/>
        </w:rPr>
        <w:t>Os clientes no Programa de Membros do Software Assurance e com 1.500 ou mais desktops licenciados no pool de</w:t>
      </w:r>
      <w:r w:rsidR="00B517FD" w:rsidRPr="000A1C8E">
        <w:rPr>
          <w:rFonts w:eastAsia="Calibri" w:cs="Tahoma"/>
          <w:szCs w:val="18"/>
        </w:rPr>
        <w:t> </w:t>
      </w:r>
      <w:r w:rsidRPr="000A1C8E">
        <w:rPr>
          <w:rFonts w:eastAsia="Calibri" w:cs="Tahoma"/>
          <w:szCs w:val="18"/>
        </w:rPr>
        <w:t>sistemas podem ser qualificados a participar do ESLP (Enterprise Source Licensing Program) durante o prazo de</w:t>
      </w:r>
      <w:r w:rsidR="00B517FD" w:rsidRPr="000A1C8E">
        <w:rPr>
          <w:rFonts w:eastAsia="Calibri" w:cs="Tahoma"/>
          <w:szCs w:val="18"/>
        </w:rPr>
        <w:t> </w:t>
      </w:r>
      <w:r w:rsidRPr="000A1C8E">
        <w:rPr>
          <w:rFonts w:eastAsia="Calibri" w:cs="Tahoma"/>
          <w:szCs w:val="18"/>
        </w:rPr>
        <w:t>suas coberturas do Software Assurance.</w:t>
      </w:r>
      <w:r w:rsidR="00DC6D8B" w:rsidRPr="000A1C8E">
        <w:rPr>
          <w:rFonts w:eastAsia="Calibri" w:cs="Tahoma"/>
          <w:szCs w:val="18"/>
        </w:rPr>
        <w:t xml:space="preserve"> </w:t>
      </w:r>
      <w:r w:rsidRPr="000A1C8E">
        <w:rPr>
          <w:rFonts w:eastAsia="Calibri" w:cs="Tahoma"/>
          <w:szCs w:val="18"/>
        </w:rPr>
        <w:t>O ESLP fornece acesso ao código-fonte do Microsoft Windows para desenvolvimento interno e suporte.</w:t>
      </w:r>
      <w:r w:rsidR="00DC6D8B" w:rsidRPr="000A1C8E">
        <w:rPr>
          <w:rFonts w:eastAsia="Calibri" w:cs="Tahoma"/>
          <w:szCs w:val="18"/>
        </w:rPr>
        <w:t xml:space="preserve"> </w:t>
      </w:r>
      <w:r w:rsidRPr="000A1C8E">
        <w:rPr>
          <w:rFonts w:eastAsia="Calibri" w:cs="Tahoma"/>
          <w:szCs w:val="18"/>
        </w:rPr>
        <w:t>O ESLP não está disponível em todos os países e o benefício é concedido por contrato/registro.</w:t>
      </w:r>
    </w:p>
    <w:p w:rsidR="00DF400D" w:rsidRPr="000A1C8E" w:rsidRDefault="00DF400D" w:rsidP="002D25C8">
      <w:pPr>
        <w:rPr>
          <w:rFonts w:cs="Tahoma"/>
        </w:rPr>
      </w:pPr>
    </w:p>
    <w:p w:rsidR="008A15A8" w:rsidRPr="000A1C8E" w:rsidRDefault="008A15A8" w:rsidP="002D25C8">
      <w:pPr>
        <w:rPr>
          <w:rFonts w:cs="Tahoma"/>
        </w:rPr>
      </w:pPr>
      <w:r w:rsidRPr="000A1C8E">
        <w:rPr>
          <w:rFonts w:eastAsia="Calibri" w:cs="Tahoma"/>
          <w:szCs w:val="18"/>
        </w:rPr>
        <w:t xml:space="preserve">O formulário de inscrição pode ser baixado no VLSC (Volume Licensing Service Center - Centro de Atendimento de Licenciamento por Volume). A qualificação e as áreas de disponibilidade estão sujeitas aos termos e às condições da Microsoft (consulte </w:t>
      </w:r>
      <w:hyperlink r:id="rId24" w:history="1">
        <w:r w:rsidRPr="000A1C8E">
          <w:rPr>
            <w:rFonts w:eastAsia="Calibri" w:cs="Tahoma"/>
            <w:color w:val="0000FF"/>
            <w:szCs w:val="18"/>
            <w:u w:val="single"/>
          </w:rPr>
          <w:t>www.microsoft.com/resources/sharedsource/Licensing/Enterprise.mspx</w:t>
        </w:r>
      </w:hyperlink>
      <w:r w:rsidRPr="000A1C8E">
        <w:rPr>
          <w:rFonts w:eastAsia="Calibri" w:cs="Tahoma"/>
          <w:szCs w:val="18"/>
        </w:rPr>
        <w:t xml:space="preserve"> para obter detalhes). Os programas Academic estão qualificados para o Microsoft Research Source Licensing Program.</w:t>
      </w:r>
    </w:p>
    <w:p w:rsidR="008A15A8" w:rsidRPr="000A1C8E" w:rsidRDefault="008A15A8" w:rsidP="002D25C8">
      <w:pPr>
        <w:pStyle w:val="Heading3"/>
        <w:rPr>
          <w:rFonts w:ascii="Tahoma" w:hAnsi="Tahoma" w:cs="Tahoma"/>
        </w:rPr>
      </w:pPr>
    </w:p>
    <w:p w:rsidR="00023FE7" w:rsidRPr="000A1C8E" w:rsidRDefault="00023FE7" w:rsidP="002D25C8">
      <w:pPr>
        <w:pStyle w:val="Heading3"/>
        <w:rPr>
          <w:rFonts w:ascii="Tahoma" w:hAnsi="Tahoma" w:cs="Tahoma"/>
        </w:rPr>
      </w:pPr>
      <w:bookmarkStart w:id="744" w:name="_Toc336338236"/>
      <w:bookmarkStart w:id="745" w:name="_Toc361829320"/>
      <w:r w:rsidRPr="000A1C8E">
        <w:rPr>
          <w:rFonts w:ascii="Tahoma" w:hAnsi="Tahoma" w:cs="Tahoma"/>
          <w:sz w:val="24"/>
        </w:rPr>
        <w:t>Suporte para Resolução de Problemas 24x7</w:t>
      </w:r>
      <w:bookmarkEnd w:id="744"/>
      <w:bookmarkEnd w:id="745"/>
    </w:p>
    <w:p w:rsidR="00023FE7" w:rsidRPr="000A1C8E" w:rsidRDefault="00023FE7" w:rsidP="002D25C8">
      <w:pPr>
        <w:rPr>
          <w:rFonts w:cs="Tahoma"/>
        </w:rPr>
      </w:pPr>
    </w:p>
    <w:p w:rsidR="00324479" w:rsidRPr="000A1C8E" w:rsidRDefault="00324479" w:rsidP="00734401">
      <w:pPr>
        <w:rPr>
          <w:rFonts w:cs="Tahoma"/>
        </w:rPr>
      </w:pPr>
      <w:r w:rsidRPr="000A1C8E">
        <w:rPr>
          <w:rFonts w:cs="Tahoma"/>
          <w:szCs w:val="18"/>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 o</w:t>
      </w:r>
      <w:r w:rsidR="00734401" w:rsidRPr="000A1C8E">
        <w:rPr>
          <w:rFonts w:cs="Tahoma"/>
          <w:szCs w:val="18"/>
        </w:rPr>
        <w:t> </w:t>
      </w:r>
      <w:r w:rsidRPr="000A1C8E">
        <w:rPr>
          <w:rFonts w:cs="Tahoma"/>
          <w:szCs w:val="18"/>
        </w:rPr>
        <w:t>prazo de suas coberturas do Software Assurance.</w:t>
      </w:r>
      <w:r w:rsidR="00DC6D8B" w:rsidRPr="000A1C8E">
        <w:rPr>
          <w:rFonts w:cs="Tahoma"/>
          <w:szCs w:val="18"/>
        </w:rPr>
        <w:t xml:space="preserve"> </w:t>
      </w:r>
    </w:p>
    <w:p w:rsidR="00023FE7" w:rsidRPr="000A1C8E" w:rsidRDefault="00023FE7" w:rsidP="002D25C8">
      <w:pPr>
        <w:pStyle w:val="AppendixBodyText"/>
        <w:spacing w:after="0"/>
        <w:rPr>
          <w:rFonts w:ascii="Tahoma" w:hAnsi="Tahoma" w:cs="Tahoma"/>
        </w:rPr>
      </w:pPr>
    </w:p>
    <w:p w:rsidR="00023FE7" w:rsidRPr="000A1C8E" w:rsidRDefault="00023FE7" w:rsidP="002D25C8">
      <w:pPr>
        <w:pStyle w:val="AppendixBodyText"/>
        <w:spacing w:after="0"/>
        <w:rPr>
          <w:rFonts w:ascii="Tahoma" w:hAnsi="Tahoma" w:cs="Tahoma"/>
        </w:rPr>
      </w:pPr>
      <w:r w:rsidRPr="000A1C8E">
        <w:rPr>
          <w:rFonts w:ascii="Tahoma" w:hAnsi="Tahoma" w:cs="Tahoma"/>
          <w:sz w:val="18"/>
          <w:szCs w:val="18"/>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DC6D8B" w:rsidRPr="000A1C8E">
        <w:rPr>
          <w:rFonts w:ascii="Tahoma" w:hAnsi="Tahoma" w:cs="Tahoma"/>
          <w:sz w:val="18"/>
          <w:szCs w:val="18"/>
        </w:rPr>
        <w:t xml:space="preserve"> </w:t>
      </w:r>
      <w:r w:rsidRPr="000A1C8E">
        <w:rPr>
          <w:rFonts w:ascii="Tahoma" w:hAnsi="Tahoma" w:cs="Tahoma"/>
          <w:sz w:val="18"/>
          <w:szCs w:val="18"/>
        </w:rPr>
        <w:t>A Microsoft fará esforços razoáveis para auxiliar os clientes com solicitações de suporte de maneira consistente com as políticas de Suporte a Produtos da Microsoft.</w:t>
      </w:r>
      <w:r w:rsidR="00DC6D8B" w:rsidRPr="000A1C8E">
        <w:rPr>
          <w:rFonts w:ascii="Tahoma" w:hAnsi="Tahoma" w:cs="Tahoma"/>
          <w:sz w:val="18"/>
          <w:szCs w:val="18"/>
        </w:rPr>
        <w:t xml:space="preserve"> </w:t>
      </w:r>
      <w:r w:rsidRPr="000A1C8E">
        <w:rPr>
          <w:rFonts w:ascii="Tahoma" w:hAnsi="Tahoma" w:cs="Tahoma"/>
          <w:sz w:val="18"/>
          <w:szCs w:val="18"/>
        </w:rPr>
        <w:t xml:space="preserve">A Microsoft se reserva o direito de recusar solicitações não razoáveis de serviços de suporte e, às vezes, poderá indicar aos clientes um contrato de nível de serviço adicional que poderá exigir um custo adicional. </w:t>
      </w:r>
    </w:p>
    <w:p w:rsidR="00023FE7" w:rsidRPr="000A1C8E" w:rsidRDefault="00023FE7" w:rsidP="002D25C8">
      <w:pPr>
        <w:pStyle w:val="AppendixBodyText"/>
        <w:spacing w:after="0"/>
        <w:rPr>
          <w:rFonts w:ascii="Tahoma" w:hAnsi="Tahoma" w:cs="Tahoma"/>
        </w:rPr>
      </w:pPr>
    </w:p>
    <w:p w:rsidR="00023FE7" w:rsidRPr="000A1C8E" w:rsidRDefault="00023FE7" w:rsidP="00734401">
      <w:pPr>
        <w:pStyle w:val="AppendixBodyText"/>
        <w:spacing w:after="0"/>
        <w:rPr>
          <w:rFonts w:ascii="Tahoma" w:hAnsi="Tahoma" w:cs="Tahoma"/>
        </w:rPr>
      </w:pPr>
      <w:r w:rsidRPr="000A1C8E">
        <w:rPr>
          <w:rFonts w:ascii="Tahoma" w:hAnsi="Tahoma" w:cs="Tahoma"/>
          <w:sz w:val="18"/>
          <w:szCs w:val="18"/>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734401" w:rsidRPr="000A1C8E">
        <w:rPr>
          <w:rFonts w:ascii="Tahoma" w:hAnsi="Tahoma" w:cs="Tahoma"/>
          <w:sz w:val="18"/>
          <w:szCs w:val="18"/>
        </w:rPr>
        <w:t> </w:t>
      </w:r>
      <w:r w:rsidRPr="000A1C8E">
        <w:rPr>
          <w:rFonts w:ascii="Tahoma" w:hAnsi="Tahoma" w:cs="Tahoma"/>
          <w:sz w:val="18"/>
          <w:szCs w:val="18"/>
        </w:rPr>
        <w:t xml:space="preserve">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rsidR="00DF400D" w:rsidRPr="000A1C8E" w:rsidRDefault="00DF400D" w:rsidP="002D25C8">
      <w:pPr>
        <w:pStyle w:val="AppendixBodyText"/>
        <w:spacing w:after="0"/>
        <w:rPr>
          <w:rFonts w:ascii="Tahoma" w:hAnsi="Tahoma" w:cs="Tahoma"/>
        </w:rPr>
      </w:pPr>
    </w:p>
    <w:p w:rsidR="00023FE7" w:rsidRPr="000A1C8E" w:rsidRDefault="00023FE7" w:rsidP="00734401">
      <w:pPr>
        <w:pStyle w:val="AppendixBodyText"/>
        <w:spacing w:after="0"/>
        <w:rPr>
          <w:rFonts w:ascii="Tahoma" w:hAnsi="Tahoma" w:cs="Tahoma"/>
        </w:rPr>
      </w:pPr>
      <w:r w:rsidRPr="000A1C8E">
        <w:rPr>
          <w:rFonts w:ascii="Tahoma" w:hAnsi="Tahoma" w:cs="Tahoma"/>
          <w:sz w:val="18"/>
          <w:szCs w:val="18"/>
        </w:rPr>
        <w:t>Uma solicitação de suporte de reparo assistido, também conhecida como um incidente, é definida como um problema único de suporte e o esforço razoável necessário para solucioná-lo.</w:t>
      </w:r>
      <w:r w:rsidR="00DC6D8B" w:rsidRPr="000A1C8E">
        <w:rPr>
          <w:rFonts w:ascii="Tahoma" w:hAnsi="Tahoma" w:cs="Tahoma"/>
          <w:sz w:val="18"/>
          <w:szCs w:val="18"/>
        </w:rPr>
        <w:t xml:space="preserve"> </w:t>
      </w:r>
      <w:r w:rsidRPr="000A1C8E">
        <w:rPr>
          <w:rFonts w:ascii="Tahoma" w:hAnsi="Tahoma" w:cs="Tahoma"/>
          <w:sz w:val="18"/>
          <w:szCs w:val="18"/>
        </w:rPr>
        <w:t>Um problema único de suporte é um problema que não pode ser subdividido em problemas subordinados.</w:t>
      </w:r>
      <w:r w:rsidR="00DC6D8B" w:rsidRPr="000A1C8E">
        <w:rPr>
          <w:rFonts w:ascii="Tahoma" w:hAnsi="Tahoma" w:cs="Tahoma"/>
          <w:sz w:val="18"/>
          <w:szCs w:val="18"/>
        </w:rPr>
        <w:t xml:space="preserve"> </w:t>
      </w:r>
      <w:r w:rsidRPr="000A1C8E">
        <w:rPr>
          <w:rFonts w:ascii="Tahoma" w:hAnsi="Tahoma" w:cs="Tahoma"/>
          <w:sz w:val="18"/>
          <w:szCs w:val="18"/>
        </w:rPr>
        <w:t>Se o problema consistir em problemas subordinados, cada um será considerado um incidente separado.</w:t>
      </w:r>
      <w:r w:rsidR="00DC6D8B" w:rsidRPr="000A1C8E">
        <w:rPr>
          <w:rFonts w:ascii="Tahoma" w:hAnsi="Tahoma" w:cs="Tahoma"/>
          <w:sz w:val="18"/>
          <w:szCs w:val="18"/>
        </w:rPr>
        <w:t xml:space="preserve"> </w:t>
      </w:r>
      <w:r w:rsidRPr="000A1C8E">
        <w:rPr>
          <w:rFonts w:ascii="Tahoma" w:hAnsi="Tahoma" w:cs="Tahoma"/>
          <w:sz w:val="18"/>
          <w:szCs w:val="18"/>
        </w:rPr>
        <w:t>Em determinadas situações, poderemos fornecer aos clientes uma</w:t>
      </w:r>
      <w:r w:rsidR="00734401" w:rsidRPr="000A1C8E">
        <w:rPr>
          <w:rFonts w:ascii="Tahoma" w:hAnsi="Tahoma" w:cs="Tahoma"/>
          <w:sz w:val="18"/>
          <w:szCs w:val="18"/>
        </w:rPr>
        <w:t> </w:t>
      </w:r>
      <w:r w:rsidRPr="000A1C8E">
        <w:rPr>
          <w:rFonts w:ascii="Tahoma" w:hAnsi="Tahoma" w:cs="Tahoma"/>
          <w:sz w:val="18"/>
          <w:szCs w:val="18"/>
        </w:rPr>
        <w:t>modificação do código de software do produto da Microsoft comercialmente disponível a fim de solucionar os problemas críticos específicos (“Hotfixes”) em resposta a uma solicitação de suporte de reparo assistido.</w:t>
      </w:r>
      <w:r w:rsidR="00DC6D8B" w:rsidRPr="000A1C8E">
        <w:rPr>
          <w:rFonts w:ascii="Tahoma" w:hAnsi="Tahoma" w:cs="Tahoma"/>
          <w:sz w:val="18"/>
          <w:szCs w:val="18"/>
        </w:rPr>
        <w:t xml:space="preserve"> </w:t>
      </w:r>
      <w:r w:rsidRPr="000A1C8E">
        <w:rPr>
          <w:rFonts w:ascii="Tahoma" w:hAnsi="Tahoma" w:cs="Tahoma"/>
          <w:sz w:val="18"/>
          <w:szCs w:val="18"/>
        </w:rPr>
        <w:t>Os hotfixes são designados para solucionar problemas específicos dos clientes e não são testados quanto à regressão.</w:t>
      </w:r>
      <w:r w:rsidR="00DC6D8B" w:rsidRPr="000A1C8E">
        <w:rPr>
          <w:rFonts w:ascii="Tahoma" w:hAnsi="Tahoma" w:cs="Tahoma"/>
          <w:sz w:val="18"/>
          <w:szCs w:val="18"/>
        </w:rPr>
        <w:t xml:space="preserve"> </w:t>
      </w:r>
      <w:r w:rsidRPr="000A1C8E">
        <w:rPr>
          <w:rFonts w:ascii="Tahoma" w:hAnsi="Tahoma" w:cs="Tahoma"/>
          <w:sz w:val="18"/>
          <w:szCs w:val="18"/>
        </w:rPr>
        <w:t>Salvo definição em contrário neste documento, os Hotfixes não podem ser distribuídos a terceiros não afiliados sem a autorização por escrito da Microsoft.</w:t>
      </w:r>
    </w:p>
    <w:p w:rsidR="00023FE7" w:rsidRPr="000A1C8E" w:rsidRDefault="00023FE7" w:rsidP="002D25C8">
      <w:pPr>
        <w:pStyle w:val="AppendixBodyText"/>
        <w:spacing w:after="0"/>
        <w:rPr>
          <w:rFonts w:ascii="Tahoma" w:hAnsi="Tahoma" w:cs="Tahoma"/>
        </w:rPr>
      </w:pPr>
    </w:p>
    <w:p w:rsidR="00023FE7" w:rsidRPr="000A1C8E" w:rsidRDefault="00023FE7" w:rsidP="002D25C8">
      <w:pPr>
        <w:pStyle w:val="AppendixBodyText"/>
        <w:spacing w:after="0"/>
        <w:rPr>
          <w:rFonts w:ascii="Tahoma" w:hAnsi="Tahoma" w:cs="Tahoma"/>
        </w:rPr>
      </w:pPr>
      <w:r w:rsidRPr="000A1C8E">
        <w:rPr>
          <w:rFonts w:ascii="Tahoma" w:hAnsi="Tahoma" w:cs="Tahoma"/>
          <w:sz w:val="18"/>
          <w:szCs w:val="18"/>
        </w:rPr>
        <w:t>Os produtos disponibilizados por meio de Licenciamento por Volume e que estejam atualmente no Suporte Base, conforme estabelecido na</w:t>
      </w:r>
      <w:hyperlink r:id="rId25" w:history="1">
        <w:r w:rsidRPr="000A1C8E">
          <w:rPr>
            <w:rStyle w:val="Hyperlink"/>
            <w:rFonts w:ascii="Tahoma" w:hAnsi="Tahoma" w:cs="Tahoma"/>
            <w:sz w:val="18"/>
            <w:szCs w:val="18"/>
          </w:rPr>
          <w:t xml:space="preserve"> Política de Ciclo de Vida de Suporte da Microsoft</w:t>
        </w:r>
      </w:hyperlink>
      <w:r w:rsidR="00DC6D8B" w:rsidRPr="000A1C8E">
        <w:rPr>
          <w:rFonts w:ascii="Tahoma" w:hAnsi="Tahoma" w:cs="Tahoma"/>
          <w:sz w:val="18"/>
          <w:szCs w:val="18"/>
        </w:rPr>
        <w:t xml:space="preserve"> </w:t>
      </w:r>
      <w:r w:rsidRPr="000A1C8E">
        <w:rPr>
          <w:rFonts w:ascii="Tahoma" w:hAnsi="Tahoma" w:cs="Tahoma"/>
          <w:color w:val="000000"/>
          <w:sz w:val="18"/>
          <w:szCs w:val="18"/>
        </w:rPr>
        <w:t>estão qualificados ao Suporte para Resolução de Problemas 24 horas por dia, 7 dias por semana.</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 seção Prêmios de Incidentes de Suporte pelo Telefone.</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Consulte a seção específica do produto neste documento para verificar a política de serviço e suporte.</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Versões anteriores de produtos atualmente no Suporte Base que foram escolhidos pelos clientes para serem usados em vez da versão licenciada atual também estão qualificadas.</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A edição Developer Edition de todos os servidores, os produtos HED e as Assinaturas do MSDN estão excluídos.</w:t>
      </w:r>
    </w:p>
    <w:p w:rsidR="00023FE7" w:rsidRPr="000A1C8E" w:rsidRDefault="00023FE7" w:rsidP="002D25C8">
      <w:pPr>
        <w:pStyle w:val="AppendixBodyText"/>
        <w:spacing w:after="0"/>
        <w:rPr>
          <w:rFonts w:ascii="Tahoma" w:hAnsi="Tahoma" w:cs="Tahoma"/>
        </w:rPr>
      </w:pPr>
    </w:p>
    <w:p w:rsidR="00734401" w:rsidRPr="000A1C8E" w:rsidRDefault="00734401" w:rsidP="002D25C8">
      <w:pPr>
        <w:pStyle w:val="AppendixBodyText"/>
        <w:spacing w:after="0"/>
        <w:rPr>
          <w:rFonts w:ascii="Tahoma" w:hAnsi="Tahoma" w:cs="Tahoma"/>
        </w:rPr>
      </w:pPr>
    </w:p>
    <w:p w:rsidR="00023FE7" w:rsidRPr="000A1C8E" w:rsidRDefault="00023FE7" w:rsidP="002D25C8">
      <w:pPr>
        <w:pStyle w:val="AppendixBodyText"/>
        <w:spacing w:after="0"/>
        <w:rPr>
          <w:rFonts w:ascii="Tahoma" w:hAnsi="Tahoma" w:cs="Tahoma"/>
        </w:rPr>
      </w:pPr>
      <w:r w:rsidRPr="000A1C8E">
        <w:rPr>
          <w:rFonts w:ascii="Tahoma" w:hAnsi="Tahoma" w:cs="Tahoma"/>
          <w:sz w:val="18"/>
          <w:szCs w:val="18"/>
        </w:rPr>
        <w:lastRenderedPageBreak/>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23FE7" w:rsidRPr="000A1C8E" w:rsidRDefault="00023FE7" w:rsidP="002D25C8">
      <w:pPr>
        <w:pStyle w:val="AppendixBodyText"/>
        <w:spacing w:after="0"/>
        <w:rPr>
          <w:rFonts w:ascii="Tahoma" w:hAnsi="Tahoma" w:cs="Tahoma"/>
        </w:rPr>
      </w:pPr>
    </w:p>
    <w:p w:rsidR="00023FE7" w:rsidRPr="000A1C8E" w:rsidRDefault="00023FE7" w:rsidP="00734401">
      <w:pPr>
        <w:pStyle w:val="AppendixBodyText"/>
        <w:spacing w:after="0"/>
        <w:rPr>
          <w:rFonts w:ascii="Tahoma" w:hAnsi="Tahoma" w:cs="Tahoma"/>
        </w:rPr>
      </w:pPr>
      <w:r w:rsidRPr="000A1C8E">
        <w:rPr>
          <w:rFonts w:ascii="Tahoma" w:hAnsi="Tahoma" w:cs="Tahoma"/>
          <w:sz w:val="18"/>
          <w:szCs w:val="18"/>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w:t>
      </w:r>
      <w:r w:rsidR="00734401" w:rsidRPr="000A1C8E">
        <w:rPr>
          <w:rFonts w:ascii="Tahoma" w:hAnsi="Tahoma" w:cs="Tahoma"/>
          <w:sz w:val="18"/>
          <w:szCs w:val="18"/>
        </w:rPr>
        <w:t> </w:t>
      </w:r>
      <w:r w:rsidRPr="000A1C8E">
        <w:rPr>
          <w:rFonts w:ascii="Tahoma" w:hAnsi="Tahoma" w:cs="Tahoma"/>
          <w:sz w:val="18"/>
          <w:szCs w:val="18"/>
        </w:rPr>
        <w:t>cliente.</w:t>
      </w:r>
    </w:p>
    <w:p w:rsidR="00023FE7" w:rsidRPr="000A1C8E" w:rsidRDefault="00023FE7" w:rsidP="002D25C8">
      <w:pPr>
        <w:pStyle w:val="AppendixBodyText"/>
        <w:spacing w:after="0"/>
        <w:rPr>
          <w:rFonts w:ascii="Tahoma" w:hAnsi="Tahoma" w:cs="Tahoma"/>
        </w:rPr>
      </w:pPr>
    </w:p>
    <w:p w:rsidR="00023FE7" w:rsidRPr="000A1C8E" w:rsidRDefault="00023FE7" w:rsidP="002D25C8">
      <w:pPr>
        <w:pStyle w:val="AppendixBodyText"/>
        <w:spacing w:after="0"/>
        <w:rPr>
          <w:rFonts w:ascii="Tahoma" w:hAnsi="Tahoma" w:cs="Tahoma"/>
        </w:rPr>
      </w:pPr>
      <w:r w:rsidRPr="000A1C8E">
        <w:rPr>
          <w:rFonts w:ascii="Tahoma" w:hAnsi="Tahoma" w:cs="Tahoma"/>
          <w:sz w:val="18"/>
          <w:szCs w:val="18"/>
        </w:rPr>
        <w:t>O suporte pode ser iniciado por meio do envio de incidentes de maneira eletrônica via Web ou por telefone. Cláusulas diferentes aplicam-se a cada tipo de meio.</w:t>
      </w:r>
      <w:r w:rsidR="00DC6D8B" w:rsidRPr="000A1C8E">
        <w:rPr>
          <w:rFonts w:ascii="Tahoma" w:hAnsi="Tahoma" w:cs="Tahoma"/>
          <w:sz w:val="18"/>
          <w:szCs w:val="18"/>
        </w:rPr>
        <w:t xml:space="preserve"> </w:t>
      </w:r>
      <w:r w:rsidRPr="000A1C8E">
        <w:rPr>
          <w:rFonts w:ascii="Tahoma" w:hAnsi="Tahoma" w:cs="Tahoma"/>
          <w:sz w:val="18"/>
          <w:szCs w:val="18"/>
        </w:rPr>
        <w:t>O Suporte para Resolução de Problemas 24x7 premia os clientes com uma quantidade de incidentes e contatos para iniciar tais incidentes, conforme descrito a seguir.</w:t>
      </w:r>
    </w:p>
    <w:p w:rsidR="00023FE7" w:rsidRPr="000A1C8E" w:rsidRDefault="00023FE7" w:rsidP="002D25C8">
      <w:pPr>
        <w:pStyle w:val="AppendixBodyText"/>
        <w:spacing w:after="0"/>
        <w:rPr>
          <w:rFonts w:ascii="Tahoma" w:hAnsi="Tahoma" w:cs="Tahoma"/>
        </w:rPr>
      </w:pPr>
    </w:p>
    <w:p w:rsidR="00023FE7" w:rsidRPr="000A1C8E" w:rsidRDefault="00023FE7" w:rsidP="00DA2788">
      <w:pPr>
        <w:spacing w:after="60"/>
        <w:rPr>
          <w:rFonts w:cs="Tahoma"/>
        </w:rPr>
      </w:pPr>
      <w:bookmarkStart w:id="746" w:name="_Toc240899163"/>
      <w:r w:rsidRPr="000A1C8E">
        <w:rPr>
          <w:rFonts w:cs="Tahoma"/>
          <w:b/>
          <w:szCs w:val="20"/>
        </w:rPr>
        <w:t>Prêmios de Incidentes de Suporte pelo Telefone</w:t>
      </w:r>
      <w:bookmarkEnd w:id="746"/>
    </w:p>
    <w:p w:rsidR="00023FE7" w:rsidRPr="000A1C8E" w:rsidRDefault="00023FE7" w:rsidP="002D25C8">
      <w:pPr>
        <w:pStyle w:val="AppendixBodyText"/>
        <w:spacing w:after="0"/>
        <w:rPr>
          <w:rFonts w:ascii="Tahoma" w:hAnsi="Tahoma" w:cs="Tahoma"/>
        </w:rPr>
      </w:pPr>
      <w:r w:rsidRPr="000A1C8E">
        <w:rPr>
          <w:rFonts w:ascii="Tahoma" w:hAnsi="Tahoma" w:cs="Tahoma"/>
          <w:sz w:val="18"/>
          <w:szCs w:val="18"/>
        </w:rPr>
        <w:t>O número de incidentes de suporte por telefone permitidos varia por cliente com base em seus gastos de SA e sua forma de pagamento.</w:t>
      </w:r>
      <w:r w:rsidR="00DC6D8B" w:rsidRPr="000A1C8E">
        <w:rPr>
          <w:rFonts w:ascii="Tahoma" w:hAnsi="Tahoma" w:cs="Tahoma"/>
          <w:sz w:val="18"/>
          <w:szCs w:val="18"/>
        </w:rPr>
        <w:t xml:space="preserve"> </w:t>
      </w:r>
      <w:r w:rsidRPr="000A1C8E">
        <w:rPr>
          <w:rFonts w:ascii="Tahoma" w:hAnsi="Tahoma" w:cs="Tahoma"/>
          <w:sz w:val="18"/>
        </w:rPr>
        <w:t>Para esses fins, “gastos de SA” não são literalmente os gastos reais em dólares do cliente.</w:t>
      </w:r>
      <w:r w:rsidR="00DC6D8B" w:rsidRPr="000A1C8E">
        <w:rPr>
          <w:rFonts w:ascii="Tahoma" w:hAnsi="Tahoma" w:cs="Tahoma"/>
          <w:sz w:val="18"/>
        </w:rPr>
        <w:t xml:space="preserve"> </w:t>
      </w:r>
      <w:r w:rsidRPr="000A1C8E">
        <w:rPr>
          <w:rFonts w:ascii="Tahoma" w:hAnsi="Tahoma" w:cs="Tahoma"/>
          <w:sz w:val="18"/>
        </w:rPr>
        <w:t>Trata-se de uma aproximação do que um cliente gastou na cobertura de Software Assurance para esses produtos. Para os clien</w:t>
      </w:r>
      <w:r w:rsidRPr="000A1C8E">
        <w:rPr>
          <w:rFonts w:ascii="Tahoma" w:hAnsi="Tahoma" w:cs="Tahoma"/>
          <w:sz w:val="18"/>
          <w:szCs w:val="18"/>
        </w:rPr>
        <w:t>tes sob programas de assinatura, esses gastos são uma aproximação do valor total em dólares que o cliente gastou com o licenciamento desses produtos sob seu registro ou contrato.</w:t>
      </w:r>
      <w:r w:rsidR="00DC6D8B" w:rsidRPr="000A1C8E">
        <w:rPr>
          <w:rFonts w:ascii="Tahoma" w:hAnsi="Tahoma" w:cs="Tahoma"/>
          <w:sz w:val="18"/>
          <w:szCs w:val="18"/>
        </w:rPr>
        <w:t xml:space="preserve"> </w:t>
      </w:r>
      <w:r w:rsidRPr="000A1C8E">
        <w:rPr>
          <w:rFonts w:ascii="Tahoma" w:hAnsi="Tahoma" w:cs="Tahoma"/>
          <w:sz w:val="18"/>
          <w:szCs w:val="18"/>
        </w:rPr>
        <w:t>O incidente complementar é concedido de acordo com os registros Enterprise e Select, o registro Select Plus e o contrato Open Value com cobertura do SA a pelo menos um produto de software de Servidor qualificado.</w:t>
      </w:r>
    </w:p>
    <w:p w:rsidR="00F42FB8" w:rsidRPr="000A1C8E" w:rsidRDefault="00F42FB8" w:rsidP="002D25C8">
      <w:pPr>
        <w:pStyle w:val="AppendixBodyText"/>
        <w:spacing w:after="0"/>
        <w:rPr>
          <w:rFonts w:ascii="Tahoma" w:hAnsi="Tahoma" w:cs="Tahoma"/>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0A1C8E"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A1C8E" w:rsidRDefault="00613BBB" w:rsidP="00F42FB8">
            <w:pPr>
              <w:pStyle w:val="AppendixBodyText"/>
              <w:rPr>
                <w:rFonts w:ascii="Tahoma" w:hAnsi="Tahoma" w:cs="Tahoma"/>
                <w:b/>
                <w:bCs/>
              </w:rPr>
            </w:pPr>
            <w:r w:rsidRPr="000A1C8E">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A1C8E" w:rsidRDefault="00613BBB" w:rsidP="00F42FB8">
            <w:pPr>
              <w:pStyle w:val="AppendixBodyText"/>
              <w:rPr>
                <w:rFonts w:ascii="Tahoma" w:hAnsi="Tahoma" w:cs="Tahoma"/>
                <w:b/>
                <w:bCs/>
              </w:rPr>
            </w:pPr>
            <w:r w:rsidRPr="000A1C8E">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A1C8E" w:rsidRDefault="00613BBB" w:rsidP="00F42FB8">
            <w:pPr>
              <w:pStyle w:val="AppendixBodyText"/>
              <w:rPr>
                <w:rFonts w:ascii="Tahoma" w:hAnsi="Tahoma" w:cs="Tahoma"/>
              </w:rPr>
            </w:pPr>
            <w:r w:rsidRPr="000A1C8E">
              <w:rPr>
                <w:rFonts w:ascii="Tahoma" w:hAnsi="Tahoma" w:cs="Tahoma"/>
                <w:b/>
                <w:bCs/>
              </w:rPr>
              <w:t>Servidor/CAL</w:t>
            </w:r>
          </w:p>
          <w:p w:rsidR="00613BBB" w:rsidRPr="000A1C8E" w:rsidRDefault="00613BBB" w:rsidP="00F42FB8">
            <w:pPr>
              <w:pStyle w:val="AppendixBodyText"/>
              <w:rPr>
                <w:rFonts w:ascii="Tahoma" w:hAnsi="Tahoma" w:cs="Tahoma"/>
                <w:b/>
                <w:bCs/>
              </w:rPr>
            </w:pPr>
            <w:r w:rsidRPr="000A1C8E">
              <w:rPr>
                <w:rFonts w:ascii="Tahoma" w:hAnsi="Tahoma" w:cs="Tahoma"/>
                <w:b/>
                <w:bCs/>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A1C8E" w:rsidRDefault="00613BBB" w:rsidP="00F42FB8">
            <w:pPr>
              <w:pStyle w:val="AppendixBodyText"/>
              <w:rPr>
                <w:rFonts w:ascii="Tahoma" w:hAnsi="Tahoma" w:cs="Tahoma"/>
              </w:rPr>
            </w:pPr>
            <w:r w:rsidRPr="000A1C8E">
              <w:rPr>
                <w:rFonts w:ascii="Tahoma" w:hAnsi="Tahoma" w:cs="Tahoma"/>
                <w:b/>
                <w:bCs/>
              </w:rPr>
              <w:t>IW/Cliente</w:t>
            </w:r>
          </w:p>
          <w:p w:rsidR="00613BBB" w:rsidRPr="000A1C8E" w:rsidRDefault="00613BBB" w:rsidP="00F42FB8">
            <w:pPr>
              <w:pStyle w:val="AppendixBodyText"/>
              <w:rPr>
                <w:rFonts w:ascii="Tahoma" w:hAnsi="Tahoma" w:cs="Tahoma"/>
                <w:b/>
                <w:bCs/>
              </w:rPr>
            </w:pPr>
            <w:r w:rsidRPr="000A1C8E">
              <w:rPr>
                <w:rFonts w:ascii="Tahoma" w:hAnsi="Tahoma" w:cs="Tahoma"/>
                <w:b/>
                <w:bCs/>
              </w:rPr>
              <w:t>Incrementos de Prêmios de Incidentes</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Dólar Americano</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USD</w:t>
            </w:r>
          </w:p>
        </w:tc>
        <w:tc>
          <w:tcPr>
            <w:tcW w:w="2673"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$20</w:t>
            </w:r>
            <w:r w:rsidR="00DD2BB9">
              <w:rPr>
                <w:rFonts w:ascii="Tahoma" w:hAnsi="Tahoma" w:cs="Tahoma"/>
                <w:sz w:val="18"/>
                <w:szCs w:val="18"/>
              </w:rPr>
              <w:t>.</w:t>
            </w:r>
            <w:r w:rsidRPr="000A1C8E">
              <w:rPr>
                <w:rFonts w:ascii="Tahoma" w:hAnsi="Tahoma" w:cs="Tahoma"/>
                <w:sz w:val="18"/>
                <w:szCs w:val="18"/>
              </w:rPr>
              <w:t>000</w:t>
            </w:r>
          </w:p>
        </w:tc>
        <w:tc>
          <w:tcPr>
            <w:tcW w:w="2889"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$200</w:t>
            </w:r>
            <w:r w:rsidR="00DD2BB9">
              <w:rPr>
                <w:rFonts w:ascii="Tahoma" w:hAnsi="Tahoma" w:cs="Tahoma"/>
                <w:sz w:val="18"/>
                <w:szCs w:val="18"/>
              </w:rPr>
              <w:t>.</w:t>
            </w:r>
            <w:r w:rsidRPr="000A1C8E">
              <w:rPr>
                <w:rFonts w:ascii="Tahoma" w:hAnsi="Tahoma" w:cs="Tahoma"/>
                <w:sz w:val="18"/>
                <w:szCs w:val="18"/>
              </w:rPr>
              <w:t>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Dólar Australiano</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AUD</w:t>
            </w:r>
          </w:p>
        </w:tc>
        <w:tc>
          <w:tcPr>
            <w:tcW w:w="2673"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30</w:t>
            </w:r>
            <w:r w:rsidR="00DD2BB9">
              <w:rPr>
                <w:rFonts w:ascii="Tahoma" w:hAnsi="Tahoma" w:cs="Tahoma"/>
                <w:sz w:val="18"/>
                <w:szCs w:val="18"/>
              </w:rPr>
              <w:t>.</w:t>
            </w:r>
            <w:r w:rsidRPr="000A1C8E">
              <w:rPr>
                <w:rFonts w:ascii="Tahoma" w:hAnsi="Tahoma" w:cs="Tahoma"/>
                <w:sz w:val="18"/>
                <w:szCs w:val="18"/>
              </w:rPr>
              <w:t>000</w:t>
            </w:r>
          </w:p>
        </w:tc>
        <w:tc>
          <w:tcPr>
            <w:tcW w:w="2889"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300</w:t>
            </w:r>
            <w:r w:rsidR="00DD2BB9">
              <w:rPr>
                <w:rFonts w:ascii="Tahoma" w:hAnsi="Tahoma" w:cs="Tahoma"/>
                <w:sz w:val="18"/>
                <w:szCs w:val="18"/>
              </w:rPr>
              <w:t>.</w:t>
            </w:r>
            <w:r w:rsidRPr="000A1C8E">
              <w:rPr>
                <w:rFonts w:ascii="Tahoma" w:hAnsi="Tahoma" w:cs="Tahoma"/>
                <w:sz w:val="18"/>
                <w:szCs w:val="18"/>
              </w:rPr>
              <w:t>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Dólar Canadense</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CAD</w:t>
            </w:r>
          </w:p>
        </w:tc>
        <w:tc>
          <w:tcPr>
            <w:tcW w:w="2673"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27</w:t>
            </w:r>
            <w:r w:rsidR="00DD2BB9">
              <w:rPr>
                <w:rFonts w:ascii="Tahoma" w:hAnsi="Tahoma" w:cs="Tahoma"/>
                <w:sz w:val="18"/>
                <w:szCs w:val="18"/>
              </w:rPr>
              <w:t>.</w:t>
            </w:r>
            <w:r w:rsidRPr="000A1C8E">
              <w:rPr>
                <w:rFonts w:ascii="Tahoma" w:hAnsi="Tahoma" w:cs="Tahoma"/>
                <w:sz w:val="18"/>
                <w:szCs w:val="18"/>
              </w:rPr>
              <w:t>000</w:t>
            </w:r>
          </w:p>
        </w:tc>
        <w:tc>
          <w:tcPr>
            <w:tcW w:w="2889"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270</w:t>
            </w:r>
            <w:r w:rsidR="00DD2BB9">
              <w:rPr>
                <w:rFonts w:ascii="Tahoma" w:hAnsi="Tahoma" w:cs="Tahoma"/>
                <w:sz w:val="18"/>
                <w:szCs w:val="18"/>
              </w:rPr>
              <w:t>.</w:t>
            </w:r>
            <w:r w:rsidRPr="000A1C8E">
              <w:rPr>
                <w:rFonts w:ascii="Tahoma" w:hAnsi="Tahoma" w:cs="Tahoma"/>
                <w:sz w:val="18"/>
                <w:szCs w:val="18"/>
              </w:rPr>
              <w:t>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Franco Suíço</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CHF</w:t>
            </w:r>
          </w:p>
        </w:tc>
        <w:tc>
          <w:tcPr>
            <w:tcW w:w="2673"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S Fr. 33</w:t>
            </w:r>
            <w:r w:rsidR="00DD2BB9">
              <w:rPr>
                <w:rFonts w:ascii="Tahoma" w:hAnsi="Tahoma" w:cs="Tahoma"/>
                <w:sz w:val="18"/>
                <w:szCs w:val="18"/>
              </w:rPr>
              <w:t>.</w:t>
            </w:r>
            <w:r w:rsidRPr="000A1C8E">
              <w:rPr>
                <w:rFonts w:ascii="Tahoma" w:hAnsi="Tahoma" w:cs="Tahoma"/>
                <w:sz w:val="18"/>
                <w:szCs w:val="18"/>
              </w:rPr>
              <w:t>000</w:t>
            </w:r>
          </w:p>
        </w:tc>
        <w:tc>
          <w:tcPr>
            <w:tcW w:w="2889"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S Fr. 330</w:t>
            </w:r>
            <w:r w:rsidR="00DD2BB9">
              <w:rPr>
                <w:rFonts w:ascii="Tahoma" w:hAnsi="Tahoma" w:cs="Tahoma"/>
                <w:sz w:val="18"/>
                <w:szCs w:val="18"/>
              </w:rPr>
              <w:t>.</w:t>
            </w:r>
            <w:r w:rsidRPr="000A1C8E">
              <w:rPr>
                <w:rFonts w:ascii="Tahoma" w:hAnsi="Tahoma" w:cs="Tahoma"/>
                <w:sz w:val="18"/>
                <w:szCs w:val="18"/>
              </w:rPr>
              <w:t>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Iuan Renmimbi (China)</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CNY</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CRC 165.000</w:t>
            </w:r>
          </w:p>
        </w:tc>
        <w:tc>
          <w:tcPr>
            <w:tcW w:w="288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CRC 1.650.000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Coroa Dinamarquesa</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DKK</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kr 160.000</w:t>
            </w:r>
          </w:p>
        </w:tc>
        <w:tc>
          <w:tcPr>
            <w:tcW w:w="288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kr 1.600.000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Euro</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EUR</w:t>
            </w:r>
          </w:p>
        </w:tc>
        <w:tc>
          <w:tcPr>
            <w:tcW w:w="2673"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21</w:t>
            </w:r>
            <w:r w:rsidR="00DD2BB9">
              <w:rPr>
                <w:rFonts w:ascii="Tahoma" w:hAnsi="Tahoma" w:cs="Tahoma"/>
                <w:sz w:val="18"/>
                <w:szCs w:val="18"/>
              </w:rPr>
              <w:t>.</w:t>
            </w:r>
            <w:r w:rsidRPr="000A1C8E">
              <w:rPr>
                <w:rFonts w:ascii="Tahoma" w:hAnsi="Tahoma" w:cs="Tahoma"/>
                <w:sz w:val="18"/>
                <w:szCs w:val="18"/>
              </w:rPr>
              <w:t>500</w:t>
            </w:r>
          </w:p>
        </w:tc>
        <w:tc>
          <w:tcPr>
            <w:tcW w:w="2889"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215</w:t>
            </w:r>
            <w:r w:rsidR="00DD2BB9">
              <w:rPr>
                <w:rFonts w:ascii="Tahoma" w:hAnsi="Tahoma" w:cs="Tahoma"/>
                <w:sz w:val="18"/>
                <w:szCs w:val="18"/>
              </w:rPr>
              <w:t>.</w:t>
            </w:r>
            <w:r w:rsidRPr="000A1C8E">
              <w:rPr>
                <w:rFonts w:ascii="Tahoma" w:hAnsi="Tahoma" w:cs="Tahoma"/>
                <w:sz w:val="18"/>
                <w:szCs w:val="18"/>
              </w:rPr>
              <w:t>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Libra Esterlina</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GBP</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£13,500</w:t>
            </w:r>
          </w:p>
        </w:tc>
        <w:tc>
          <w:tcPr>
            <w:tcW w:w="2889"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£135</w:t>
            </w:r>
            <w:r w:rsidR="00DD2BB9">
              <w:rPr>
                <w:rFonts w:ascii="Tahoma" w:hAnsi="Tahoma" w:cs="Tahoma"/>
                <w:sz w:val="18"/>
                <w:szCs w:val="18"/>
              </w:rPr>
              <w:t>.</w:t>
            </w:r>
            <w:r w:rsidRPr="000A1C8E">
              <w:rPr>
                <w:rFonts w:ascii="Tahoma" w:hAnsi="Tahoma" w:cs="Tahoma"/>
                <w:sz w:val="18"/>
                <w:szCs w:val="18"/>
              </w:rPr>
              <w:t>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Iene Japonês</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JPY</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JPY 2.400.000</w:t>
            </w:r>
          </w:p>
        </w:tc>
        <w:tc>
          <w:tcPr>
            <w:tcW w:w="288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JPY 24.000.000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Won Coreano</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KRW</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KWD 24.000.000</w:t>
            </w:r>
          </w:p>
        </w:tc>
        <w:tc>
          <w:tcPr>
            <w:tcW w:w="288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KWD 240.000.000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Coroa Norueguesa</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NOK</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kr 165.000</w:t>
            </w:r>
          </w:p>
        </w:tc>
        <w:tc>
          <w:tcPr>
            <w:tcW w:w="288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kr 1.650.000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Dólar Neozelandês</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NZD</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35,000</w:t>
            </w:r>
          </w:p>
        </w:tc>
        <w:tc>
          <w:tcPr>
            <w:tcW w:w="2889" w:type="dxa"/>
            <w:vAlign w:val="bottom"/>
          </w:tcPr>
          <w:p w:rsidR="00613BBB" w:rsidRPr="000A1C8E" w:rsidRDefault="00613BBB" w:rsidP="00DD2BB9">
            <w:pPr>
              <w:pStyle w:val="AppendixBodyText"/>
              <w:rPr>
                <w:rFonts w:ascii="Tahoma" w:hAnsi="Tahoma" w:cs="Tahoma"/>
                <w:sz w:val="18"/>
                <w:szCs w:val="18"/>
              </w:rPr>
            </w:pPr>
            <w:r w:rsidRPr="000A1C8E">
              <w:rPr>
                <w:rFonts w:ascii="Tahoma" w:hAnsi="Tahoma" w:cs="Tahoma"/>
                <w:sz w:val="18"/>
                <w:szCs w:val="18"/>
              </w:rPr>
              <w:t>350</w:t>
            </w:r>
            <w:r w:rsidR="00DD2BB9">
              <w:rPr>
                <w:rFonts w:ascii="Tahoma" w:hAnsi="Tahoma" w:cs="Tahoma"/>
                <w:sz w:val="18"/>
                <w:szCs w:val="18"/>
              </w:rPr>
              <w:t>.</w:t>
            </w:r>
            <w:r w:rsidRPr="000A1C8E">
              <w:rPr>
                <w:rFonts w:ascii="Tahoma" w:hAnsi="Tahoma" w:cs="Tahoma"/>
                <w:sz w:val="18"/>
                <w:szCs w:val="18"/>
              </w:rPr>
              <w:t>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Coroa Sueca</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SEK</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kr 200.000</w:t>
            </w:r>
          </w:p>
        </w:tc>
        <w:tc>
          <w:tcPr>
            <w:tcW w:w="288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kr 2.000.000</w:t>
            </w:r>
          </w:p>
        </w:tc>
      </w:tr>
      <w:tr w:rsidR="00613BBB" w:rsidRPr="000A1C8E" w:rsidTr="002A6416">
        <w:trPr>
          <w:trHeight w:val="236"/>
        </w:trPr>
        <w:tc>
          <w:tcPr>
            <w:tcW w:w="180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Novo Dólar Taiwanês</w:t>
            </w:r>
          </w:p>
        </w:tc>
        <w:tc>
          <w:tcPr>
            <w:tcW w:w="1350"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TWD</w:t>
            </w:r>
          </w:p>
        </w:tc>
        <w:tc>
          <w:tcPr>
            <w:tcW w:w="2673"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NTD 700.000</w:t>
            </w:r>
          </w:p>
        </w:tc>
        <w:tc>
          <w:tcPr>
            <w:tcW w:w="2889" w:type="dxa"/>
            <w:vAlign w:val="bottom"/>
          </w:tcPr>
          <w:p w:rsidR="00613BBB" w:rsidRPr="000A1C8E" w:rsidRDefault="00613BBB" w:rsidP="00F42FB8">
            <w:pPr>
              <w:pStyle w:val="AppendixBodyText"/>
              <w:rPr>
                <w:rFonts w:ascii="Tahoma" w:hAnsi="Tahoma" w:cs="Tahoma"/>
                <w:sz w:val="18"/>
                <w:szCs w:val="18"/>
              </w:rPr>
            </w:pPr>
            <w:r w:rsidRPr="000A1C8E">
              <w:rPr>
                <w:rFonts w:ascii="Tahoma" w:hAnsi="Tahoma" w:cs="Tahoma"/>
                <w:sz w:val="18"/>
                <w:szCs w:val="18"/>
              </w:rPr>
              <w:t>NTD 7.000.000</w:t>
            </w:r>
          </w:p>
        </w:tc>
      </w:tr>
      <w:tr w:rsidR="004B4C79" w:rsidRPr="000A1C8E" w:rsidTr="002A6416">
        <w:trPr>
          <w:trHeight w:val="236"/>
        </w:trPr>
        <w:tc>
          <w:tcPr>
            <w:tcW w:w="1809" w:type="dxa"/>
          </w:tcPr>
          <w:p w:rsidR="004B4C79" w:rsidRPr="000A1C8E" w:rsidRDefault="004B4C79" w:rsidP="00F42FB8">
            <w:pPr>
              <w:pStyle w:val="AppendixBodyText"/>
              <w:rPr>
                <w:rFonts w:ascii="Tahoma" w:hAnsi="Tahoma" w:cs="Tahoma"/>
                <w:sz w:val="18"/>
                <w:szCs w:val="18"/>
              </w:rPr>
            </w:pPr>
            <w:r w:rsidRPr="000A1C8E">
              <w:rPr>
                <w:rFonts w:ascii="Tahoma" w:hAnsi="Tahoma" w:cs="Tahoma"/>
                <w:sz w:val="18"/>
                <w:szCs w:val="18"/>
              </w:rPr>
              <w:t>Rúpia Indiana</w:t>
            </w:r>
          </w:p>
        </w:tc>
        <w:tc>
          <w:tcPr>
            <w:tcW w:w="1350" w:type="dxa"/>
          </w:tcPr>
          <w:p w:rsidR="004B4C79" w:rsidRPr="000A1C8E" w:rsidRDefault="004B4C79" w:rsidP="00F42FB8">
            <w:pPr>
              <w:pStyle w:val="AppendixBodyText"/>
              <w:rPr>
                <w:rFonts w:ascii="Tahoma" w:hAnsi="Tahoma" w:cs="Tahoma"/>
                <w:sz w:val="18"/>
                <w:szCs w:val="18"/>
              </w:rPr>
            </w:pPr>
            <w:r w:rsidRPr="000A1C8E">
              <w:rPr>
                <w:rFonts w:ascii="Tahoma" w:hAnsi="Tahoma" w:cs="Tahoma"/>
                <w:sz w:val="18"/>
                <w:szCs w:val="18"/>
              </w:rPr>
              <w:t>INR</w:t>
            </w:r>
          </w:p>
        </w:tc>
        <w:tc>
          <w:tcPr>
            <w:tcW w:w="2673" w:type="dxa"/>
          </w:tcPr>
          <w:p w:rsidR="004B4C79" w:rsidRPr="000A1C8E" w:rsidRDefault="004B4C79" w:rsidP="00F42FB8">
            <w:pPr>
              <w:pStyle w:val="AppendixBodyText"/>
              <w:rPr>
                <w:rFonts w:ascii="Tahoma" w:hAnsi="Tahoma" w:cs="Tahoma"/>
                <w:sz w:val="18"/>
                <w:szCs w:val="18"/>
              </w:rPr>
            </w:pPr>
            <w:r w:rsidRPr="000A1C8E">
              <w:rPr>
                <w:rFonts w:ascii="Tahoma" w:hAnsi="Tahoma" w:cs="Tahoma"/>
                <w:sz w:val="18"/>
                <w:szCs w:val="18"/>
              </w:rPr>
              <w:t>INR 1.000.000</w:t>
            </w:r>
          </w:p>
        </w:tc>
        <w:tc>
          <w:tcPr>
            <w:tcW w:w="2889" w:type="dxa"/>
          </w:tcPr>
          <w:p w:rsidR="004B4C79" w:rsidRPr="000A1C8E" w:rsidRDefault="004B4C79" w:rsidP="00F42FB8">
            <w:pPr>
              <w:pStyle w:val="AppendixBodyText"/>
              <w:rPr>
                <w:rFonts w:ascii="Tahoma" w:hAnsi="Tahoma" w:cs="Tahoma"/>
                <w:sz w:val="18"/>
                <w:szCs w:val="18"/>
              </w:rPr>
            </w:pPr>
            <w:r w:rsidRPr="000A1C8E">
              <w:rPr>
                <w:rFonts w:ascii="Tahoma" w:hAnsi="Tahoma" w:cs="Tahoma"/>
                <w:sz w:val="18"/>
                <w:szCs w:val="18"/>
              </w:rPr>
              <w:t>INR 10.000.000</w:t>
            </w:r>
          </w:p>
        </w:tc>
      </w:tr>
      <w:tr w:rsidR="004B4C79" w:rsidRPr="000A1C8E" w:rsidTr="002A6416">
        <w:trPr>
          <w:trHeight w:val="236"/>
        </w:trPr>
        <w:tc>
          <w:tcPr>
            <w:tcW w:w="1809" w:type="dxa"/>
          </w:tcPr>
          <w:p w:rsidR="004B4C79" w:rsidRPr="000A1C8E" w:rsidRDefault="004B4C79" w:rsidP="00F42FB8">
            <w:pPr>
              <w:pStyle w:val="AppendixBodyText"/>
              <w:rPr>
                <w:rFonts w:ascii="Tahoma" w:hAnsi="Tahoma" w:cs="Tahoma"/>
                <w:sz w:val="18"/>
                <w:szCs w:val="18"/>
              </w:rPr>
            </w:pPr>
            <w:r w:rsidRPr="000A1C8E">
              <w:rPr>
                <w:rFonts w:ascii="Tahoma" w:hAnsi="Tahoma" w:cs="Tahoma"/>
                <w:sz w:val="18"/>
                <w:szCs w:val="18"/>
              </w:rPr>
              <w:t>Rublo Russo</w:t>
            </w:r>
          </w:p>
        </w:tc>
        <w:tc>
          <w:tcPr>
            <w:tcW w:w="1350" w:type="dxa"/>
          </w:tcPr>
          <w:p w:rsidR="004B4C79" w:rsidRPr="000A1C8E" w:rsidRDefault="004B4C79" w:rsidP="00F42FB8">
            <w:pPr>
              <w:pStyle w:val="AppendixBodyText"/>
              <w:rPr>
                <w:rFonts w:ascii="Tahoma" w:hAnsi="Tahoma" w:cs="Tahoma"/>
                <w:sz w:val="18"/>
                <w:szCs w:val="18"/>
              </w:rPr>
            </w:pPr>
            <w:r w:rsidRPr="000A1C8E">
              <w:rPr>
                <w:rFonts w:ascii="Tahoma" w:hAnsi="Tahoma" w:cs="Tahoma"/>
                <w:sz w:val="18"/>
                <w:szCs w:val="18"/>
              </w:rPr>
              <w:t>RUB</w:t>
            </w:r>
          </w:p>
        </w:tc>
        <w:tc>
          <w:tcPr>
            <w:tcW w:w="2673" w:type="dxa"/>
          </w:tcPr>
          <w:p w:rsidR="004B4C79" w:rsidRPr="000A1C8E" w:rsidRDefault="004B4C79" w:rsidP="00F42FB8">
            <w:pPr>
              <w:pStyle w:val="AppendixBodyText"/>
              <w:rPr>
                <w:rFonts w:ascii="Tahoma" w:hAnsi="Tahoma" w:cs="Tahoma"/>
                <w:sz w:val="18"/>
                <w:szCs w:val="18"/>
              </w:rPr>
            </w:pPr>
            <w:r w:rsidRPr="000A1C8E">
              <w:rPr>
                <w:rFonts w:ascii="Tahoma" w:hAnsi="Tahoma" w:cs="Tahoma"/>
                <w:sz w:val="18"/>
                <w:szCs w:val="18"/>
              </w:rPr>
              <w:t>RUB 660.000</w:t>
            </w:r>
          </w:p>
        </w:tc>
        <w:tc>
          <w:tcPr>
            <w:tcW w:w="2889" w:type="dxa"/>
          </w:tcPr>
          <w:p w:rsidR="004B4C79" w:rsidRPr="000A1C8E" w:rsidRDefault="004B4C79" w:rsidP="00F42FB8">
            <w:pPr>
              <w:pStyle w:val="AppendixBodyText"/>
              <w:rPr>
                <w:rFonts w:ascii="Tahoma" w:hAnsi="Tahoma" w:cs="Tahoma"/>
                <w:sz w:val="18"/>
                <w:szCs w:val="18"/>
              </w:rPr>
            </w:pPr>
            <w:r w:rsidRPr="000A1C8E">
              <w:rPr>
                <w:rFonts w:ascii="Tahoma" w:hAnsi="Tahoma" w:cs="Tahoma"/>
                <w:sz w:val="18"/>
                <w:szCs w:val="18"/>
              </w:rPr>
              <w:t>RUB 6.600.000</w:t>
            </w:r>
          </w:p>
        </w:tc>
      </w:tr>
    </w:tbl>
    <w:p w:rsidR="00023FE7" w:rsidRPr="000A1C8E" w:rsidRDefault="00023FE7" w:rsidP="00F93617">
      <w:pPr>
        <w:pStyle w:val="AppendixBodyText"/>
        <w:spacing w:after="0"/>
        <w:rPr>
          <w:rFonts w:ascii="Tahoma" w:hAnsi="Tahoma" w:cs="Tahoma"/>
        </w:rPr>
      </w:pPr>
    </w:p>
    <w:p w:rsidR="00734401" w:rsidRPr="000A1C8E" w:rsidRDefault="00734401" w:rsidP="00F93617">
      <w:pPr>
        <w:pStyle w:val="AppendixBodyText"/>
        <w:spacing w:after="0"/>
        <w:rPr>
          <w:rFonts w:ascii="Tahoma" w:hAnsi="Tahoma" w:cs="Tahoma"/>
        </w:rPr>
      </w:pPr>
    </w:p>
    <w:p w:rsidR="00023FE7" w:rsidRPr="000A1C8E" w:rsidRDefault="00023FE7" w:rsidP="00734401">
      <w:pPr>
        <w:pStyle w:val="AppendixBodyText"/>
        <w:spacing w:after="0"/>
        <w:rPr>
          <w:rFonts w:ascii="Tahoma" w:hAnsi="Tahoma" w:cs="Tahoma"/>
        </w:rPr>
      </w:pPr>
      <w:r w:rsidRPr="000A1C8E">
        <w:rPr>
          <w:rFonts w:ascii="Tahoma" w:hAnsi="Tahoma" w:cs="Tahoma"/>
          <w:sz w:val="18"/>
          <w:szCs w:val="18"/>
        </w:rPr>
        <w:lastRenderedPageBreak/>
        <w:t>Os incidentes com base em gastos de SA são recebidos com base nos gastos de SA de servidor e desktop sob um registro Select ou Enterprise qualificado, um registro Select Plus, um Contrato Open Value ou um Número de</w:t>
      </w:r>
      <w:r w:rsidR="00734401" w:rsidRPr="000A1C8E">
        <w:rPr>
          <w:rFonts w:ascii="Tahoma" w:hAnsi="Tahoma" w:cs="Tahoma"/>
          <w:sz w:val="18"/>
          <w:szCs w:val="18"/>
        </w:rPr>
        <w:t> </w:t>
      </w:r>
      <w:r w:rsidRPr="000A1C8E">
        <w:rPr>
          <w:rFonts w:ascii="Tahoma" w:hAnsi="Tahoma" w:cs="Tahoma"/>
          <w:sz w:val="18"/>
          <w:szCs w:val="18"/>
        </w:rPr>
        <w:t>Autorização de Licença Open.</w:t>
      </w:r>
      <w:r w:rsidR="00DC6D8B" w:rsidRPr="000A1C8E">
        <w:rPr>
          <w:rFonts w:ascii="Tahoma" w:hAnsi="Tahoma" w:cs="Tahoma"/>
          <w:sz w:val="18"/>
          <w:szCs w:val="18"/>
        </w:rPr>
        <w:t xml:space="preserve"> </w:t>
      </w:r>
      <w:r w:rsidRPr="000A1C8E">
        <w:rPr>
          <w:rFonts w:ascii="Tahoma" w:hAnsi="Tahoma" w:cs="Tahoma"/>
          <w:sz w:val="18"/>
          <w:szCs w:val="18"/>
        </w:rPr>
        <w:t>A cada aproximadamente US$ 20.000 de gastos de SA de Servidor e CAL, concederemos um incidente.</w:t>
      </w:r>
      <w:r w:rsidR="00DC6D8B" w:rsidRPr="000A1C8E">
        <w:rPr>
          <w:rFonts w:ascii="Tahoma" w:hAnsi="Tahoma" w:cs="Tahoma"/>
          <w:sz w:val="18"/>
          <w:szCs w:val="18"/>
        </w:rPr>
        <w:t xml:space="preserve"> </w:t>
      </w:r>
      <w:r w:rsidRPr="000A1C8E">
        <w:rPr>
          <w:rFonts w:ascii="Tahoma" w:hAnsi="Tahoma" w:cs="Tahoma"/>
          <w:sz w:val="18"/>
          <w:szCs w:val="18"/>
        </w:rPr>
        <w:t>A cada aproximadamente US$ 200.000 de gastos de SA em Pools de Sistemas e Aplicativos, concederemos um incidente.</w:t>
      </w:r>
      <w:r w:rsidR="00DC6D8B" w:rsidRPr="000A1C8E">
        <w:rPr>
          <w:rFonts w:ascii="Tahoma" w:hAnsi="Tahoma" w:cs="Tahoma"/>
          <w:sz w:val="18"/>
          <w:szCs w:val="18"/>
        </w:rPr>
        <w:t xml:space="preserve"> </w:t>
      </w:r>
      <w:r w:rsidRPr="000A1C8E">
        <w:rPr>
          <w:rFonts w:ascii="Tahoma" w:hAnsi="Tahoma" w:cs="Tahoma"/>
          <w:sz w:val="18"/>
          <w:szCs w:val="18"/>
        </w:rPr>
        <w:t>A tabela a seguir mostra os equivalentes monetários aproximados para prêmios com base em gastos de SA de contratos com base em moedas que não sejam o USD.</w:t>
      </w:r>
      <w:r w:rsidR="00DC6D8B" w:rsidRPr="000A1C8E">
        <w:rPr>
          <w:rFonts w:ascii="Tahoma" w:hAnsi="Tahoma" w:cs="Tahoma"/>
          <w:sz w:val="18"/>
          <w:szCs w:val="18"/>
        </w:rPr>
        <w:t xml:space="preserve"> </w:t>
      </w:r>
      <w:r w:rsidRPr="000A1C8E">
        <w:rPr>
          <w:rFonts w:ascii="Tahoma" w:hAnsi="Tahoma" w:cs="Tahoma"/>
          <w:sz w:val="18"/>
          <w:szCs w:val="18"/>
        </w:rPr>
        <w:t>Devido à flutuação das taxas de câmbio, essa tabela está sujeita a alterações.</w:t>
      </w:r>
    </w:p>
    <w:p w:rsidR="00023FE7" w:rsidRPr="000A1C8E" w:rsidRDefault="00023FE7" w:rsidP="00F42FB8">
      <w:pPr>
        <w:pStyle w:val="AppendixBodyText"/>
        <w:spacing w:after="0"/>
        <w:rPr>
          <w:rFonts w:ascii="Tahoma" w:hAnsi="Tahoma" w:cs="Tahoma"/>
        </w:rPr>
      </w:pPr>
    </w:p>
    <w:p w:rsidR="00023FE7" w:rsidRPr="000A1C8E" w:rsidRDefault="00023FE7" w:rsidP="00F42FB8">
      <w:pPr>
        <w:pStyle w:val="AppendixBodyText"/>
        <w:spacing w:after="0"/>
        <w:rPr>
          <w:rFonts w:ascii="Tahoma" w:hAnsi="Tahoma" w:cs="Tahoma"/>
        </w:rPr>
      </w:pPr>
      <w:r w:rsidRPr="000A1C8E">
        <w:rPr>
          <w:rFonts w:ascii="Tahoma" w:hAnsi="Tahoma" w:cs="Tahoma"/>
          <w:sz w:val="18"/>
          <w:szCs w:val="18"/>
        </w:rPr>
        <w:t>Os incidentes são alocados sobre o prazo da cobertura do Software Assurance com base na forma de pagamento.</w:t>
      </w:r>
      <w:r w:rsidR="00DC6D8B" w:rsidRPr="000A1C8E">
        <w:rPr>
          <w:rFonts w:ascii="Tahoma" w:hAnsi="Tahoma" w:cs="Tahoma"/>
          <w:sz w:val="18"/>
          <w:szCs w:val="18"/>
        </w:rPr>
        <w:t xml:space="preserve"> </w:t>
      </w:r>
      <w:r w:rsidRPr="000A1C8E">
        <w:rPr>
          <w:rFonts w:ascii="Tahoma" w:hAnsi="Tahoma" w:cs="Tahoma"/>
          <w:sz w:val="18"/>
          <w:szCs w:val="18"/>
        </w:rPr>
        <w:t>Os contratos que refletem pagamentos em parcelas levarão a incidentes concedidos durante o prazo. Os contratos que refletem pagamentos únicos serão premiados de maneira adiantada.</w:t>
      </w:r>
      <w:r w:rsidR="00DC6D8B" w:rsidRPr="000A1C8E">
        <w:rPr>
          <w:rFonts w:ascii="Tahoma" w:hAnsi="Tahoma" w:cs="Tahoma"/>
          <w:sz w:val="18"/>
          <w:szCs w:val="18"/>
        </w:rPr>
        <w:t xml:space="preserve"> </w:t>
      </w:r>
      <w:r w:rsidRPr="000A1C8E">
        <w:rPr>
          <w:rFonts w:ascii="Tahoma" w:hAnsi="Tahoma" w:cs="Tahoma"/>
          <w:sz w:val="18"/>
          <w:szCs w:val="18"/>
        </w:rPr>
        <w:t>As compras feitas após o pedido inicial levarão a um novo cálculo dos incidentes concedidos e da alocação anual.</w:t>
      </w:r>
      <w:r w:rsidR="00DC6D8B" w:rsidRPr="000A1C8E">
        <w:rPr>
          <w:rFonts w:ascii="Tahoma" w:hAnsi="Tahoma" w:cs="Tahoma"/>
          <w:sz w:val="18"/>
          <w:szCs w:val="18"/>
        </w:rPr>
        <w:t xml:space="preserve"> </w:t>
      </w:r>
      <w:r w:rsidRPr="000A1C8E">
        <w:rPr>
          <w:rFonts w:ascii="Tahoma" w:hAnsi="Tahoma" w:cs="Tahoma"/>
          <w:sz w:val="18"/>
          <w:szCs w:val="18"/>
        </w:rPr>
        <w:t>Os Incidentes de Suporte por Telefone que não forem usados expirarão no término da cobertura do Software Assurance.</w:t>
      </w:r>
      <w:r w:rsidR="00DC6D8B" w:rsidRPr="000A1C8E">
        <w:rPr>
          <w:rFonts w:ascii="Tahoma" w:hAnsi="Tahoma" w:cs="Tahoma"/>
          <w:sz w:val="18"/>
          <w:szCs w:val="18"/>
        </w:rPr>
        <w:t xml:space="preserve"> </w:t>
      </w:r>
      <w:r w:rsidRPr="000A1C8E">
        <w:rPr>
          <w:rFonts w:ascii="Tahoma" w:hAnsi="Tahoma" w:cs="Tahoma"/>
          <w:sz w:val="18"/>
          <w:szCs w:val="18"/>
        </w:rPr>
        <w:t>Os Incidentes de Suporte por Telefone não podem ser transferidos entre registros ou contratos.</w:t>
      </w:r>
    </w:p>
    <w:p w:rsidR="00023FE7" w:rsidRPr="000A1C8E" w:rsidRDefault="00023FE7" w:rsidP="00F42FB8">
      <w:pPr>
        <w:pStyle w:val="AppendixBodyText"/>
        <w:spacing w:after="0"/>
        <w:rPr>
          <w:rFonts w:ascii="Tahoma" w:hAnsi="Tahoma" w:cs="Tahoma"/>
        </w:rPr>
      </w:pPr>
    </w:p>
    <w:p w:rsidR="00023FE7" w:rsidRPr="000A1C8E" w:rsidRDefault="00023FE7" w:rsidP="00295261">
      <w:pPr>
        <w:pStyle w:val="AppendixBodyText"/>
        <w:spacing w:after="0"/>
        <w:rPr>
          <w:rFonts w:ascii="Tahoma" w:hAnsi="Tahoma" w:cs="Tahoma"/>
        </w:rPr>
      </w:pPr>
      <w:r w:rsidRPr="000A1C8E">
        <w:rPr>
          <w:rFonts w:ascii="Tahoma" w:hAnsi="Tahoma" w:cs="Tahoma"/>
          <w:sz w:val="18"/>
          <w:szCs w:val="18"/>
        </w:rPr>
        <w:t>O acesso ao suporte por telefone local está disponível durante o horário comercial*</w:t>
      </w:r>
      <w:r w:rsidRPr="000A1C8E">
        <w:rPr>
          <w:rFonts w:ascii="Tahoma" w:hAnsi="Tahoma" w:cs="Tahoma"/>
          <w:sz w:val="18"/>
          <w:szCs w:val="18"/>
          <w:vertAlign w:val="superscript"/>
        </w:rPr>
        <w:t>(1)</w:t>
      </w:r>
      <w:r w:rsidRPr="000A1C8E">
        <w:rPr>
          <w:rFonts w:ascii="Tahoma" w:hAnsi="Tahoma" w:cs="Tahoma"/>
          <w:sz w:val="18"/>
          <w:szCs w:val="18"/>
        </w:rPr>
        <w:t>.</w:t>
      </w:r>
      <w:r w:rsidR="00DC6D8B" w:rsidRPr="000A1C8E">
        <w:rPr>
          <w:rFonts w:ascii="Tahoma" w:hAnsi="Tahoma" w:cs="Tahoma"/>
          <w:sz w:val="18"/>
          <w:szCs w:val="18"/>
        </w:rPr>
        <w:t xml:space="preserve"> </w:t>
      </w:r>
      <w:r w:rsidRPr="000A1C8E">
        <w:rPr>
          <w:rFonts w:ascii="Tahoma" w:hAnsi="Tahoma" w:cs="Tahoma"/>
          <w:sz w:val="18"/>
          <w:szCs w:val="18"/>
        </w:rPr>
        <w:t>O suporte por telefone fora do</w:t>
      </w:r>
      <w:r w:rsidR="00295261" w:rsidRPr="000A1C8E">
        <w:rPr>
          <w:rFonts w:ascii="Tahoma" w:hAnsi="Tahoma" w:cs="Tahoma"/>
          <w:sz w:val="18"/>
          <w:szCs w:val="18"/>
        </w:rPr>
        <w:t> </w:t>
      </w:r>
      <w:r w:rsidRPr="000A1C8E">
        <w:rPr>
          <w:rFonts w:ascii="Tahoma" w:hAnsi="Tahoma" w:cs="Tahoma"/>
          <w:sz w:val="18"/>
          <w:szCs w:val="18"/>
        </w:rPr>
        <w:t>horário comercial pode ser fornecido por meio de centros de suporte regionais e internacionais.</w:t>
      </w:r>
      <w:r w:rsidR="00DC6D8B" w:rsidRPr="000A1C8E">
        <w:rPr>
          <w:rFonts w:ascii="Tahoma" w:hAnsi="Tahoma" w:cs="Tahoma"/>
          <w:sz w:val="18"/>
          <w:szCs w:val="18"/>
        </w:rPr>
        <w:t xml:space="preserve"> </w:t>
      </w:r>
      <w:r w:rsidRPr="000A1C8E">
        <w:rPr>
          <w:rFonts w:ascii="Tahoma" w:hAnsi="Tahoma" w:cs="Tahoma"/>
          <w:sz w:val="18"/>
          <w:szCs w:val="18"/>
        </w:rPr>
        <w:t>O suporte por telefone fora do horário comercial pode ser usada apenas para iniciar solicitações de suporte essenciais aos negócios.</w:t>
      </w:r>
      <w:r w:rsidR="00DC6D8B" w:rsidRPr="000A1C8E">
        <w:rPr>
          <w:rFonts w:ascii="Tahoma" w:hAnsi="Tahoma" w:cs="Tahoma"/>
          <w:sz w:val="18"/>
          <w:szCs w:val="18"/>
        </w:rPr>
        <w:t xml:space="preserve"> </w:t>
      </w:r>
      <w:r w:rsidRPr="000A1C8E">
        <w:rPr>
          <w:rFonts w:ascii="Tahoma" w:hAnsi="Tahoma" w:cs="Tahoma"/>
          <w:sz w:val="18"/>
          <w:szCs w:val="18"/>
        </w:rPr>
        <w:t>O horário comercial é determinado de acordo com a região. Os representantes da Microsoft do cliente podem indicar o horário comercial definido na região ou no país do cliente.</w:t>
      </w:r>
      <w:r w:rsidR="00DC6D8B" w:rsidRPr="000A1C8E">
        <w:rPr>
          <w:rFonts w:ascii="Tahoma" w:hAnsi="Tahoma" w:cs="Tahoma"/>
          <w:sz w:val="18"/>
          <w:szCs w:val="18"/>
        </w:rPr>
        <w:t xml:space="preserve"> </w:t>
      </w:r>
      <w:r w:rsidRPr="000A1C8E">
        <w:rPr>
          <w:rFonts w:ascii="Tahoma" w:hAnsi="Tahoma" w:cs="Tahoma"/>
          <w:sz w:val="18"/>
          <w:szCs w:val="18"/>
        </w:rPr>
        <w:t xml:space="preserve">A assistência de suporte por telefone não está disponível em todos os idiomas nem em todas as regiões. </w:t>
      </w:r>
    </w:p>
    <w:p w:rsidR="00023FE7" w:rsidRPr="000A1C8E" w:rsidRDefault="00023FE7" w:rsidP="00077CE5">
      <w:pPr>
        <w:pStyle w:val="AppendixBodyText"/>
        <w:spacing w:after="0"/>
        <w:rPr>
          <w:rFonts w:ascii="Tahoma"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671"/>
      </w:tblGrid>
      <w:tr w:rsidR="00023FE7" w:rsidRPr="000A1C8E" w:rsidTr="00734401">
        <w:trPr>
          <w:cantSplit/>
          <w:trHeight w:val="20"/>
        </w:trPr>
        <w:tc>
          <w:tcPr>
            <w:tcW w:w="630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1C8E" w:rsidRDefault="00023FE7">
            <w:pPr>
              <w:pStyle w:val="AppendixBodyText"/>
              <w:rPr>
                <w:rFonts w:ascii="Tahoma" w:hAnsi="Tahoma" w:cs="Tahoma"/>
                <w:b/>
                <w:bCs/>
                <w:vertAlign w:val="superscript"/>
              </w:rPr>
            </w:pPr>
            <w:r w:rsidRPr="000A1C8E">
              <w:rPr>
                <w:rFonts w:ascii="Tahoma" w:hAnsi="Tahoma" w:cs="Tahoma"/>
                <w:b/>
                <w:bCs/>
              </w:rPr>
              <w:t>*(1) Variações de Horário Comercial por Região</w:t>
            </w:r>
          </w:p>
        </w:tc>
      </w:tr>
      <w:tr w:rsidR="00023FE7" w:rsidRPr="000A1C8E" w:rsidTr="00734401">
        <w:trPr>
          <w:cantSplit/>
          <w:trHeight w:val="20"/>
        </w:trPr>
        <w:tc>
          <w:tcPr>
            <w:tcW w:w="2629" w:type="dxa"/>
            <w:tcBorders>
              <w:top w:val="single" w:sz="8" w:space="0" w:color="auto"/>
            </w:tcBorders>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Américas</w:t>
            </w:r>
          </w:p>
        </w:tc>
        <w:tc>
          <w:tcPr>
            <w:tcW w:w="3671" w:type="dxa"/>
            <w:tcBorders>
              <w:top w:val="single" w:sz="8" w:space="0" w:color="auto"/>
            </w:tcBorders>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Segunda à sexta, das 6h às 18h (PST)</w:t>
            </w:r>
          </w:p>
        </w:tc>
      </w:tr>
      <w:tr w:rsidR="00023FE7" w:rsidRPr="000A1C8E" w:rsidTr="00734401">
        <w:trPr>
          <w:cantSplit/>
          <w:trHeight w:val="20"/>
        </w:trPr>
        <w:tc>
          <w:tcPr>
            <w:tcW w:w="2629" w:type="dxa"/>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EMEA</w:t>
            </w:r>
          </w:p>
        </w:tc>
        <w:tc>
          <w:tcPr>
            <w:tcW w:w="3671" w:type="dxa"/>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Segunda à sexta, das 6h às 18h (GMT)</w:t>
            </w:r>
          </w:p>
        </w:tc>
      </w:tr>
      <w:tr w:rsidR="00023FE7" w:rsidRPr="000A1C8E" w:rsidTr="00734401">
        <w:trPr>
          <w:cantSplit/>
          <w:trHeight w:val="20"/>
        </w:trPr>
        <w:tc>
          <w:tcPr>
            <w:tcW w:w="2629" w:type="dxa"/>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Austrália/Nova Zelândia</w:t>
            </w:r>
          </w:p>
        </w:tc>
        <w:tc>
          <w:tcPr>
            <w:tcW w:w="3671" w:type="dxa"/>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Segunda à sexta, das 7h às 18h</w:t>
            </w:r>
          </w:p>
        </w:tc>
      </w:tr>
      <w:tr w:rsidR="00023FE7" w:rsidRPr="000A1C8E" w:rsidTr="00734401">
        <w:trPr>
          <w:cantSplit/>
          <w:trHeight w:val="20"/>
        </w:trPr>
        <w:tc>
          <w:tcPr>
            <w:tcW w:w="2629" w:type="dxa"/>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Japão</w:t>
            </w:r>
          </w:p>
        </w:tc>
        <w:tc>
          <w:tcPr>
            <w:tcW w:w="3671" w:type="dxa"/>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Segunda à sexta, das 9h30 às 19h</w:t>
            </w:r>
          </w:p>
        </w:tc>
      </w:tr>
      <w:tr w:rsidR="00023FE7" w:rsidRPr="000A1C8E" w:rsidTr="00734401">
        <w:trPr>
          <w:cantSplit/>
          <w:trHeight w:val="20"/>
        </w:trPr>
        <w:tc>
          <w:tcPr>
            <w:tcW w:w="2629" w:type="dxa"/>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Ásia</w:t>
            </w:r>
          </w:p>
        </w:tc>
        <w:tc>
          <w:tcPr>
            <w:tcW w:w="3671" w:type="dxa"/>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Segunda à sexta, das 9h às 18h</w:t>
            </w:r>
          </w:p>
        </w:tc>
      </w:tr>
    </w:tbl>
    <w:p w:rsidR="0034219A" w:rsidRPr="000A1C8E" w:rsidRDefault="0034219A" w:rsidP="00F42FB8">
      <w:pPr>
        <w:rPr>
          <w:rFonts w:cs="Tahoma"/>
        </w:rPr>
      </w:pPr>
      <w:bookmarkStart w:id="747" w:name="_Toc240899164"/>
    </w:p>
    <w:p w:rsidR="00023FE7" w:rsidRPr="000A1C8E" w:rsidRDefault="00023FE7" w:rsidP="00DA2788">
      <w:pPr>
        <w:spacing w:after="60"/>
        <w:rPr>
          <w:rFonts w:cs="Tahoma"/>
        </w:rPr>
      </w:pPr>
      <w:r w:rsidRPr="000A1C8E">
        <w:rPr>
          <w:rFonts w:cs="Tahoma"/>
          <w:b/>
          <w:szCs w:val="20"/>
        </w:rPr>
        <w:t>Incidentes com base na Web</w:t>
      </w:r>
      <w:bookmarkEnd w:id="747"/>
      <w:r w:rsidRPr="000A1C8E">
        <w:rPr>
          <w:rFonts w:cs="Tahoma"/>
          <w:b/>
          <w:szCs w:val="20"/>
        </w:rPr>
        <w:t xml:space="preserve"> </w:t>
      </w:r>
    </w:p>
    <w:p w:rsidR="00023FE7" w:rsidRPr="000A1C8E" w:rsidRDefault="00023FE7" w:rsidP="00F42FB8">
      <w:pPr>
        <w:pStyle w:val="AppendixBodyText"/>
        <w:spacing w:after="0"/>
        <w:rPr>
          <w:rFonts w:ascii="Tahoma" w:hAnsi="Tahoma" w:cs="Tahoma"/>
        </w:rPr>
      </w:pPr>
      <w:r w:rsidRPr="000A1C8E">
        <w:rPr>
          <w:rFonts w:ascii="Tahoma" w:hAnsi="Tahoma" w:cs="Tahoma"/>
          <w:sz w:val="18"/>
          <w:szCs w:val="18"/>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 serviços de Suporte para Resolução de Problemas com base na Web conforme necessário.</w:t>
      </w:r>
      <w:r w:rsidR="00DC6D8B" w:rsidRPr="000A1C8E">
        <w:rPr>
          <w:rFonts w:ascii="Tahoma" w:hAnsi="Tahoma" w:cs="Tahoma"/>
          <w:sz w:val="18"/>
          <w:szCs w:val="18"/>
        </w:rPr>
        <w:t xml:space="preserve"> </w:t>
      </w:r>
      <w:r w:rsidRPr="000A1C8E">
        <w:rPr>
          <w:rFonts w:ascii="Tahoma" w:hAnsi="Tahoma" w:cs="Tahoma"/>
          <w:sz w:val="18"/>
          <w:szCs w:val="18"/>
        </w:rPr>
        <w:t>O acesso a sites de suporte eletrônico está disponível 24 horas por dia, 7 dias por semana, embora as respostas ocorram durante o Horário Comercial.</w:t>
      </w:r>
      <w:r w:rsidR="00DC6D8B" w:rsidRPr="000A1C8E">
        <w:rPr>
          <w:rFonts w:ascii="Tahoma" w:hAnsi="Tahoma" w:cs="Tahoma"/>
          <w:sz w:val="18"/>
          <w:szCs w:val="18"/>
        </w:rPr>
        <w:t xml:space="preserve"> </w:t>
      </w:r>
      <w:r w:rsidRPr="000A1C8E">
        <w:rPr>
          <w:rFonts w:ascii="Tahoma" w:hAnsi="Tahoma" w:cs="Tahoma"/>
          <w:sz w:val="18"/>
          <w:szCs w:val="18"/>
        </w:rPr>
        <w:t>Dessa maneira, os Incidentes com base na Web não devem ser iniciados no caso de situações críticas para os negócios que exijam uma assistência mais imediata. Consulte Variações de Horário Comercial por Região na seção “Prêmios de Incidentes de Suporte pelo Telefone” acima.</w:t>
      </w:r>
    </w:p>
    <w:p w:rsidR="00023FE7" w:rsidRPr="000A1C8E" w:rsidRDefault="00023FE7" w:rsidP="00F42FB8">
      <w:pPr>
        <w:pStyle w:val="AppendixBodyText"/>
        <w:spacing w:after="0"/>
        <w:rPr>
          <w:rFonts w:ascii="Tahoma" w:hAnsi="Tahoma" w:cs="Tahoma"/>
        </w:rPr>
      </w:pPr>
    </w:p>
    <w:p w:rsidR="00023FE7" w:rsidRPr="000A1C8E" w:rsidRDefault="00023FE7" w:rsidP="00F42FB8">
      <w:pPr>
        <w:pStyle w:val="AppendixBodyText"/>
        <w:spacing w:after="0"/>
        <w:rPr>
          <w:rFonts w:ascii="Tahoma" w:hAnsi="Tahoma" w:cs="Tahoma"/>
        </w:rPr>
      </w:pPr>
      <w:r w:rsidRPr="000A1C8E">
        <w:rPr>
          <w:rFonts w:ascii="Tahoma" w:hAnsi="Tahoma" w:cs="Tahoma"/>
          <w:sz w:val="18"/>
          <w:szCs w:val="18"/>
        </w:rPr>
        <w:t>Os incidentes iniciados via Telefone são descontados do saldo de incidentes por telefone disponíveis no momento da resolução.</w:t>
      </w:r>
      <w:r w:rsidR="00DC6D8B" w:rsidRPr="000A1C8E">
        <w:rPr>
          <w:rFonts w:ascii="Tahoma" w:hAnsi="Tahoma" w:cs="Tahoma"/>
          <w:sz w:val="18"/>
          <w:szCs w:val="18"/>
        </w:rPr>
        <w:t xml:space="preserve"> </w:t>
      </w:r>
      <w:r w:rsidRPr="000A1C8E">
        <w:rPr>
          <w:rFonts w:ascii="Tahoma" w:hAnsi="Tahoma" w:cs="Tahoma"/>
          <w:sz w:val="18"/>
          <w:szCs w:val="18"/>
        </w:rPr>
        <w:t>Os incidentes iniciados via Web tem como base a necessidade e serão conduzidos via Web, email e outros meios eletrônicos.</w:t>
      </w:r>
      <w:r w:rsidR="00DC6D8B" w:rsidRPr="000A1C8E">
        <w:rPr>
          <w:rFonts w:ascii="Tahoma" w:hAnsi="Tahoma" w:cs="Tahoma"/>
          <w:sz w:val="18"/>
          <w:szCs w:val="18"/>
        </w:rPr>
        <w:t xml:space="preserve"> </w:t>
      </w:r>
      <w:r w:rsidRPr="000A1C8E">
        <w:rPr>
          <w:rFonts w:ascii="Tahoma" w:hAnsi="Tahoma" w:cs="Tahoma"/>
          <w:sz w:val="18"/>
          <w:szCs w:val="18"/>
        </w:rPr>
        <w:t>Os incidentes iniciados via Web e, posteriormente, convertidos para resoluções por telefone pelo cliente serão descontados do saldo de incidentes por telefone disponíveis no momento da resolução.</w:t>
      </w:r>
      <w:r w:rsidR="00DC6D8B" w:rsidRPr="000A1C8E">
        <w:rPr>
          <w:rFonts w:ascii="Tahoma" w:hAnsi="Tahoma" w:cs="Tahoma"/>
          <w:sz w:val="18"/>
          <w:szCs w:val="18"/>
        </w:rPr>
        <w:t xml:space="preserve"> </w:t>
      </w:r>
      <w:r w:rsidRPr="000A1C8E">
        <w:rPr>
          <w:rFonts w:ascii="Tahoma" w:hAnsi="Tahoma" w:cs="Tahoma"/>
          <w:sz w:val="18"/>
          <w:szCs w:val="18"/>
        </w:rPr>
        <w:t>Os incidentes iniciados via Web e acompanhados por telefone pela Microsoft não serão descontados do saldo de incidentes por telefone disponíveis se a resolução continuar via Web, email e outros meios eletrônicos.</w:t>
      </w:r>
      <w:r w:rsidR="00DC6D8B" w:rsidRPr="000A1C8E">
        <w:rPr>
          <w:rFonts w:ascii="Tahoma" w:hAnsi="Tahoma" w:cs="Tahoma"/>
          <w:sz w:val="18"/>
          <w:szCs w:val="18"/>
        </w:rPr>
        <w:t xml:space="preserve"> </w:t>
      </w:r>
    </w:p>
    <w:p w:rsidR="00023FE7" w:rsidRPr="000A1C8E" w:rsidRDefault="00023FE7" w:rsidP="00F42FB8">
      <w:pPr>
        <w:pStyle w:val="AppendixBodyText"/>
        <w:spacing w:after="0"/>
        <w:rPr>
          <w:rFonts w:ascii="Tahoma" w:hAnsi="Tahoma" w:cs="Tahoma"/>
        </w:rPr>
      </w:pPr>
    </w:p>
    <w:p w:rsidR="00023FE7" w:rsidRPr="000A1C8E" w:rsidRDefault="00023FE7" w:rsidP="00F42FB8">
      <w:pPr>
        <w:pStyle w:val="AppendixBodyText"/>
        <w:spacing w:after="0"/>
        <w:rPr>
          <w:rFonts w:ascii="Tahoma" w:hAnsi="Tahoma" w:cs="Tahoma"/>
        </w:rPr>
      </w:pPr>
      <w:r w:rsidRPr="000A1C8E">
        <w:rPr>
          <w:rFonts w:ascii="Tahoma" w:hAnsi="Tahoma" w:cs="Tahoma"/>
          <w:sz w:val="18"/>
          <w:szCs w:val="18"/>
        </w:rPr>
        <w:t>O Software Assurance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Software Assurance.</w:t>
      </w:r>
    </w:p>
    <w:p w:rsidR="00023FE7" w:rsidRPr="000A1C8E" w:rsidRDefault="00023FE7" w:rsidP="00F42FB8">
      <w:pPr>
        <w:pStyle w:val="AppendixBodyText"/>
        <w:spacing w:after="0"/>
        <w:rPr>
          <w:rFonts w:ascii="Tahoma" w:hAnsi="Tahoma" w:cs="Tahoma"/>
        </w:rPr>
      </w:pPr>
    </w:p>
    <w:p w:rsidR="00023FE7" w:rsidRPr="000A1C8E" w:rsidRDefault="00023FE7" w:rsidP="00F42FB8">
      <w:pPr>
        <w:pStyle w:val="AppendixBodyText"/>
        <w:spacing w:after="0"/>
        <w:rPr>
          <w:rFonts w:ascii="Tahoma" w:hAnsi="Tahoma" w:cs="Tahoma"/>
        </w:rPr>
      </w:pPr>
      <w:r w:rsidRPr="000A1C8E">
        <w:rPr>
          <w:rFonts w:ascii="Tahoma" w:hAnsi="Tahoma" w:cs="Tahoma"/>
          <w:sz w:val="18"/>
          <w:szCs w:val="18"/>
        </w:rPr>
        <w:t>Os incidentes de Suporte pela Web não podem ser transferidos entre licenças.</w:t>
      </w:r>
      <w:r w:rsidR="00DC6D8B" w:rsidRPr="000A1C8E">
        <w:rPr>
          <w:rFonts w:ascii="Tahoma" w:hAnsi="Tahoma" w:cs="Tahoma"/>
          <w:sz w:val="18"/>
          <w:szCs w:val="18"/>
        </w:rPr>
        <w:t xml:space="preserve"> </w:t>
      </w:r>
      <w:r w:rsidRPr="000A1C8E">
        <w:rPr>
          <w:rFonts w:ascii="Tahoma" w:hAnsi="Tahoma" w:cs="Tahoma"/>
          <w:sz w:val="18"/>
          <w:szCs w:val="18"/>
        </w:rPr>
        <w:t>Consulte os direitos de uso do produto para obter mais detalhes sobre como atribuir ou reatribuir licenças a servidores físicos.</w:t>
      </w:r>
    </w:p>
    <w:p w:rsidR="00697E59" w:rsidRPr="000A1C8E" w:rsidRDefault="00697E59" w:rsidP="00F42FB8">
      <w:pPr>
        <w:rPr>
          <w:rFonts w:cs="Tahoma"/>
        </w:rPr>
      </w:pPr>
      <w:bookmarkStart w:id="748" w:name="_Toc240899165"/>
    </w:p>
    <w:p w:rsidR="0006670A" w:rsidRPr="000A1C8E" w:rsidRDefault="0006670A" w:rsidP="00F42FB8">
      <w:pPr>
        <w:rPr>
          <w:rFonts w:cs="Tahoma"/>
        </w:rPr>
      </w:pPr>
    </w:p>
    <w:p w:rsidR="0006670A" w:rsidRPr="000A1C8E" w:rsidRDefault="0006670A" w:rsidP="00F42FB8">
      <w:pPr>
        <w:rPr>
          <w:rFonts w:cs="Tahoma"/>
        </w:rPr>
      </w:pPr>
    </w:p>
    <w:p w:rsidR="0006670A" w:rsidRPr="000A1C8E" w:rsidRDefault="0006670A" w:rsidP="00F42FB8">
      <w:pPr>
        <w:rPr>
          <w:rFonts w:cs="Tahoma"/>
        </w:rPr>
      </w:pPr>
    </w:p>
    <w:p w:rsidR="00023FE7" w:rsidRPr="000A1C8E" w:rsidRDefault="00023FE7" w:rsidP="00F93617">
      <w:pPr>
        <w:spacing w:after="60"/>
        <w:rPr>
          <w:rFonts w:cs="Tahoma"/>
        </w:rPr>
      </w:pPr>
      <w:r w:rsidRPr="000A1C8E">
        <w:rPr>
          <w:rFonts w:cs="Tahoma"/>
          <w:b/>
          <w:szCs w:val="20"/>
        </w:rPr>
        <w:lastRenderedPageBreak/>
        <w:t>Contatos de Suporte</w:t>
      </w:r>
      <w:bookmarkEnd w:id="748"/>
    </w:p>
    <w:p w:rsidR="00023FE7" w:rsidRPr="000A1C8E" w:rsidRDefault="00023FE7" w:rsidP="00F42FB8">
      <w:pPr>
        <w:pStyle w:val="AppendixBodyText"/>
        <w:spacing w:after="0"/>
        <w:rPr>
          <w:rFonts w:ascii="Tahoma" w:hAnsi="Tahoma" w:cs="Tahoma"/>
        </w:rPr>
      </w:pPr>
      <w:r w:rsidRPr="000A1C8E">
        <w:rPr>
          <w:rFonts w:ascii="Tahoma" w:hAnsi="Tahoma" w:cs="Tahoma"/>
          <w:sz w:val="18"/>
          <w:szCs w:val="18"/>
        </w:rPr>
        <w:t>O número de contatos de suporte permitidos varia de acordo com o Programa de Licenciamento por Volume e o número de licenças cobertas pelo Software Assurance, conforme mostrado a seguir.</w:t>
      </w:r>
      <w:r w:rsidR="00DC6D8B" w:rsidRPr="000A1C8E">
        <w:rPr>
          <w:rFonts w:ascii="Tahoma" w:hAnsi="Tahoma" w:cs="Tahoma"/>
          <w:sz w:val="18"/>
          <w:szCs w:val="18"/>
        </w:rPr>
        <w:t xml:space="preserve"> </w:t>
      </w:r>
      <w:r w:rsidRPr="000A1C8E">
        <w:rPr>
          <w:rFonts w:ascii="Tahoma" w:hAnsi="Tahoma" w:cs="Tahoma"/>
          <w:sz w:val="18"/>
          <w:szCs w:val="18"/>
        </w:rPr>
        <w:t>Os contatos devem ser indivíduos nomeados e podem incluir indivíduos de fora da organização do cliente.</w:t>
      </w:r>
      <w:r w:rsidR="00DC6D8B" w:rsidRPr="000A1C8E">
        <w:rPr>
          <w:rFonts w:ascii="Tahoma" w:hAnsi="Tahoma" w:cs="Tahoma"/>
          <w:sz w:val="18"/>
          <w:szCs w:val="18"/>
        </w:rPr>
        <w:t xml:space="preserve"> </w:t>
      </w:r>
      <w:r w:rsidRPr="000A1C8E">
        <w:rPr>
          <w:rFonts w:ascii="Tahoma" w:hAnsi="Tahoma" w:cs="Tahoma"/>
          <w:sz w:val="18"/>
          <w:szCs w:val="18"/>
        </w:rPr>
        <w:t>Entretanto, o nome de uma organização, um departamento ou um grupo não pode ser listado como um contato.</w:t>
      </w:r>
    </w:p>
    <w:p w:rsidR="00077CE5" w:rsidRPr="000A1C8E" w:rsidRDefault="00077CE5" w:rsidP="00F93617">
      <w:pPr>
        <w:pStyle w:val="AppendixBodyText"/>
        <w:spacing w:after="0"/>
        <w:rPr>
          <w:rFonts w:ascii="Tahoma" w:hAnsi="Tahoma" w:cs="Tahoma"/>
        </w:rPr>
      </w:pPr>
    </w:p>
    <w:p w:rsidR="002A5CC2" w:rsidRPr="000A1C8E" w:rsidRDefault="002A5CC2">
      <w:pPr>
        <w:pStyle w:val="AppendixBodyText"/>
        <w:rPr>
          <w:rFonts w:ascii="Tahoma" w:hAnsi="Tahoma" w:cs="Tahoma"/>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1080"/>
        <w:gridCol w:w="1260"/>
        <w:gridCol w:w="1260"/>
        <w:gridCol w:w="1260"/>
        <w:gridCol w:w="1260"/>
        <w:gridCol w:w="1267"/>
      </w:tblGrid>
      <w:tr w:rsidR="00023FE7" w:rsidRPr="000A1C8E" w:rsidTr="0006670A">
        <w:trPr>
          <w:trHeight w:val="178"/>
        </w:trPr>
        <w:tc>
          <w:tcPr>
            <w:tcW w:w="21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1C8E" w:rsidRDefault="00023FE7">
            <w:pPr>
              <w:pStyle w:val="AppendixBodyText"/>
              <w:rPr>
                <w:rFonts w:ascii="Tahoma" w:hAnsi="Tahoma" w:cs="Tahoma"/>
                <w:b/>
                <w:bCs/>
              </w:rPr>
            </w:pPr>
            <w:r w:rsidRPr="000A1C8E">
              <w:rPr>
                <w:rFonts w:ascii="Tahoma" w:hAnsi="Tahoma" w:cs="Tahoma"/>
                <w:b/>
                <w:bCs/>
              </w:rPr>
              <w:t>Benefícios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1C8E" w:rsidRDefault="00023FE7">
            <w:pPr>
              <w:pStyle w:val="AppendixBodyText"/>
              <w:rPr>
                <w:rFonts w:ascii="Tahoma" w:hAnsi="Tahoma" w:cs="Tahoma"/>
                <w:b/>
                <w:bCs/>
              </w:rPr>
            </w:pPr>
            <w:r w:rsidRPr="000A1C8E">
              <w:rPr>
                <w:rFonts w:ascii="Tahoma" w:hAnsi="Tahoma" w:cs="Tahoma"/>
                <w:b/>
                <w:bCs/>
              </w:rPr>
              <w:t>Licença Open</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1C8E" w:rsidRDefault="00023FE7" w:rsidP="007E466C">
            <w:pPr>
              <w:pStyle w:val="AppendixBodyText"/>
              <w:spacing w:before="120" w:after="120"/>
              <w:rPr>
                <w:rFonts w:ascii="Tahoma" w:hAnsi="Tahoma" w:cs="Tahoma"/>
                <w:b/>
              </w:rPr>
            </w:pPr>
            <w:r w:rsidRPr="000A1C8E">
              <w:rPr>
                <w:rFonts w:ascii="Tahoma" w:hAnsi="Tahoma" w:cs="Tahoma"/>
                <w:b/>
                <w:bCs/>
              </w:rPr>
              <w:t>Open Value(1)</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1C8E" w:rsidRDefault="00023FE7">
            <w:pPr>
              <w:pStyle w:val="AppendixBodyText"/>
              <w:rPr>
                <w:rFonts w:ascii="Tahoma" w:hAnsi="Tahoma" w:cs="Tahoma"/>
              </w:rPr>
            </w:pPr>
            <w:r w:rsidRPr="000A1C8E">
              <w:rPr>
                <w:rFonts w:ascii="Tahoma" w:hAnsi="Tahoma" w:cs="Tahoma"/>
                <w:b/>
                <w:bCs/>
              </w:rPr>
              <w:t>Licença Select/</w:t>
            </w:r>
            <w:r w:rsidR="0006670A" w:rsidRPr="000A1C8E">
              <w:rPr>
                <w:rFonts w:ascii="Tahoma" w:hAnsi="Tahoma" w:cs="Tahoma"/>
                <w:b/>
                <w:bCs/>
              </w:rPr>
              <w:br/>
            </w:r>
            <w:r w:rsidRPr="000A1C8E">
              <w:rPr>
                <w:rFonts w:ascii="Tahoma" w:hAnsi="Tahoma" w:cs="Tahoma"/>
                <w:b/>
                <w:bCs/>
              </w:rPr>
              <w:t>Select Plus/</w:t>
            </w:r>
            <w:r w:rsidR="0006670A" w:rsidRPr="000A1C8E">
              <w:rPr>
                <w:rFonts w:ascii="Tahoma" w:hAnsi="Tahoma" w:cs="Tahoma"/>
                <w:b/>
                <w:bCs/>
              </w:rPr>
              <w:br/>
            </w:r>
            <w:r w:rsidRPr="000A1C8E">
              <w:rPr>
                <w:rFonts w:ascii="Tahoma" w:hAnsi="Tahoma" w:cs="Tahoma"/>
                <w:b/>
                <w:bCs/>
              </w:rPr>
              <w:t>Contrato Enterprise</w:t>
            </w:r>
          </w:p>
          <w:p w:rsidR="00023FE7" w:rsidRPr="000A1C8E" w:rsidRDefault="00023FE7">
            <w:pPr>
              <w:pStyle w:val="AppendixBodyText"/>
              <w:rPr>
                <w:rFonts w:ascii="Tahoma" w:hAnsi="Tahoma" w:cs="Tahoma"/>
                <w:b/>
                <w:bCs/>
              </w:rPr>
            </w:pPr>
            <w:r w:rsidRPr="000A1C8E">
              <w:rPr>
                <w:rFonts w:ascii="Tahoma" w:hAnsi="Tahoma" w:cs="Tahoma"/>
                <w:b/>
                <w:bCs/>
              </w:rPr>
              <w:t>Nível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1C8E" w:rsidRDefault="00023FE7">
            <w:pPr>
              <w:pStyle w:val="AppendixBodyText"/>
              <w:rPr>
                <w:rFonts w:ascii="Tahoma" w:hAnsi="Tahoma" w:cs="Tahoma"/>
              </w:rPr>
            </w:pPr>
            <w:r w:rsidRPr="000A1C8E">
              <w:rPr>
                <w:rFonts w:ascii="Tahoma" w:hAnsi="Tahoma" w:cs="Tahoma"/>
                <w:b/>
                <w:bCs/>
              </w:rPr>
              <w:t>Licença Select/</w:t>
            </w:r>
            <w:r w:rsidR="0006670A" w:rsidRPr="000A1C8E">
              <w:rPr>
                <w:rFonts w:ascii="Tahoma" w:hAnsi="Tahoma" w:cs="Tahoma"/>
                <w:b/>
                <w:bCs/>
              </w:rPr>
              <w:br/>
            </w:r>
            <w:r w:rsidRPr="000A1C8E">
              <w:rPr>
                <w:rFonts w:ascii="Tahoma" w:hAnsi="Tahoma" w:cs="Tahoma"/>
                <w:b/>
                <w:bCs/>
              </w:rPr>
              <w:t>Select Plus/</w:t>
            </w:r>
            <w:r w:rsidR="0006670A" w:rsidRPr="000A1C8E">
              <w:rPr>
                <w:rFonts w:ascii="Tahoma" w:hAnsi="Tahoma" w:cs="Tahoma"/>
                <w:b/>
                <w:bCs/>
              </w:rPr>
              <w:br/>
            </w:r>
            <w:r w:rsidRPr="000A1C8E">
              <w:rPr>
                <w:rFonts w:ascii="Tahoma" w:hAnsi="Tahoma" w:cs="Tahoma"/>
                <w:b/>
                <w:bCs/>
              </w:rPr>
              <w:t>Contrato Enterprise</w:t>
            </w:r>
          </w:p>
          <w:p w:rsidR="00023FE7" w:rsidRPr="000A1C8E" w:rsidRDefault="00023FE7">
            <w:pPr>
              <w:pStyle w:val="AppendixBodyText"/>
              <w:rPr>
                <w:rFonts w:ascii="Tahoma" w:hAnsi="Tahoma" w:cs="Tahoma"/>
                <w:b/>
                <w:bCs/>
              </w:rPr>
            </w:pPr>
            <w:r w:rsidRPr="000A1C8E">
              <w:rPr>
                <w:rFonts w:ascii="Tahoma" w:hAnsi="Tahoma" w:cs="Tahoma"/>
                <w:b/>
                <w:bCs/>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1C8E" w:rsidRDefault="00023FE7">
            <w:pPr>
              <w:pStyle w:val="AppendixBodyText"/>
              <w:rPr>
                <w:rFonts w:ascii="Tahoma" w:hAnsi="Tahoma" w:cs="Tahoma"/>
              </w:rPr>
            </w:pPr>
            <w:r w:rsidRPr="000A1C8E">
              <w:rPr>
                <w:rFonts w:ascii="Tahoma" w:hAnsi="Tahoma" w:cs="Tahoma"/>
                <w:b/>
                <w:bCs/>
              </w:rPr>
              <w:t>Licença Select/</w:t>
            </w:r>
            <w:r w:rsidR="0006670A" w:rsidRPr="000A1C8E">
              <w:rPr>
                <w:rFonts w:ascii="Tahoma" w:hAnsi="Tahoma" w:cs="Tahoma"/>
                <w:b/>
                <w:bCs/>
              </w:rPr>
              <w:br/>
            </w:r>
            <w:r w:rsidRPr="000A1C8E">
              <w:rPr>
                <w:rFonts w:ascii="Tahoma" w:hAnsi="Tahoma" w:cs="Tahoma"/>
                <w:b/>
                <w:bCs/>
              </w:rPr>
              <w:t>Select Plus/</w:t>
            </w:r>
            <w:r w:rsidR="0006670A" w:rsidRPr="000A1C8E">
              <w:rPr>
                <w:rFonts w:ascii="Tahoma" w:hAnsi="Tahoma" w:cs="Tahoma"/>
                <w:b/>
                <w:bCs/>
              </w:rPr>
              <w:br/>
            </w:r>
            <w:r w:rsidRPr="000A1C8E">
              <w:rPr>
                <w:rFonts w:ascii="Tahoma" w:hAnsi="Tahoma" w:cs="Tahoma"/>
                <w:b/>
                <w:bCs/>
              </w:rPr>
              <w:t>Contrato Enterprise</w:t>
            </w:r>
          </w:p>
          <w:p w:rsidR="00023FE7" w:rsidRPr="000A1C8E" w:rsidRDefault="00023FE7">
            <w:pPr>
              <w:pStyle w:val="AppendixBodyText"/>
              <w:rPr>
                <w:rFonts w:ascii="Tahoma" w:hAnsi="Tahoma" w:cs="Tahoma"/>
                <w:b/>
                <w:bCs/>
              </w:rPr>
            </w:pPr>
            <w:r w:rsidRPr="000A1C8E">
              <w:rPr>
                <w:rFonts w:ascii="Tahoma" w:hAnsi="Tahoma" w:cs="Tahoma"/>
                <w:b/>
                <w:bCs/>
              </w:rPr>
              <w:t>Nível C</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1C8E" w:rsidRDefault="00023FE7">
            <w:pPr>
              <w:pStyle w:val="AppendixBodyText"/>
              <w:rPr>
                <w:rFonts w:ascii="Tahoma" w:hAnsi="Tahoma" w:cs="Tahoma"/>
              </w:rPr>
            </w:pPr>
            <w:r w:rsidRPr="000A1C8E">
              <w:rPr>
                <w:rFonts w:ascii="Tahoma" w:hAnsi="Tahoma" w:cs="Tahoma"/>
                <w:b/>
                <w:bCs/>
              </w:rPr>
              <w:t>Licença Select/</w:t>
            </w:r>
            <w:r w:rsidR="0006670A" w:rsidRPr="000A1C8E">
              <w:rPr>
                <w:rFonts w:ascii="Tahoma" w:hAnsi="Tahoma" w:cs="Tahoma"/>
                <w:b/>
                <w:bCs/>
              </w:rPr>
              <w:br/>
            </w:r>
            <w:r w:rsidRPr="000A1C8E">
              <w:rPr>
                <w:rFonts w:ascii="Tahoma" w:hAnsi="Tahoma" w:cs="Tahoma"/>
                <w:b/>
                <w:bCs/>
              </w:rPr>
              <w:t>Select Plus/</w:t>
            </w:r>
            <w:r w:rsidR="0006670A" w:rsidRPr="000A1C8E">
              <w:rPr>
                <w:rFonts w:ascii="Tahoma" w:hAnsi="Tahoma" w:cs="Tahoma"/>
                <w:b/>
                <w:bCs/>
              </w:rPr>
              <w:br/>
            </w:r>
            <w:r w:rsidRPr="000A1C8E">
              <w:rPr>
                <w:rFonts w:ascii="Tahoma" w:hAnsi="Tahoma" w:cs="Tahoma"/>
                <w:b/>
                <w:bCs/>
              </w:rPr>
              <w:t>Contrato Enterprise</w:t>
            </w:r>
          </w:p>
          <w:p w:rsidR="00023FE7" w:rsidRPr="000A1C8E" w:rsidRDefault="00023FE7">
            <w:pPr>
              <w:pStyle w:val="AppendixBodyText"/>
              <w:rPr>
                <w:rFonts w:ascii="Tahoma" w:hAnsi="Tahoma" w:cs="Tahoma"/>
                <w:b/>
                <w:bCs/>
              </w:rPr>
            </w:pPr>
            <w:r w:rsidRPr="000A1C8E">
              <w:rPr>
                <w:rFonts w:ascii="Tahoma" w:hAnsi="Tahoma" w:cs="Tahoma"/>
                <w:b/>
                <w:bCs/>
              </w:rPr>
              <w:t>Nível D</w:t>
            </w:r>
          </w:p>
        </w:tc>
      </w:tr>
      <w:tr w:rsidR="00023FE7" w:rsidRPr="000A1C8E" w:rsidTr="0006670A">
        <w:trPr>
          <w:trHeight w:val="236"/>
        </w:trPr>
        <w:tc>
          <w:tcPr>
            <w:tcW w:w="21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Nº de Contatos de Suporte por Telefone para Resolução de Problemas</w:t>
            </w:r>
          </w:p>
        </w:tc>
        <w:tc>
          <w:tcPr>
            <w:tcW w:w="1080" w:type="dxa"/>
            <w:vAlign w:val="center"/>
          </w:tcPr>
          <w:p w:rsidR="00023FE7" w:rsidRPr="000A1C8E" w:rsidRDefault="00620185">
            <w:pPr>
              <w:pStyle w:val="AppendixBodyText"/>
              <w:rPr>
                <w:rFonts w:ascii="Tahoma" w:hAnsi="Tahoma" w:cs="Tahoma"/>
                <w:sz w:val="18"/>
                <w:szCs w:val="18"/>
              </w:rPr>
            </w:pPr>
            <w:r w:rsidRPr="000A1C8E">
              <w:rPr>
                <w:rFonts w:ascii="Tahoma" w:hAnsi="Tahoma" w:cs="Tahoma"/>
                <w:sz w:val="18"/>
                <w:szCs w:val="18"/>
              </w:rPr>
              <w:t>Conforme Necessário</w:t>
            </w:r>
          </w:p>
        </w:tc>
        <w:tc>
          <w:tcPr>
            <w:tcW w:w="12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Conforme Necessário</w:t>
            </w:r>
          </w:p>
        </w:tc>
        <w:tc>
          <w:tcPr>
            <w:tcW w:w="12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Conforme Necessário</w:t>
            </w:r>
          </w:p>
        </w:tc>
        <w:tc>
          <w:tcPr>
            <w:tcW w:w="12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Conforme Necessário</w:t>
            </w:r>
          </w:p>
        </w:tc>
        <w:tc>
          <w:tcPr>
            <w:tcW w:w="12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Conforme Necessário</w:t>
            </w:r>
          </w:p>
        </w:tc>
        <w:tc>
          <w:tcPr>
            <w:tcW w:w="1267"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Conforme Necessário</w:t>
            </w:r>
          </w:p>
        </w:tc>
      </w:tr>
      <w:tr w:rsidR="00023FE7" w:rsidRPr="000A1C8E" w:rsidTr="0006670A">
        <w:trPr>
          <w:trHeight w:val="236"/>
        </w:trPr>
        <w:tc>
          <w:tcPr>
            <w:tcW w:w="21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Nº de Contatos de Suporte pela Web Autorizados</w:t>
            </w:r>
          </w:p>
        </w:tc>
        <w:tc>
          <w:tcPr>
            <w:tcW w:w="108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N/D</w:t>
            </w:r>
          </w:p>
        </w:tc>
        <w:tc>
          <w:tcPr>
            <w:tcW w:w="12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1</w:t>
            </w:r>
          </w:p>
        </w:tc>
        <w:tc>
          <w:tcPr>
            <w:tcW w:w="12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2</w:t>
            </w:r>
          </w:p>
        </w:tc>
        <w:tc>
          <w:tcPr>
            <w:tcW w:w="12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4</w:t>
            </w:r>
          </w:p>
        </w:tc>
        <w:tc>
          <w:tcPr>
            <w:tcW w:w="1260"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8</w:t>
            </w:r>
          </w:p>
        </w:tc>
        <w:tc>
          <w:tcPr>
            <w:tcW w:w="1267" w:type="dxa"/>
            <w:vAlign w:val="cente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16</w:t>
            </w:r>
          </w:p>
        </w:tc>
      </w:tr>
    </w:tbl>
    <w:p w:rsidR="00023FE7" w:rsidRPr="000A1C8E" w:rsidRDefault="00023FE7" w:rsidP="00F42FB8">
      <w:pPr>
        <w:pStyle w:val="AppendixBodyText"/>
        <w:spacing w:after="0"/>
        <w:rPr>
          <w:rFonts w:ascii="Tahoma" w:hAnsi="Tahoma" w:cs="Tahoma"/>
        </w:rPr>
      </w:pPr>
    </w:p>
    <w:p w:rsidR="001C20C9" w:rsidRPr="000A1C8E" w:rsidRDefault="00023FE7" w:rsidP="00F93617">
      <w:pPr>
        <w:spacing w:after="60"/>
        <w:rPr>
          <w:rFonts w:cs="Tahoma"/>
        </w:rPr>
      </w:pPr>
      <w:bookmarkStart w:id="749" w:name="_Toc240899166"/>
      <w:r w:rsidRPr="000A1C8E">
        <w:rPr>
          <w:rFonts w:cs="Tahoma"/>
          <w:b/>
          <w:szCs w:val="20"/>
        </w:rPr>
        <w:t>Nível de Serviço para Clientes do Software Assurance</w:t>
      </w:r>
      <w:bookmarkEnd w:id="749"/>
    </w:p>
    <w:p w:rsidR="00023FE7" w:rsidRPr="000A1C8E" w:rsidRDefault="00023FE7" w:rsidP="00F42FB8">
      <w:pPr>
        <w:pStyle w:val="AppendixBodyText"/>
        <w:spacing w:after="0"/>
        <w:rPr>
          <w:rFonts w:ascii="Tahoma" w:hAnsi="Tahoma" w:cs="Tahoma"/>
        </w:rPr>
      </w:pPr>
    </w:p>
    <w:p w:rsidR="00023FE7" w:rsidRPr="000A1C8E" w:rsidRDefault="00023FE7" w:rsidP="00F93617">
      <w:pPr>
        <w:pStyle w:val="AppendixBodyText"/>
        <w:spacing w:after="0"/>
        <w:rPr>
          <w:rFonts w:ascii="Tahoma" w:hAnsi="Tahoma" w:cs="Tahoma"/>
        </w:rPr>
      </w:pPr>
      <w:r w:rsidRPr="000A1C8E">
        <w:rPr>
          <w:rFonts w:ascii="Tahoma" w:hAnsi="Tahoma" w:cs="Tahoma"/>
          <w:sz w:val="18"/>
          <w:szCs w:val="18"/>
        </w:rPr>
        <w:t xml:space="preserve">As solicitações de suporte podem ser realizadas por telefone ou eletronicamente por meio de contatos designados de um cliente, exceto para Severidade A e B, que devem ser solicitadas por telefone, conforme definido a seguir. </w:t>
      </w:r>
    </w:p>
    <w:p w:rsidR="00F42FB8" w:rsidRPr="000A1C8E" w:rsidRDefault="00F42FB8" w:rsidP="00F93617">
      <w:pPr>
        <w:pStyle w:val="AppendixBodyText"/>
        <w:spacing w:after="0"/>
        <w:rPr>
          <w:rFonts w:ascii="Tahoma" w:hAnsi="Tahoma" w:cs="Tahoma"/>
        </w:rPr>
      </w:pPr>
    </w:p>
    <w:p w:rsidR="00023FE7" w:rsidRPr="000A1C8E" w:rsidRDefault="00023FE7" w:rsidP="00F93617">
      <w:pPr>
        <w:pStyle w:val="AppendixBodyText"/>
        <w:spacing w:after="0"/>
        <w:rPr>
          <w:rFonts w:ascii="Tahoma" w:hAnsi="Tahoma" w:cs="Tahoma"/>
        </w:rPr>
      </w:pPr>
      <w:r w:rsidRPr="000A1C8E">
        <w:rPr>
          <w:rFonts w:ascii="Tahoma" w:hAnsi="Tahoma" w:cs="Tahoma"/>
          <w:sz w:val="18"/>
          <w:szCs w:val="18"/>
        </w:rPr>
        <w:t>Os clientes são responsáveis pela definição do nível inicial de severidade ao nos consultar e podem solicitar uma alteração no nível de severidade a qualquer momento.</w:t>
      </w:r>
      <w:r w:rsidR="00DC6D8B" w:rsidRPr="000A1C8E">
        <w:rPr>
          <w:rFonts w:ascii="Tahoma" w:hAnsi="Tahoma" w:cs="Tahoma"/>
          <w:sz w:val="18"/>
          <w:szCs w:val="18"/>
        </w:rPr>
        <w:t xml:space="preserve"> </w:t>
      </w:r>
      <w:r w:rsidRPr="000A1C8E">
        <w:rPr>
          <w:rFonts w:ascii="Tahoma" w:hAnsi="Tahoma" w:cs="Tahoma"/>
          <w:sz w:val="18"/>
          <w:szCs w:val="18"/>
        </w:rPr>
        <w:t>A severidade do incidente determinará os níveis de resposta na Microsoft e o tempo estimado de resposta. As responsabilidades dos clientes são definidas na tabela a seguir:</w:t>
      </w:r>
    </w:p>
    <w:p w:rsidR="00F42FB8" w:rsidRPr="000A1C8E" w:rsidRDefault="00F42FB8" w:rsidP="00F93617">
      <w:pPr>
        <w:pStyle w:val="AppendixBodyText"/>
        <w:spacing w:after="0"/>
        <w:rPr>
          <w:rFonts w:ascii="Tahoma" w:hAnsi="Tahoma" w:cs="Tahoma"/>
        </w:rPr>
      </w:pPr>
    </w:p>
    <w:p w:rsidR="00023FE7" w:rsidRPr="000A1C8E" w:rsidRDefault="00023FE7">
      <w:pPr>
        <w:pStyle w:val="AppendixBodyText"/>
        <w:rPr>
          <w:rFonts w:ascii="Tahoma" w:hAnsi="Tahoma" w:cs="Tahoma"/>
        </w:rPr>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412"/>
        <w:gridCol w:w="2808"/>
        <w:gridCol w:w="2880"/>
      </w:tblGrid>
      <w:tr w:rsidR="00023FE7" w:rsidRPr="000A1C8E" w:rsidTr="00F16337">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A1C8E" w:rsidRDefault="00023FE7">
            <w:pPr>
              <w:pStyle w:val="AppendixBodyText"/>
              <w:spacing w:after="0"/>
              <w:jc w:val="center"/>
              <w:rPr>
                <w:rFonts w:ascii="Tahoma" w:hAnsi="Tahoma" w:cs="Tahoma"/>
                <w:b/>
                <w:bCs/>
              </w:rPr>
            </w:pPr>
            <w:r w:rsidRPr="000A1C8E">
              <w:rPr>
                <w:rFonts w:ascii="Tahoma" w:hAnsi="Tahoma" w:cs="Tahoma"/>
                <w:b/>
                <w:bCs/>
              </w:rPr>
              <w:t>Severidade</w:t>
            </w:r>
          </w:p>
        </w:tc>
        <w:tc>
          <w:tcPr>
            <w:tcW w:w="241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A1C8E" w:rsidRDefault="00023FE7">
            <w:pPr>
              <w:pStyle w:val="AppendixBodyText"/>
              <w:spacing w:after="0"/>
              <w:jc w:val="center"/>
              <w:rPr>
                <w:rFonts w:ascii="Tahoma" w:hAnsi="Tahoma" w:cs="Tahoma"/>
                <w:b/>
                <w:bCs/>
              </w:rPr>
            </w:pPr>
            <w:r w:rsidRPr="000A1C8E">
              <w:rPr>
                <w:rFonts w:ascii="Tahoma" w:hAnsi="Tahoma" w:cs="Tahoma"/>
                <w:b/>
                <w:bCs/>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A1C8E" w:rsidRDefault="00023FE7">
            <w:pPr>
              <w:pStyle w:val="AppendixBodyText"/>
              <w:spacing w:after="0"/>
              <w:jc w:val="center"/>
              <w:rPr>
                <w:rFonts w:ascii="Tahoma" w:hAnsi="Tahoma" w:cs="Tahoma"/>
                <w:b/>
                <w:bCs/>
              </w:rPr>
            </w:pPr>
            <w:r w:rsidRPr="000A1C8E">
              <w:rPr>
                <w:rFonts w:ascii="Tahoma" w:hAnsi="Tahoma" w:cs="Tahoma"/>
                <w:b/>
                <w:bCs/>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A1C8E" w:rsidRDefault="00023FE7" w:rsidP="00F16337">
            <w:pPr>
              <w:pStyle w:val="AppendixBodyText"/>
              <w:spacing w:after="0"/>
              <w:jc w:val="center"/>
              <w:rPr>
                <w:rFonts w:ascii="Tahoma" w:hAnsi="Tahoma" w:cs="Tahoma"/>
                <w:b/>
                <w:bCs/>
              </w:rPr>
            </w:pPr>
            <w:r w:rsidRPr="000A1C8E">
              <w:rPr>
                <w:rFonts w:ascii="Tahoma" w:hAnsi="Tahoma" w:cs="Tahoma"/>
                <w:b/>
                <w:bCs/>
              </w:rPr>
              <w:t>Resposta Esperada do</w:t>
            </w:r>
            <w:r w:rsidR="00F16337" w:rsidRPr="000A1C8E">
              <w:rPr>
                <w:rFonts w:ascii="Tahoma" w:hAnsi="Tahoma" w:cs="Tahoma"/>
                <w:b/>
                <w:bCs/>
              </w:rPr>
              <w:t> </w:t>
            </w:r>
            <w:r w:rsidRPr="000A1C8E">
              <w:rPr>
                <w:rFonts w:ascii="Tahoma" w:hAnsi="Tahoma" w:cs="Tahoma"/>
                <w:b/>
                <w:bCs/>
              </w:rPr>
              <w:t>Cliente</w:t>
            </w:r>
          </w:p>
        </w:tc>
      </w:tr>
      <w:tr w:rsidR="00023FE7" w:rsidRPr="000A1C8E" w:rsidTr="00F1633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 xml:space="preserve">A Solicitação por telefone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clear" w:pos="1440"/>
                <w:tab w:val="num" w:pos="612"/>
              </w:tabs>
              <w:ind w:left="612"/>
              <w:rPr>
                <w:rFonts w:ascii="Tahoma" w:hAnsi="Tahoma" w:cs="Tahoma"/>
              </w:rPr>
            </w:pPr>
            <w:r w:rsidRPr="000A1C8E">
              <w:rPr>
                <w:rFonts w:ascii="Tahoma" w:hAnsi="Tahoma" w:cs="Tahoma"/>
                <w:sz w:val="18"/>
                <w:szCs w:val="18"/>
              </w:rPr>
              <w:t xml:space="preserve">Impacto crítico nos negócios: </w:t>
            </w:r>
          </w:p>
          <w:p w:rsidR="00023FE7" w:rsidRPr="000A1C8E" w:rsidRDefault="00023FE7" w:rsidP="0027028A">
            <w:pPr>
              <w:pStyle w:val="AppendixBodyText"/>
              <w:numPr>
                <w:ilvl w:val="0"/>
                <w:numId w:val="2"/>
              </w:numPr>
              <w:tabs>
                <w:tab w:val="clear" w:pos="1440"/>
                <w:tab w:val="num" w:pos="612"/>
              </w:tabs>
              <w:ind w:left="612"/>
              <w:rPr>
                <w:rFonts w:ascii="Tahoma" w:hAnsi="Tahoma" w:cs="Tahoma"/>
                <w:sz w:val="18"/>
                <w:szCs w:val="18"/>
              </w:rPr>
            </w:pPr>
            <w:r w:rsidRPr="000A1C8E">
              <w:rPr>
                <w:rFonts w:ascii="Tahoma" w:hAnsi="Tahoma" w:cs="Tahoma"/>
                <w:sz w:val="18"/>
                <w:szCs w:val="18"/>
              </w:rPr>
              <w:t>A empresa do cliente tem uma perda ou degradação significativa de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clear" w:pos="1440"/>
                <w:tab w:val="num" w:pos="522"/>
              </w:tabs>
              <w:ind w:left="522"/>
              <w:rPr>
                <w:rFonts w:ascii="Tahoma" w:hAnsi="Tahoma" w:cs="Tahoma"/>
              </w:rPr>
            </w:pPr>
            <w:r w:rsidRPr="000A1C8E">
              <w:rPr>
                <w:rFonts w:ascii="Tahoma" w:hAnsi="Tahoma" w:cs="Tahoma"/>
                <w:sz w:val="18"/>
                <w:szCs w:val="18"/>
              </w:rPr>
              <w:t>Resposta à 1</w:t>
            </w:r>
            <w:r w:rsidRPr="000A1C8E">
              <w:rPr>
                <w:rFonts w:ascii="Tahoma" w:hAnsi="Tahoma" w:cs="Tahoma"/>
                <w:sz w:val="18"/>
                <w:szCs w:val="18"/>
                <w:vertAlign w:val="superscript"/>
              </w:rPr>
              <w:t>a</w:t>
            </w:r>
            <w:r w:rsidRPr="000A1C8E">
              <w:rPr>
                <w:rFonts w:ascii="Tahoma" w:hAnsi="Tahoma" w:cs="Tahoma"/>
                <w:sz w:val="18"/>
                <w:szCs w:val="18"/>
              </w:rPr>
              <w:t xml:space="preserve"> chamada em 2 horas ou menos, com base na oferta de suporte</w:t>
            </w:r>
          </w:p>
          <w:p w:rsidR="00023FE7" w:rsidRPr="000A1C8E" w:rsidRDefault="00023FE7" w:rsidP="0027028A">
            <w:pPr>
              <w:pStyle w:val="AppendixBodyText"/>
              <w:numPr>
                <w:ilvl w:val="0"/>
                <w:numId w:val="2"/>
              </w:numPr>
              <w:tabs>
                <w:tab w:val="clear" w:pos="1440"/>
                <w:tab w:val="num" w:pos="522"/>
              </w:tabs>
              <w:ind w:left="522"/>
              <w:rPr>
                <w:rFonts w:ascii="Tahoma" w:hAnsi="Tahoma" w:cs="Tahoma"/>
              </w:rPr>
            </w:pPr>
            <w:r w:rsidRPr="000A1C8E">
              <w:rPr>
                <w:rFonts w:ascii="Tahoma" w:hAnsi="Tahoma" w:cs="Tahoma"/>
                <w:sz w:val="18"/>
                <w:szCs w:val="18"/>
              </w:rPr>
              <w:t>Recursos da Microsoft encaminhados ao local do cliente, conforme a necessidade</w:t>
            </w:r>
          </w:p>
          <w:p w:rsidR="00023FE7" w:rsidRPr="000A1C8E" w:rsidRDefault="00023FE7" w:rsidP="0027028A">
            <w:pPr>
              <w:pStyle w:val="AppendixBodyText"/>
              <w:numPr>
                <w:ilvl w:val="0"/>
                <w:numId w:val="2"/>
              </w:numPr>
              <w:tabs>
                <w:tab w:val="clear" w:pos="1440"/>
                <w:tab w:val="num" w:pos="522"/>
              </w:tabs>
              <w:ind w:left="522"/>
              <w:rPr>
                <w:rFonts w:ascii="Tahoma" w:hAnsi="Tahoma" w:cs="Tahoma"/>
              </w:rPr>
            </w:pPr>
            <w:r w:rsidRPr="000A1C8E">
              <w:rPr>
                <w:rFonts w:ascii="Tahoma" w:hAnsi="Tahoma" w:cs="Tahoma"/>
                <w:sz w:val="18"/>
                <w:szCs w:val="18"/>
              </w:rPr>
              <w:t>Esforço contínuo 24x7</w:t>
            </w:r>
          </w:p>
          <w:p w:rsidR="00023FE7" w:rsidRPr="000A1C8E" w:rsidRDefault="00023FE7" w:rsidP="0027028A">
            <w:pPr>
              <w:pStyle w:val="AppendixBodyText"/>
              <w:numPr>
                <w:ilvl w:val="0"/>
                <w:numId w:val="2"/>
              </w:numPr>
              <w:tabs>
                <w:tab w:val="clear" w:pos="1440"/>
                <w:tab w:val="num" w:pos="522"/>
              </w:tabs>
              <w:ind w:left="522"/>
              <w:rPr>
                <w:rFonts w:ascii="Tahoma" w:hAnsi="Tahoma" w:cs="Tahoma"/>
                <w:sz w:val="18"/>
                <w:szCs w:val="18"/>
              </w:rPr>
            </w:pPr>
            <w:r w:rsidRPr="000A1C8E">
              <w:rPr>
                <w:rFonts w:ascii="Tahoma" w:hAnsi="Tahoma" w:cs="Tahoma"/>
                <w:sz w:val="18"/>
                <w:szCs w:val="18"/>
              </w:rPr>
              <w:t>Notificação de Gerentes Sênior na Microsoft com base na oferta de 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clear" w:pos="1440"/>
              </w:tabs>
              <w:ind w:left="432"/>
              <w:rPr>
                <w:rFonts w:ascii="Tahoma" w:hAnsi="Tahoma" w:cs="Tahoma"/>
              </w:rPr>
            </w:pPr>
            <w:r w:rsidRPr="000A1C8E">
              <w:rPr>
                <w:rFonts w:ascii="Tahoma" w:hAnsi="Tahoma" w:cs="Tahoma"/>
                <w:sz w:val="18"/>
                <w:szCs w:val="18"/>
              </w:rPr>
              <w:t>Alocação de recursos adequados para manter os esforços contínuos em uma base 24x7</w:t>
            </w:r>
            <w:r w:rsidRPr="000A1C8E">
              <w:rPr>
                <w:rFonts w:ascii="Tahoma" w:hAnsi="Tahoma" w:cs="Tahoma"/>
                <w:sz w:val="18"/>
                <w:szCs w:val="18"/>
                <w:vertAlign w:val="superscript"/>
              </w:rPr>
              <w:t>2</w:t>
            </w:r>
          </w:p>
          <w:p w:rsidR="00023FE7" w:rsidRPr="000A1C8E" w:rsidRDefault="00023FE7" w:rsidP="0027028A">
            <w:pPr>
              <w:pStyle w:val="AppendixBodyText"/>
              <w:numPr>
                <w:ilvl w:val="0"/>
                <w:numId w:val="2"/>
              </w:numPr>
              <w:tabs>
                <w:tab w:val="clear" w:pos="1440"/>
              </w:tabs>
              <w:ind w:left="432"/>
              <w:rPr>
                <w:rFonts w:ascii="Tahoma" w:hAnsi="Tahoma" w:cs="Tahoma"/>
              </w:rPr>
            </w:pPr>
            <w:r w:rsidRPr="000A1C8E">
              <w:rPr>
                <w:rFonts w:ascii="Tahoma" w:hAnsi="Tahoma" w:cs="Tahoma"/>
                <w:sz w:val="18"/>
                <w:szCs w:val="18"/>
              </w:rPr>
              <w:t>Acesso e resposta rápidos da autoridade de controle de alterações</w:t>
            </w:r>
          </w:p>
          <w:p w:rsidR="00023FE7" w:rsidRPr="000A1C8E" w:rsidRDefault="00023FE7" w:rsidP="0027028A">
            <w:pPr>
              <w:pStyle w:val="AppendixBodyText"/>
              <w:numPr>
                <w:ilvl w:val="0"/>
                <w:numId w:val="2"/>
              </w:numPr>
              <w:tabs>
                <w:tab w:val="clear" w:pos="1440"/>
              </w:tabs>
              <w:ind w:left="432"/>
              <w:rPr>
                <w:rFonts w:ascii="Tahoma" w:hAnsi="Tahoma" w:cs="Tahoma"/>
                <w:sz w:val="18"/>
                <w:szCs w:val="18"/>
              </w:rPr>
            </w:pPr>
            <w:r w:rsidRPr="000A1C8E">
              <w:rPr>
                <w:rFonts w:ascii="Tahoma" w:hAnsi="Tahoma" w:cs="Tahoma"/>
                <w:sz w:val="18"/>
                <w:szCs w:val="18"/>
              </w:rPr>
              <w:t>Notificação à gerência</w:t>
            </w:r>
          </w:p>
        </w:tc>
      </w:tr>
      <w:tr w:rsidR="00023FE7" w:rsidRPr="000A1C8E" w:rsidTr="00F16337">
        <w:trPr>
          <w:cantSplit/>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lastRenderedPageBreak/>
              <w:t xml:space="preserve">B Solicitação por telefone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clear" w:pos="1440"/>
                <w:tab w:val="num" w:pos="612"/>
              </w:tabs>
              <w:ind w:left="612"/>
              <w:rPr>
                <w:rFonts w:ascii="Tahoma" w:hAnsi="Tahoma" w:cs="Tahoma"/>
              </w:rPr>
            </w:pPr>
            <w:r w:rsidRPr="000A1C8E">
              <w:rPr>
                <w:rFonts w:ascii="Tahoma" w:hAnsi="Tahoma" w:cs="Tahoma"/>
                <w:sz w:val="18"/>
                <w:szCs w:val="18"/>
              </w:rPr>
              <w:t xml:space="preserve">Impacto moderado nos negócios: </w:t>
            </w:r>
          </w:p>
          <w:p w:rsidR="00023FE7" w:rsidRPr="000A1C8E" w:rsidRDefault="00023FE7" w:rsidP="0027028A">
            <w:pPr>
              <w:pStyle w:val="AppendixBodyText"/>
              <w:numPr>
                <w:ilvl w:val="0"/>
                <w:numId w:val="2"/>
              </w:numPr>
              <w:tabs>
                <w:tab w:val="clear" w:pos="1440"/>
                <w:tab w:val="num" w:pos="612"/>
              </w:tabs>
              <w:ind w:left="612"/>
              <w:rPr>
                <w:rFonts w:ascii="Tahoma" w:hAnsi="Tahoma" w:cs="Tahoma"/>
                <w:sz w:val="18"/>
                <w:szCs w:val="18"/>
              </w:rPr>
            </w:pPr>
            <w:r w:rsidRPr="000A1C8E">
              <w:rPr>
                <w:rFonts w:ascii="Tahoma" w:hAnsi="Tahoma" w:cs="Tahoma"/>
                <w:sz w:val="18"/>
                <w:szCs w:val="18"/>
              </w:rPr>
              <w:t>A empresa do cliente tem uma perda ou degradação moderada dos serviços, mas o 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num" w:pos="522"/>
              </w:tabs>
              <w:ind w:left="522"/>
              <w:rPr>
                <w:rFonts w:ascii="Tahoma" w:hAnsi="Tahoma" w:cs="Tahoma"/>
              </w:rPr>
            </w:pPr>
            <w:r w:rsidRPr="000A1C8E">
              <w:rPr>
                <w:rFonts w:ascii="Tahoma" w:hAnsi="Tahoma" w:cs="Tahoma"/>
                <w:sz w:val="18"/>
                <w:szCs w:val="18"/>
              </w:rPr>
              <w:t>Resposta à 1</w:t>
            </w:r>
            <w:r w:rsidRPr="000A1C8E">
              <w:rPr>
                <w:rFonts w:ascii="Tahoma" w:hAnsi="Tahoma" w:cs="Tahoma"/>
                <w:sz w:val="18"/>
                <w:szCs w:val="18"/>
                <w:vertAlign w:val="superscript"/>
              </w:rPr>
              <w:t>a</w:t>
            </w:r>
            <w:r w:rsidRPr="000A1C8E">
              <w:rPr>
                <w:rFonts w:ascii="Tahoma" w:hAnsi="Tahoma" w:cs="Tahoma"/>
                <w:sz w:val="18"/>
                <w:szCs w:val="18"/>
              </w:rPr>
              <w:t xml:space="preserve"> chamada em 4 horas ou menos, com base na oferta de suporte</w:t>
            </w:r>
          </w:p>
          <w:p w:rsidR="00023FE7" w:rsidRPr="000A1C8E" w:rsidRDefault="00023FE7" w:rsidP="00F16337">
            <w:pPr>
              <w:pStyle w:val="AppendixBodyText"/>
              <w:numPr>
                <w:ilvl w:val="0"/>
                <w:numId w:val="2"/>
              </w:numPr>
              <w:tabs>
                <w:tab w:val="num" w:pos="522"/>
              </w:tabs>
              <w:ind w:left="522"/>
              <w:rPr>
                <w:rFonts w:ascii="Tahoma" w:hAnsi="Tahoma" w:cs="Tahoma"/>
              </w:rPr>
            </w:pPr>
            <w:r w:rsidRPr="000A1C8E">
              <w:rPr>
                <w:rFonts w:ascii="Tahoma" w:hAnsi="Tahoma" w:cs="Tahoma"/>
                <w:sz w:val="18"/>
                <w:szCs w:val="18"/>
              </w:rPr>
              <w:t xml:space="preserve">Esforço apenas durante </w:t>
            </w:r>
            <w:r w:rsidRPr="000A1C8E">
              <w:rPr>
                <w:rFonts w:ascii="Tahoma" w:hAnsi="Tahoma" w:cs="Tahoma"/>
                <w:bCs/>
                <w:sz w:val="18"/>
                <w:szCs w:val="18"/>
              </w:rPr>
              <w:t>o</w:t>
            </w:r>
            <w:r w:rsidR="00F16337" w:rsidRPr="000A1C8E">
              <w:rPr>
                <w:rFonts w:ascii="Tahoma" w:hAnsi="Tahoma" w:cs="Tahoma"/>
                <w:bCs/>
                <w:sz w:val="18"/>
                <w:szCs w:val="18"/>
              </w:rPr>
              <w:t> </w:t>
            </w:r>
            <w:r w:rsidRPr="000A1C8E">
              <w:rPr>
                <w:rFonts w:ascii="Tahoma" w:hAnsi="Tahoma" w:cs="Tahoma"/>
                <w:bCs/>
                <w:sz w:val="18"/>
                <w:szCs w:val="18"/>
              </w:rPr>
              <w:t>Horário Comercial</w:t>
            </w:r>
            <w:r w:rsidRPr="000A1C8E">
              <w:rPr>
                <w:rFonts w:ascii="Tahoma" w:hAnsi="Tahoma" w:cs="Tahoma"/>
                <w:sz w:val="18"/>
                <w:szCs w:val="18"/>
                <w:vertAlign w:val="superscript"/>
              </w:rPr>
              <w:t>1</w:t>
            </w:r>
            <w:r w:rsidRPr="000A1C8E">
              <w:rPr>
                <w:rFonts w:ascii="Tahoma" w:hAnsi="Tahoma" w:cs="Tahoma"/>
                <w:bCs/>
                <w:sz w:val="18"/>
                <w:szCs w:val="18"/>
              </w:rPr>
              <w:t xml:space="preserve"> </w:t>
            </w:r>
          </w:p>
          <w:p w:rsidR="00023FE7" w:rsidRPr="000A1C8E"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clear" w:pos="1440"/>
                <w:tab w:val="num" w:pos="432"/>
              </w:tabs>
              <w:ind w:left="432" w:hanging="270"/>
              <w:rPr>
                <w:rFonts w:ascii="Tahoma" w:hAnsi="Tahoma" w:cs="Tahoma"/>
              </w:rPr>
            </w:pPr>
            <w:r w:rsidRPr="000A1C8E">
              <w:rPr>
                <w:rFonts w:ascii="Tahoma" w:hAnsi="Tahoma" w:cs="Tahoma"/>
                <w:sz w:val="18"/>
                <w:szCs w:val="18"/>
              </w:rPr>
              <w:t>Alocação de recursos adequados para manter esforços contínuos no</w:t>
            </w:r>
            <w:r w:rsidR="00DC6D8B" w:rsidRPr="000A1C8E">
              <w:rPr>
                <w:rFonts w:ascii="Tahoma" w:hAnsi="Tahoma" w:cs="Tahoma"/>
                <w:sz w:val="18"/>
                <w:szCs w:val="18"/>
              </w:rPr>
              <w:t xml:space="preserve"> </w:t>
            </w:r>
            <w:r w:rsidRPr="000A1C8E">
              <w:rPr>
                <w:rFonts w:ascii="Tahoma" w:hAnsi="Tahoma" w:cs="Tahoma"/>
                <w:sz w:val="18"/>
                <w:szCs w:val="18"/>
              </w:rPr>
              <w:t>Horário Comercial</w:t>
            </w:r>
          </w:p>
          <w:p w:rsidR="00023FE7" w:rsidRPr="000A1C8E" w:rsidRDefault="00023FE7" w:rsidP="00EF5E27">
            <w:pPr>
              <w:pStyle w:val="AppendixBodyText"/>
              <w:numPr>
                <w:ilvl w:val="0"/>
                <w:numId w:val="2"/>
              </w:numPr>
              <w:tabs>
                <w:tab w:val="clear" w:pos="1440"/>
                <w:tab w:val="num" w:pos="432"/>
              </w:tabs>
              <w:ind w:left="432" w:hanging="270"/>
              <w:rPr>
                <w:rFonts w:ascii="Tahoma" w:hAnsi="Tahoma" w:cs="Tahoma"/>
                <w:sz w:val="18"/>
                <w:szCs w:val="18"/>
              </w:rPr>
            </w:pPr>
            <w:r w:rsidRPr="000A1C8E">
              <w:rPr>
                <w:rFonts w:ascii="Tahoma" w:hAnsi="Tahoma" w:cs="Tahoma"/>
                <w:sz w:val="18"/>
                <w:szCs w:val="18"/>
              </w:rPr>
              <w:t>Acesso e resposta da autoridade de controle de</w:t>
            </w:r>
            <w:r w:rsidR="00EF5E27">
              <w:rPr>
                <w:rFonts w:ascii="Tahoma" w:hAnsi="Tahoma" w:cs="Tahoma"/>
                <w:sz w:val="18"/>
                <w:szCs w:val="18"/>
              </w:rPr>
              <w:t> </w:t>
            </w:r>
            <w:r w:rsidRPr="000A1C8E">
              <w:rPr>
                <w:rFonts w:ascii="Tahoma" w:hAnsi="Tahoma" w:cs="Tahoma"/>
                <w:sz w:val="18"/>
                <w:szCs w:val="18"/>
              </w:rPr>
              <w:t>alterações dentro de 4</w:t>
            </w:r>
            <w:r w:rsidR="00EF5E27">
              <w:rPr>
                <w:rFonts w:ascii="Tahoma" w:hAnsi="Tahoma" w:cs="Tahoma"/>
                <w:sz w:val="18"/>
                <w:szCs w:val="18"/>
              </w:rPr>
              <w:t> </w:t>
            </w:r>
            <w:r w:rsidRPr="000A1C8E">
              <w:rPr>
                <w:rFonts w:ascii="Tahoma" w:hAnsi="Tahoma" w:cs="Tahoma"/>
                <w:sz w:val="18"/>
                <w:szCs w:val="18"/>
              </w:rPr>
              <w:t>Horas Comerciais</w:t>
            </w:r>
          </w:p>
        </w:tc>
      </w:tr>
      <w:tr w:rsidR="00023FE7" w:rsidRPr="000A1C8E" w:rsidTr="00F1633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A1C8E" w:rsidRDefault="00023FE7">
            <w:pPr>
              <w:pStyle w:val="AppendixBodyText"/>
              <w:rPr>
                <w:rFonts w:ascii="Tahoma" w:hAnsi="Tahoma" w:cs="Tahoma"/>
                <w:sz w:val="18"/>
                <w:szCs w:val="18"/>
              </w:rPr>
            </w:pPr>
            <w:r w:rsidRPr="000A1C8E">
              <w:rPr>
                <w:rFonts w:ascii="Tahoma" w:hAnsi="Tahoma" w:cs="Tahoma"/>
                <w:sz w:val="18"/>
                <w:szCs w:val="18"/>
              </w:rPr>
              <w:t>C Solicitação por telefone ou pela Web</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clear" w:pos="1440"/>
                <w:tab w:val="num" w:pos="612"/>
              </w:tabs>
              <w:ind w:left="612"/>
              <w:rPr>
                <w:rFonts w:ascii="Tahoma" w:hAnsi="Tahoma" w:cs="Tahoma"/>
              </w:rPr>
            </w:pPr>
            <w:r w:rsidRPr="000A1C8E">
              <w:rPr>
                <w:rFonts w:ascii="Tahoma" w:hAnsi="Tahoma" w:cs="Tahoma"/>
                <w:sz w:val="18"/>
                <w:szCs w:val="18"/>
              </w:rPr>
              <w:t xml:space="preserve">Impacto mínimo nos negócios: </w:t>
            </w:r>
          </w:p>
          <w:p w:rsidR="00023FE7" w:rsidRPr="000A1C8E" w:rsidRDefault="00023FE7" w:rsidP="0027028A">
            <w:pPr>
              <w:pStyle w:val="AppendixBodyText"/>
              <w:numPr>
                <w:ilvl w:val="0"/>
                <w:numId w:val="2"/>
              </w:numPr>
              <w:tabs>
                <w:tab w:val="clear" w:pos="1440"/>
                <w:tab w:val="num" w:pos="612"/>
              </w:tabs>
              <w:ind w:left="612"/>
              <w:rPr>
                <w:rFonts w:ascii="Tahoma" w:hAnsi="Tahoma" w:cs="Tahoma"/>
                <w:sz w:val="18"/>
                <w:szCs w:val="18"/>
              </w:rPr>
            </w:pPr>
            <w:r w:rsidRPr="000A1C8E">
              <w:rPr>
                <w:rFonts w:ascii="Tahoma" w:hAnsi="Tahoma" w:cs="Tahoma"/>
                <w:sz w:val="18"/>
                <w:szCs w:val="18"/>
              </w:rPr>
              <w:t>A empresa do cliente está funcionando de forma substancial, com poucos ou nenhum impedimento dos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num" w:pos="522"/>
              </w:tabs>
              <w:ind w:left="522"/>
              <w:rPr>
                <w:rFonts w:ascii="Tahoma" w:hAnsi="Tahoma" w:cs="Tahoma"/>
              </w:rPr>
            </w:pPr>
            <w:r w:rsidRPr="000A1C8E">
              <w:rPr>
                <w:rFonts w:ascii="Tahoma" w:hAnsi="Tahoma" w:cs="Tahoma"/>
                <w:sz w:val="18"/>
                <w:szCs w:val="18"/>
              </w:rPr>
              <w:t>1</w:t>
            </w:r>
            <w:r w:rsidRPr="000A1C8E">
              <w:rPr>
                <w:rFonts w:ascii="Tahoma" w:hAnsi="Tahoma" w:cs="Tahoma"/>
                <w:sz w:val="18"/>
                <w:szCs w:val="18"/>
                <w:vertAlign w:val="superscript"/>
              </w:rPr>
              <w:t>ª</w:t>
            </w:r>
            <w:r w:rsidRPr="000A1C8E">
              <w:rPr>
                <w:rFonts w:ascii="Tahoma" w:hAnsi="Tahoma" w:cs="Tahoma"/>
                <w:sz w:val="18"/>
                <w:szCs w:val="18"/>
              </w:rPr>
              <w:t xml:space="preserve"> resposta em 1 dia útil ou menos, com base na oferta de suporte</w:t>
            </w:r>
          </w:p>
          <w:p w:rsidR="00023FE7" w:rsidRPr="000A1C8E" w:rsidRDefault="00023FE7" w:rsidP="0027028A">
            <w:pPr>
              <w:pStyle w:val="AppendixBodyText"/>
              <w:numPr>
                <w:ilvl w:val="0"/>
                <w:numId w:val="2"/>
              </w:numPr>
              <w:tabs>
                <w:tab w:val="num" w:pos="522"/>
              </w:tabs>
              <w:ind w:left="522"/>
              <w:rPr>
                <w:rFonts w:ascii="Tahoma" w:hAnsi="Tahoma" w:cs="Tahoma"/>
              </w:rPr>
            </w:pPr>
            <w:r w:rsidRPr="000A1C8E">
              <w:rPr>
                <w:rFonts w:ascii="Tahoma" w:hAnsi="Tahoma" w:cs="Tahoma"/>
                <w:sz w:val="18"/>
                <w:szCs w:val="18"/>
              </w:rPr>
              <w:t>Esforço apenas durante</w:t>
            </w:r>
            <w:r w:rsidRPr="000A1C8E">
              <w:rPr>
                <w:rFonts w:ascii="Tahoma" w:hAnsi="Tahoma" w:cs="Tahoma"/>
                <w:bCs/>
                <w:sz w:val="18"/>
                <w:szCs w:val="18"/>
              </w:rPr>
              <w:t xml:space="preserve"> o Horário Comercial</w:t>
            </w:r>
          </w:p>
          <w:p w:rsidR="00023FE7" w:rsidRPr="000A1C8E"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0A1C8E" w:rsidRDefault="00023FE7" w:rsidP="0027028A">
            <w:pPr>
              <w:pStyle w:val="AppendixBodyText"/>
              <w:numPr>
                <w:ilvl w:val="0"/>
                <w:numId w:val="2"/>
              </w:numPr>
              <w:tabs>
                <w:tab w:val="clear" w:pos="1440"/>
                <w:tab w:val="num" w:pos="432"/>
              </w:tabs>
              <w:ind w:left="432"/>
              <w:rPr>
                <w:rFonts w:ascii="Tahoma" w:hAnsi="Tahoma" w:cs="Tahoma"/>
              </w:rPr>
            </w:pPr>
            <w:r w:rsidRPr="000A1C8E">
              <w:rPr>
                <w:rFonts w:ascii="Tahoma" w:hAnsi="Tahoma" w:cs="Tahoma"/>
                <w:sz w:val="18"/>
                <w:szCs w:val="18"/>
              </w:rPr>
              <w:t>Informações de contato precisas sobre o proprietário do caso</w:t>
            </w:r>
          </w:p>
          <w:p w:rsidR="00023FE7" w:rsidRPr="000A1C8E" w:rsidRDefault="00023FE7" w:rsidP="0027028A">
            <w:pPr>
              <w:pStyle w:val="AppendixBodyText"/>
              <w:numPr>
                <w:ilvl w:val="0"/>
                <w:numId w:val="2"/>
              </w:numPr>
              <w:tabs>
                <w:tab w:val="clear" w:pos="1440"/>
                <w:tab w:val="num" w:pos="432"/>
              </w:tabs>
              <w:ind w:left="432"/>
              <w:rPr>
                <w:rFonts w:ascii="Tahoma" w:hAnsi="Tahoma" w:cs="Tahoma"/>
                <w:sz w:val="18"/>
                <w:szCs w:val="18"/>
              </w:rPr>
            </w:pPr>
            <w:r w:rsidRPr="000A1C8E">
              <w:rPr>
                <w:rFonts w:ascii="Tahoma" w:hAnsi="Tahoma" w:cs="Tahoma"/>
                <w:sz w:val="18"/>
                <w:szCs w:val="18"/>
              </w:rPr>
              <w:t xml:space="preserve">Resposta dentro </w:t>
            </w:r>
            <w:r w:rsidR="00EF5E27">
              <w:rPr>
                <w:rFonts w:ascii="Tahoma" w:hAnsi="Tahoma" w:cs="Tahoma"/>
                <w:sz w:val="18"/>
                <w:szCs w:val="18"/>
              </w:rPr>
              <w:br/>
            </w:r>
            <w:r w:rsidRPr="000A1C8E">
              <w:rPr>
                <w:rFonts w:ascii="Tahoma" w:hAnsi="Tahoma" w:cs="Tahoma"/>
                <w:sz w:val="18"/>
                <w:szCs w:val="18"/>
              </w:rPr>
              <w:t>de 1 dia útil</w:t>
            </w:r>
          </w:p>
        </w:tc>
      </w:tr>
    </w:tbl>
    <w:p w:rsidR="00023FE7" w:rsidRPr="000A1C8E" w:rsidRDefault="00023FE7">
      <w:pPr>
        <w:pStyle w:val="AppendixBodyText"/>
        <w:ind w:left="90" w:right="2160"/>
        <w:rPr>
          <w:rFonts w:ascii="Tahoma" w:hAnsi="Tahoma" w:cs="Tahoma"/>
        </w:rPr>
      </w:pPr>
      <w:r w:rsidRPr="00EF5E27">
        <w:rPr>
          <w:rFonts w:ascii="Tahoma" w:hAnsi="Tahoma" w:cs="Tahoma"/>
          <w:i/>
          <w:sz w:val="16"/>
          <w:szCs w:val="16"/>
          <w:vertAlign w:val="superscript"/>
        </w:rPr>
        <w:t xml:space="preserve">1 </w:t>
      </w:r>
      <w:r w:rsidRPr="000A1C8E">
        <w:rPr>
          <w:rFonts w:ascii="Tahoma" w:hAnsi="Tahoma" w:cs="Tahoma"/>
          <w:i/>
          <w:sz w:val="16"/>
          <w:szCs w:val="16"/>
        </w:rPr>
        <w:t>Contate um representante da Microsoft para verificar o horário comercial local.</w:t>
      </w:r>
    </w:p>
    <w:p w:rsidR="00023FE7" w:rsidRPr="000A1C8E" w:rsidRDefault="00023FE7">
      <w:pPr>
        <w:pStyle w:val="AppendixBodyText"/>
        <w:ind w:left="90" w:right="2160"/>
        <w:rPr>
          <w:rFonts w:ascii="Tahoma" w:hAnsi="Tahoma" w:cs="Tahoma"/>
        </w:rPr>
      </w:pPr>
      <w:r w:rsidRPr="00EF5E27">
        <w:rPr>
          <w:rFonts w:ascii="Tahoma" w:hAnsi="Tahoma" w:cs="Tahoma"/>
          <w:i/>
          <w:sz w:val="16"/>
          <w:szCs w:val="16"/>
          <w:vertAlign w:val="superscript"/>
        </w:rPr>
        <w:t xml:space="preserve">2 </w:t>
      </w:r>
      <w:r w:rsidRPr="000A1C8E">
        <w:rPr>
          <w:rFonts w:ascii="Tahoma" w:hAnsi="Tahoma" w:cs="Tahoma"/>
          <w:i/>
          <w:sz w:val="16"/>
          <w:szCs w:val="16"/>
        </w:rPr>
        <w:t>Pode ser necessário reduzir o nível de severidade se o cliente não puder fornecer os recursos ou as respostas adequadas para darmos continuidade aos esforços de resolução do problema.</w:t>
      </w:r>
    </w:p>
    <w:p w:rsidR="00023FE7" w:rsidRPr="000A1C8E" w:rsidRDefault="00023FE7" w:rsidP="00F42FB8">
      <w:pPr>
        <w:pStyle w:val="AppendixBodyText"/>
        <w:spacing w:after="0"/>
        <w:ind w:right="2160"/>
        <w:rPr>
          <w:rFonts w:ascii="Tahoma" w:hAnsi="Tahoma" w:cs="Tahoma"/>
          <w:sz w:val="12"/>
          <w:szCs w:val="12"/>
        </w:rPr>
      </w:pPr>
    </w:p>
    <w:p w:rsidR="00023FE7" w:rsidRPr="000A1C8E" w:rsidRDefault="00023FE7" w:rsidP="00F42FB8">
      <w:pPr>
        <w:pStyle w:val="AppendixBodyText"/>
        <w:spacing w:after="0"/>
        <w:rPr>
          <w:rFonts w:ascii="Tahoma" w:hAnsi="Tahoma" w:cs="Tahoma"/>
          <w:spacing w:val="-2"/>
        </w:rPr>
      </w:pPr>
      <w:r w:rsidRPr="000A1C8E">
        <w:rPr>
          <w:rFonts w:ascii="Tahoma" w:hAnsi="Tahoma" w:cs="Tahoma"/>
          <w:bCs/>
          <w:spacing w:val="-2"/>
          <w:sz w:val="18"/>
          <w:szCs w:val="18"/>
        </w:rPr>
        <w:t>Os clientes podem ser solicitados a executar atividades de determinação e resolução do problema, conforme solicitado por nós.</w:t>
      </w:r>
      <w:r w:rsidR="00DC6D8B" w:rsidRPr="000A1C8E">
        <w:rPr>
          <w:rFonts w:ascii="Tahoma" w:hAnsi="Tahoma" w:cs="Tahoma"/>
          <w:bCs/>
          <w:spacing w:val="-2"/>
          <w:sz w:val="18"/>
          <w:szCs w:val="18"/>
        </w:rPr>
        <w:t xml:space="preserve"> </w:t>
      </w:r>
      <w:r w:rsidRPr="000A1C8E">
        <w:rPr>
          <w:rFonts w:ascii="Tahoma" w:hAnsi="Tahoma" w:cs="Tahoma"/>
          <w:bCs/>
          <w:spacing w:val="-2"/>
          <w:sz w:val="18"/>
          <w:szCs w:val="18"/>
        </w:rPr>
        <w:t xml:space="preserve">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 processos. </w:t>
      </w:r>
    </w:p>
    <w:p w:rsidR="00077CE5" w:rsidRPr="000A1C8E" w:rsidRDefault="00077CE5" w:rsidP="00F42FB8">
      <w:pPr>
        <w:pStyle w:val="AppendixBodyText"/>
        <w:spacing w:after="0"/>
        <w:rPr>
          <w:rFonts w:ascii="Tahoma" w:hAnsi="Tahoma" w:cs="Tahoma"/>
          <w:sz w:val="12"/>
          <w:szCs w:val="12"/>
        </w:rPr>
      </w:pPr>
    </w:p>
    <w:p w:rsidR="00023FE7" w:rsidRPr="000A1C8E" w:rsidRDefault="00023FE7" w:rsidP="00F42FB8">
      <w:pPr>
        <w:pStyle w:val="AppendixBodyText"/>
        <w:spacing w:after="0"/>
        <w:rPr>
          <w:rFonts w:ascii="Tahoma" w:hAnsi="Tahoma" w:cs="Tahoma"/>
        </w:rPr>
      </w:pPr>
      <w:r w:rsidRPr="000A1C8E">
        <w:rPr>
          <w:rFonts w:ascii="Tahoma" w:hAnsi="Tahoma" w:cs="Tahoma"/>
          <w:bCs/>
          <w:sz w:val="18"/>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rsidR="00077CE5" w:rsidRPr="000A1C8E" w:rsidRDefault="00077CE5" w:rsidP="00F42FB8">
      <w:pPr>
        <w:pStyle w:val="AppendixBodyText"/>
        <w:spacing w:after="0"/>
        <w:rPr>
          <w:rFonts w:ascii="Tahoma" w:hAnsi="Tahoma" w:cs="Tahoma"/>
          <w:sz w:val="12"/>
          <w:szCs w:val="12"/>
        </w:rPr>
      </w:pPr>
    </w:p>
    <w:p w:rsidR="00023FE7" w:rsidRPr="000A1C8E" w:rsidRDefault="00023FE7" w:rsidP="00583BF5">
      <w:pPr>
        <w:pStyle w:val="AppendixBodyText"/>
        <w:spacing w:after="0"/>
        <w:rPr>
          <w:rFonts w:ascii="Tahoma" w:hAnsi="Tahoma" w:cs="Tahoma"/>
        </w:rPr>
      </w:pPr>
      <w:r w:rsidRPr="000A1C8E">
        <w:rPr>
          <w:rFonts w:ascii="Tahoma" w:hAnsi="Tahoma" w:cs="Tahoma"/>
          <w:bCs/>
          <w:sz w:val="18"/>
          <w:szCs w:val="18"/>
        </w:rPr>
        <w:t>Esse benefício de suporte está vinculado ao investimento de SA, e não à versão. Os clientes podem adquirir a</w:t>
      </w:r>
      <w:r w:rsidR="00F16337" w:rsidRPr="000A1C8E">
        <w:rPr>
          <w:rFonts w:ascii="Tahoma" w:hAnsi="Tahoma" w:cs="Tahoma"/>
          <w:bCs/>
          <w:sz w:val="18"/>
          <w:szCs w:val="18"/>
        </w:rPr>
        <w:t> </w:t>
      </w:r>
      <w:r w:rsidRPr="000A1C8E">
        <w:rPr>
          <w:rFonts w:ascii="Tahoma" w:hAnsi="Tahoma" w:cs="Tahoma"/>
          <w:bCs/>
          <w:sz w:val="18"/>
          <w:szCs w:val="18"/>
        </w:rPr>
        <w:t>versão</w:t>
      </w:r>
      <w:r w:rsidR="00F16337" w:rsidRPr="000A1C8E">
        <w:rPr>
          <w:rFonts w:ascii="Tahoma" w:hAnsi="Tahoma" w:cs="Tahoma"/>
          <w:bCs/>
          <w:sz w:val="18"/>
          <w:szCs w:val="18"/>
        </w:rPr>
        <w:t> </w:t>
      </w:r>
      <w:r w:rsidRPr="000A1C8E">
        <w:rPr>
          <w:rFonts w:ascii="Tahoma" w:hAnsi="Tahoma" w:cs="Tahoma"/>
          <w:bCs/>
          <w:sz w:val="18"/>
          <w:szCs w:val="18"/>
        </w:rPr>
        <w:t>mais recente a fim de usar uma versão mais antiga com direitos de downgrade, mas estarão qualificados</w:t>
      </w:r>
      <w:r w:rsidR="00F16337" w:rsidRPr="000A1C8E">
        <w:rPr>
          <w:rFonts w:ascii="Tahoma" w:hAnsi="Tahoma" w:cs="Tahoma"/>
          <w:bCs/>
          <w:sz w:val="18"/>
          <w:szCs w:val="18"/>
        </w:rPr>
        <w:t> </w:t>
      </w:r>
      <w:r w:rsidRPr="000A1C8E">
        <w:rPr>
          <w:rFonts w:ascii="Tahoma" w:hAnsi="Tahoma" w:cs="Tahoma"/>
          <w:bCs/>
          <w:sz w:val="18"/>
          <w:szCs w:val="18"/>
        </w:rPr>
        <w:t>para o suporte a esse produto apenas se ele estiver listado como um produto com suporte no</w:t>
      </w:r>
      <w:r w:rsidR="00F16337" w:rsidRPr="000A1C8E">
        <w:rPr>
          <w:rFonts w:ascii="Tahoma" w:hAnsi="Tahoma" w:cs="Tahoma"/>
          <w:bCs/>
          <w:sz w:val="18"/>
          <w:szCs w:val="18"/>
        </w:rPr>
        <w:t> </w:t>
      </w:r>
      <w:r w:rsidRPr="000A1C8E">
        <w:rPr>
          <w:rFonts w:ascii="Tahoma" w:hAnsi="Tahoma" w:cs="Tahoma"/>
          <w:bCs/>
          <w:sz w:val="18"/>
          <w:szCs w:val="18"/>
        </w:rPr>
        <w:t>site</w:t>
      </w:r>
      <w:r w:rsidR="00F16337" w:rsidRPr="000A1C8E">
        <w:rPr>
          <w:rFonts w:ascii="Tahoma" w:hAnsi="Tahoma" w:cs="Tahoma"/>
          <w:bCs/>
          <w:sz w:val="18"/>
          <w:szCs w:val="18"/>
        </w:rPr>
        <w:t> </w:t>
      </w:r>
      <w:r w:rsidRPr="000A1C8E">
        <w:rPr>
          <w:rFonts w:ascii="Tahoma" w:hAnsi="Tahoma" w:cs="Tahoma"/>
          <w:bCs/>
          <w:sz w:val="18"/>
          <w:szCs w:val="18"/>
        </w:rPr>
        <w:t>de</w:t>
      </w:r>
      <w:r w:rsidR="00F16337" w:rsidRPr="000A1C8E">
        <w:rPr>
          <w:rFonts w:ascii="Tahoma" w:hAnsi="Tahoma" w:cs="Tahoma"/>
          <w:bCs/>
          <w:sz w:val="18"/>
          <w:szCs w:val="18"/>
        </w:rPr>
        <w:t> </w:t>
      </w:r>
      <w:r w:rsidRPr="000A1C8E">
        <w:rPr>
          <w:rFonts w:ascii="Tahoma" w:hAnsi="Tahoma" w:cs="Tahoma"/>
          <w:bCs/>
          <w:sz w:val="18"/>
          <w:szCs w:val="18"/>
        </w:rPr>
        <w:t>ciclo de vida de produtos da Microsoft.</w:t>
      </w:r>
      <w:r w:rsidR="00DC6D8B" w:rsidRPr="000A1C8E">
        <w:rPr>
          <w:rFonts w:ascii="Tahoma" w:hAnsi="Tahoma" w:cs="Tahoma"/>
          <w:bCs/>
          <w:sz w:val="18"/>
          <w:szCs w:val="18"/>
        </w:rPr>
        <w:t xml:space="preserve"> </w:t>
      </w:r>
      <w:r w:rsidRPr="000A1C8E">
        <w:rPr>
          <w:rFonts w:ascii="Tahoma" w:hAnsi="Tahoma" w:cs="Tahoma"/>
          <w:bCs/>
          <w:sz w:val="18"/>
          <w:szCs w:val="18"/>
        </w:rPr>
        <w:t>O site atual de ciclo de vida de produtos da Microsoft é</w:t>
      </w:r>
      <w:r w:rsidR="00583BF5" w:rsidRPr="000A1C8E">
        <w:rPr>
          <w:rFonts w:ascii="Tahoma" w:hAnsi="Tahoma" w:cs="Tahoma"/>
          <w:bCs/>
          <w:sz w:val="18"/>
          <w:szCs w:val="18"/>
        </w:rPr>
        <w:t> </w:t>
      </w:r>
      <w:r w:rsidRPr="000A1C8E">
        <w:rPr>
          <w:rFonts w:ascii="Tahoma" w:hAnsi="Tahoma" w:cs="Tahoma"/>
          <w:bCs/>
          <w:sz w:val="18"/>
          <w:szCs w:val="18"/>
        </w:rPr>
        <w:t>o</w:t>
      </w:r>
      <w:r w:rsidR="00F16337" w:rsidRPr="000A1C8E">
        <w:rPr>
          <w:rFonts w:ascii="Tahoma" w:hAnsi="Tahoma" w:cs="Tahoma"/>
          <w:bCs/>
          <w:sz w:val="18"/>
          <w:szCs w:val="18"/>
        </w:rPr>
        <w:t> </w:t>
      </w:r>
      <w:r w:rsidRPr="000A1C8E">
        <w:rPr>
          <w:rFonts w:ascii="Tahoma" w:hAnsi="Tahoma" w:cs="Tahoma"/>
          <w:bCs/>
          <w:sz w:val="18"/>
          <w:szCs w:val="18"/>
        </w:rPr>
        <w:t>seguinte</w:t>
      </w:r>
      <w:r w:rsidR="00F16337" w:rsidRPr="000A1C8E">
        <w:rPr>
          <w:rFonts w:ascii="Tahoma" w:hAnsi="Tahoma" w:cs="Tahoma"/>
          <w:bCs/>
          <w:sz w:val="18"/>
          <w:szCs w:val="18"/>
        </w:rPr>
        <w:t> </w:t>
      </w:r>
      <w:hyperlink r:id="rId26" w:history="1">
        <w:r w:rsidRPr="000A1C8E">
          <w:rPr>
            <w:rStyle w:val="Hyperlink"/>
            <w:rFonts w:ascii="Tahoma" w:hAnsi="Tahoma" w:cs="Tahoma"/>
            <w:bCs/>
            <w:sz w:val="18"/>
            <w:szCs w:val="18"/>
          </w:rPr>
          <w:t>http://support.microsoft.com/common/international.aspx?rdpath=dm;en-us;lifecycle</w:t>
        </w:r>
      </w:hyperlink>
      <w:r w:rsidRPr="000A1C8E">
        <w:rPr>
          <w:rFonts w:ascii="Tahoma" w:hAnsi="Tahoma" w:cs="Tahoma"/>
          <w:bCs/>
          <w:sz w:val="18"/>
          <w:szCs w:val="18"/>
        </w:rPr>
        <w:t xml:space="preserve">. </w:t>
      </w:r>
    </w:p>
    <w:p w:rsidR="00023FE7" w:rsidRPr="000A1C8E" w:rsidRDefault="00023FE7" w:rsidP="00F42FB8">
      <w:pPr>
        <w:pStyle w:val="AppendixBodyText"/>
        <w:spacing w:after="0"/>
        <w:rPr>
          <w:rFonts w:ascii="Tahoma" w:hAnsi="Tahoma" w:cs="Tahoma"/>
          <w:sz w:val="12"/>
          <w:szCs w:val="12"/>
        </w:rPr>
      </w:pPr>
    </w:p>
    <w:p w:rsidR="00077CE5" w:rsidRPr="000A1C8E" w:rsidRDefault="00AF539A" w:rsidP="00583BF5">
      <w:pPr>
        <w:pStyle w:val="AppendixBodyText"/>
        <w:spacing w:after="40"/>
        <w:rPr>
          <w:rFonts w:ascii="Tahoma" w:hAnsi="Tahoma" w:cs="Tahoma"/>
        </w:rPr>
      </w:pPr>
      <w:r w:rsidRPr="000A1C8E">
        <w:rPr>
          <w:rFonts w:ascii="Tahoma" w:hAnsi="Tahoma" w:cs="Tahoma"/>
          <w:b/>
          <w:bCs/>
          <w:color w:val="000000"/>
          <w:sz w:val="18"/>
          <w:szCs w:val="18"/>
        </w:rPr>
        <w:t>Conversão de Incidentes do Suporte para Resolução de Problemas 24x7 do Software Assurance em Serviços de Suporte Premier</w:t>
      </w:r>
    </w:p>
    <w:p w:rsidR="00077CE5" w:rsidRPr="000A1C8E" w:rsidRDefault="00AF539A" w:rsidP="00DA2788">
      <w:pPr>
        <w:pStyle w:val="AppendixBodyText"/>
        <w:spacing w:after="0"/>
        <w:rPr>
          <w:rFonts w:ascii="Tahoma" w:hAnsi="Tahoma" w:cs="Tahoma"/>
        </w:rPr>
      </w:pPr>
      <w:r w:rsidRPr="000A1C8E">
        <w:rPr>
          <w:rFonts w:ascii="Tahoma" w:hAnsi="Tahoma" w:cs="Tahoma"/>
          <w:color w:val="000000"/>
          <w:sz w:val="18"/>
          <w:szCs w:val="18"/>
        </w:rPr>
        <w:t>Os clientes podem optar por converter os Incidentes de Suporte para Resolução de Problemas 24x7 do Software Assurance (Incidentes de PRS do SA ou “SAB”) em:</w:t>
      </w:r>
    </w:p>
    <w:p w:rsidR="00077CE5" w:rsidRPr="000A1C8E" w:rsidRDefault="00077CE5" w:rsidP="00DA2788">
      <w:pPr>
        <w:pStyle w:val="AppendixBodyText"/>
        <w:spacing w:after="0"/>
        <w:rPr>
          <w:rFonts w:ascii="Tahoma" w:hAnsi="Tahoma" w:cs="Tahoma"/>
          <w:sz w:val="14"/>
          <w:szCs w:val="14"/>
        </w:rPr>
      </w:pPr>
    </w:p>
    <w:p w:rsidR="00AF539A" w:rsidRPr="000A1C8E" w:rsidRDefault="00AF539A" w:rsidP="00346F4B">
      <w:pPr>
        <w:pStyle w:val="AppendixBodyText"/>
        <w:numPr>
          <w:ilvl w:val="0"/>
          <w:numId w:val="28"/>
        </w:numPr>
        <w:tabs>
          <w:tab w:val="left" w:pos="1440"/>
        </w:tabs>
        <w:ind w:left="1440"/>
        <w:rPr>
          <w:rFonts w:ascii="Tahoma" w:hAnsi="Tahoma" w:cs="Tahoma"/>
        </w:rPr>
      </w:pPr>
      <w:r w:rsidRPr="000A1C8E">
        <w:rPr>
          <w:rFonts w:ascii="Tahoma" w:hAnsi="Tahoma" w:cs="Tahoma"/>
          <w:color w:val="000000"/>
          <w:sz w:val="18"/>
          <w:szCs w:val="18"/>
        </w:rPr>
        <w:t>Horas de Suporte para Resolução de Problemas (PRS) Premier</w:t>
      </w:r>
    </w:p>
    <w:p w:rsidR="00AF539A" w:rsidRPr="000A1C8E" w:rsidRDefault="00AF539A" w:rsidP="00346F4B">
      <w:pPr>
        <w:pStyle w:val="AppendixBodyText"/>
        <w:numPr>
          <w:ilvl w:val="0"/>
          <w:numId w:val="28"/>
        </w:numPr>
        <w:tabs>
          <w:tab w:val="left" w:pos="1440"/>
        </w:tabs>
        <w:ind w:left="1440"/>
        <w:rPr>
          <w:rFonts w:ascii="Tahoma" w:hAnsi="Tahoma" w:cs="Tahoma"/>
        </w:rPr>
      </w:pPr>
      <w:r w:rsidRPr="000A1C8E">
        <w:rPr>
          <w:rFonts w:ascii="Tahoma" w:hAnsi="Tahoma" w:cs="Tahoma"/>
          <w:color w:val="000000"/>
          <w:sz w:val="18"/>
          <w:szCs w:val="18"/>
        </w:rPr>
        <w:t>Horas de Engenheiro de Suporte Dedicado (DSE)</w:t>
      </w:r>
    </w:p>
    <w:p w:rsidR="00077CE5" w:rsidRPr="000A1C8E" w:rsidRDefault="00077CE5" w:rsidP="00DA2788">
      <w:pPr>
        <w:pStyle w:val="AppendixBodyText"/>
        <w:tabs>
          <w:tab w:val="left" w:pos="1440"/>
        </w:tabs>
        <w:spacing w:after="0"/>
        <w:rPr>
          <w:rFonts w:ascii="Tahoma" w:hAnsi="Tahoma" w:cs="Tahoma"/>
          <w:sz w:val="12"/>
          <w:szCs w:val="12"/>
        </w:rPr>
      </w:pPr>
    </w:p>
    <w:p w:rsidR="00AF539A" w:rsidRPr="000A1C8E" w:rsidRDefault="00AF539A" w:rsidP="00F42FB8">
      <w:pPr>
        <w:rPr>
          <w:rFonts w:cs="Tahoma"/>
        </w:rPr>
      </w:pPr>
      <w:r w:rsidRPr="000A1C8E">
        <w:rPr>
          <w:rFonts w:cs="Tahoma"/>
          <w:color w:val="000000"/>
          <w:szCs w:val="18"/>
        </w:rPr>
        <w:t>Esses serviços destinam-se ao uso consistente com seu plano de serviço Premier no momento da transferência. A conversão baseia-se em um cálculo da taxa local que será fornecido pela Equipe de Contas Premier.</w:t>
      </w:r>
      <w:r w:rsidR="00DC6D8B" w:rsidRPr="000A1C8E">
        <w:rPr>
          <w:rFonts w:cs="Tahoma"/>
          <w:color w:val="000000"/>
          <w:szCs w:val="18"/>
        </w:rPr>
        <w:t xml:space="preserve"> </w:t>
      </w:r>
      <w:r w:rsidRPr="000A1C8E">
        <w:rPr>
          <w:rFonts w:cs="Tahoma"/>
          <w:color w:val="000000"/>
          <w:szCs w:val="18"/>
        </w:rPr>
        <w:t>Os clientes podem ser solicitados a comprar horas adicionais de Gerenciamento de Conta de Suporte antes de fazer a conversão dos incidentes de PRS do SA.</w:t>
      </w:r>
      <w:r w:rsidR="00DC6D8B" w:rsidRPr="000A1C8E">
        <w:rPr>
          <w:rFonts w:cs="Tahoma"/>
          <w:color w:val="000000"/>
          <w:szCs w:val="18"/>
        </w:rPr>
        <w:t xml:space="preserve"> </w:t>
      </w:r>
      <w:r w:rsidRPr="000A1C8E">
        <w:rPr>
          <w:rFonts w:cs="Tahoma"/>
          <w:color w:val="000000"/>
          <w:szCs w:val="18"/>
        </w:rPr>
        <w:t>Os incidentes de PRS do SA que são convertidos em Premier são considerados como horas de Suporte para Resolução de Problemas Premier e estão sujeitos à Descrição dos Serviços Premier.</w:t>
      </w:r>
      <w:r w:rsidR="00DC6D8B" w:rsidRPr="000A1C8E">
        <w:rPr>
          <w:rFonts w:cs="Tahoma"/>
          <w:color w:val="000000"/>
          <w:szCs w:val="18"/>
        </w:rPr>
        <w:t xml:space="preserve"> </w:t>
      </w:r>
      <w:r w:rsidRPr="000A1C8E">
        <w:rPr>
          <w:rFonts w:cs="Tahoma"/>
          <w:color w:val="000000"/>
          <w:szCs w:val="18"/>
        </w:rPr>
        <w:t>Uma vez convertidos, os incidentes não podem ser retornados ao benefício de SA de um cliente.</w:t>
      </w:r>
    </w:p>
    <w:p w:rsidR="00077CE5" w:rsidRPr="000A1C8E" w:rsidRDefault="00077CE5" w:rsidP="00862623">
      <w:pPr>
        <w:pStyle w:val="AppendixBodyText"/>
        <w:keepNext/>
        <w:rPr>
          <w:rFonts w:ascii="Tahoma" w:hAnsi="Tahoma" w:cs="Tahoma"/>
        </w:rPr>
      </w:pPr>
      <w:r w:rsidRPr="000A1C8E">
        <w:rPr>
          <w:rFonts w:ascii="Tahoma" w:hAnsi="Tahoma" w:cs="Tahoma"/>
          <w:b/>
          <w:color w:val="000000"/>
          <w:sz w:val="18"/>
        </w:rPr>
        <w:lastRenderedPageBreak/>
        <w:t>Provisões empresariais adicionais</w:t>
      </w:r>
    </w:p>
    <w:p w:rsidR="00023FE7" w:rsidRPr="000A1C8E" w:rsidRDefault="00023FE7" w:rsidP="00F42FB8">
      <w:pPr>
        <w:pStyle w:val="AppendixBodyText"/>
        <w:spacing w:after="0"/>
        <w:rPr>
          <w:rFonts w:ascii="Tahoma" w:hAnsi="Tahoma" w:cs="Tahoma"/>
        </w:rPr>
      </w:pPr>
      <w:r w:rsidRPr="000A1C8E">
        <w:rPr>
          <w:rFonts w:ascii="Tahoma" w:hAnsi="Tahoma" w:cs="Tahoma"/>
          <w:sz w:val="18"/>
          <w:szCs w:val="18"/>
        </w:rPr>
        <w:t>Os gastos de SA não devem ser combinados entre os registros Select ou Enterprise, os registros Select Plus ou os Contratos Open Value a fim de obter qualificação para prêmios adicionais.</w:t>
      </w:r>
      <w:r w:rsidR="00DC6D8B" w:rsidRPr="000A1C8E">
        <w:rPr>
          <w:rFonts w:ascii="Tahoma" w:hAnsi="Tahoma" w:cs="Tahoma"/>
          <w:sz w:val="18"/>
          <w:szCs w:val="18"/>
        </w:rPr>
        <w:t xml:space="preserve"> </w:t>
      </w:r>
      <w:r w:rsidRPr="000A1C8E">
        <w:rPr>
          <w:rFonts w:ascii="Tahoma" w:hAnsi="Tahoma" w:cs="Tahoma"/>
          <w:sz w:val="18"/>
          <w:szCs w:val="18"/>
        </w:rPr>
        <w:t>Os gastos de cada registro ou contrato serão usados para determinar o prêmio do próprio registro ou contrato.</w:t>
      </w:r>
    </w:p>
    <w:p w:rsidR="00077CE5" w:rsidRPr="000A1C8E" w:rsidRDefault="00077CE5" w:rsidP="00F42FB8">
      <w:pPr>
        <w:pStyle w:val="AppendixBodyText"/>
        <w:spacing w:after="0"/>
        <w:rPr>
          <w:rFonts w:ascii="Tahoma" w:hAnsi="Tahoma" w:cs="Tahoma"/>
        </w:rPr>
      </w:pPr>
    </w:p>
    <w:p w:rsidR="00023FE7" w:rsidRPr="000A1C8E" w:rsidRDefault="00023FE7" w:rsidP="00F42FB8">
      <w:pPr>
        <w:pStyle w:val="AppendixBodyText"/>
        <w:tabs>
          <w:tab w:val="left" w:pos="1440"/>
        </w:tabs>
        <w:spacing w:after="0"/>
        <w:rPr>
          <w:rFonts w:ascii="Tahoma" w:hAnsi="Tahoma" w:cs="Tahoma"/>
        </w:rPr>
      </w:pPr>
      <w:r w:rsidRPr="000A1C8E">
        <w:rPr>
          <w:rFonts w:ascii="Tahoma" w:hAnsi="Tahoma" w:cs="Tahoma"/>
          <w:sz w:val="18"/>
          <w:szCs w:val="18"/>
        </w:rPr>
        <w:t>A redução d</w:t>
      </w:r>
      <w:r w:rsidRPr="000A1C8E">
        <w:rPr>
          <w:rFonts w:ascii="Tahoma" w:hAnsi="Tahoma" w:cs="Tahoma"/>
          <w:bCs/>
          <w:sz w:val="18"/>
          <w:szCs w:val="18"/>
        </w:rPr>
        <w:t>e</w:t>
      </w:r>
      <w:r w:rsidRPr="000A1C8E">
        <w:rPr>
          <w:rFonts w:ascii="Tahoma" w:hAnsi="Tahoma" w:cs="Tahoma"/>
          <w:sz w:val="18"/>
          <w:szCs w:val="18"/>
        </w:rPr>
        <w:t xml:space="preserve"> Gastos de SA em decorrência de devoluções e outros ajustes de cobrança</w:t>
      </w:r>
      <w:r w:rsidRPr="000A1C8E">
        <w:rPr>
          <w:rFonts w:ascii="Tahoma" w:hAnsi="Tahoma" w:cs="Tahoma"/>
          <w:bCs/>
          <w:sz w:val="18"/>
          <w:szCs w:val="18"/>
        </w:rPr>
        <w:t>,</w:t>
      </w:r>
      <w:r w:rsidRPr="000A1C8E">
        <w:rPr>
          <w:rFonts w:ascii="Tahoma" w:hAnsi="Tahoma" w:cs="Tahoma"/>
          <w:sz w:val="18"/>
          <w:szCs w:val="18"/>
        </w:rPr>
        <w:t xml:space="preserve"> quando permitido, </w:t>
      </w:r>
      <w:r w:rsidRPr="000A1C8E">
        <w:rPr>
          <w:rFonts w:ascii="Tahoma" w:hAnsi="Tahoma" w:cs="Tahoma"/>
          <w:bCs/>
          <w:sz w:val="18"/>
          <w:szCs w:val="18"/>
        </w:rPr>
        <w:t>pode</w:t>
      </w:r>
      <w:r w:rsidRPr="000A1C8E">
        <w:rPr>
          <w:rFonts w:ascii="Tahoma" w:hAnsi="Tahoma" w:cs="Tahoma"/>
          <w:sz w:val="18"/>
          <w:szCs w:val="18"/>
        </w:rPr>
        <w:t xml:space="preserve"> resultar na perda de qualificação de Suporte ou de prêmios de incidentes por Telefone durante os períodos de premiação atuais ou futuros. </w:t>
      </w:r>
    </w:p>
    <w:p w:rsidR="0036654E" w:rsidRPr="000A1C8E" w:rsidRDefault="0036654E" w:rsidP="00F42FB8">
      <w:pPr>
        <w:pStyle w:val="Heading3"/>
        <w:rPr>
          <w:rFonts w:ascii="Tahoma" w:hAnsi="Tahoma" w:cs="Tahoma"/>
        </w:rPr>
      </w:pPr>
    </w:p>
    <w:p w:rsidR="00613BBB" w:rsidRPr="000A1C8E" w:rsidRDefault="00613BBB" w:rsidP="00F0652C">
      <w:pPr>
        <w:pStyle w:val="Heading3"/>
        <w:spacing w:after="60"/>
        <w:rPr>
          <w:rFonts w:ascii="Tahoma" w:hAnsi="Tahoma" w:cs="Tahoma"/>
        </w:rPr>
      </w:pPr>
      <w:bookmarkStart w:id="750" w:name="_Toc336338237"/>
      <w:bookmarkStart w:id="751" w:name="_Toc361829321"/>
      <w:r w:rsidRPr="000A1C8E">
        <w:rPr>
          <w:rFonts w:ascii="Tahoma" w:hAnsi="Tahoma" w:cs="Tahoma"/>
          <w:sz w:val="18"/>
        </w:rPr>
        <w:t>Suporte para Resolução de Problemas 24x7 Ilimitado</w:t>
      </w:r>
      <w:bookmarkEnd w:id="750"/>
      <w:bookmarkEnd w:id="751"/>
    </w:p>
    <w:p w:rsidR="00A17E03" w:rsidRPr="000A1C8E" w:rsidRDefault="00A17E03" w:rsidP="00F42FB8">
      <w:pPr>
        <w:jc w:val="both"/>
        <w:rPr>
          <w:rFonts w:cs="Tahoma"/>
        </w:rPr>
      </w:pPr>
      <w:r w:rsidRPr="000A1C8E">
        <w:rPr>
          <w:rFonts w:cs="Tahoma"/>
          <w:szCs w:val="18"/>
        </w:rPr>
        <w:t>Este benefício está disponível somente por meio (1) do Enrollment for Application Platform (EAP) para um Contrato Enterprise e/ou (2) com a compra de licenças do Parallel Data Warehouse (PDW) por meio do EA, EAP, Select Plus ou Select.</w:t>
      </w:r>
    </w:p>
    <w:p w:rsidR="00A17E03" w:rsidRPr="000A1C8E" w:rsidRDefault="00A17E03" w:rsidP="00F42FB8">
      <w:pPr>
        <w:jc w:val="both"/>
        <w:rPr>
          <w:rFonts w:cs="Tahoma"/>
        </w:rPr>
      </w:pPr>
    </w:p>
    <w:p w:rsidR="00894563" w:rsidRPr="000A1C8E" w:rsidRDefault="00A17E03" w:rsidP="00DA2788">
      <w:pPr>
        <w:spacing w:line="276" w:lineRule="auto"/>
        <w:jc w:val="both"/>
        <w:rPr>
          <w:rFonts w:cs="Tahoma"/>
        </w:rPr>
      </w:pPr>
      <w:r w:rsidRPr="000A1C8E">
        <w:rPr>
          <w:rFonts w:eastAsia="Calibri" w:cs="Tahoma"/>
          <w:szCs w:val="18"/>
        </w:rPr>
        <w:t>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 dias por semana Ilimitado. O</w:t>
      </w:r>
      <w:r w:rsidRPr="000A1C8E">
        <w:rPr>
          <w:rFonts w:cs="Tahoma"/>
          <w:szCs w:val="18"/>
        </w:rPr>
        <w:t xml:space="preserve">s produtos listados abaixo, que estão atualmente no Suporte Base ou Estendido, conforme estabelecido na </w:t>
      </w:r>
      <w:hyperlink r:id="rId27" w:history="1">
        <w:r w:rsidRPr="000A1C8E">
          <w:rPr>
            <w:rStyle w:val="Hyperlink"/>
            <w:rFonts w:cs="Tahoma"/>
            <w:szCs w:val="18"/>
          </w:rPr>
          <w:t>Política de Ciclo de Vida de Suporte da Microsoft</w:t>
        </w:r>
      </w:hyperlink>
      <w:r w:rsidRPr="000A1C8E">
        <w:rPr>
          <w:rFonts w:cs="Tahoma"/>
          <w:color w:val="000000"/>
          <w:szCs w:val="18"/>
        </w:rPr>
        <w:t>, alinhados com um contrato Premier do cliente, estão incluídos neste benefício.</w:t>
      </w:r>
    </w:p>
    <w:p w:rsidR="00077CE5" w:rsidRPr="000A1C8E" w:rsidRDefault="00077CE5" w:rsidP="00DA2788">
      <w:pPr>
        <w:spacing w:line="276" w:lineRule="auto"/>
        <w:jc w:val="both"/>
        <w:rPr>
          <w:rFonts w:cs="Tahoma"/>
        </w:rPr>
      </w:pPr>
    </w:p>
    <w:p w:rsidR="00A17E03" w:rsidRPr="000A1C8E" w:rsidRDefault="00A17E03" w:rsidP="00F42FB8">
      <w:pPr>
        <w:spacing w:line="276" w:lineRule="auto"/>
        <w:jc w:val="both"/>
        <w:rPr>
          <w:rFonts w:cs="Tahoma"/>
        </w:rPr>
      </w:pPr>
      <w:r w:rsidRPr="000A1C8E">
        <w:rPr>
          <w:rFonts w:eastAsia="Calibri" w:cs="Tahoma"/>
          <w:szCs w:val="18"/>
        </w:rPr>
        <w:t>Os produtos de Plataforma de Aplicativos qualificados são os seguintes:</w:t>
      </w:r>
    </w:p>
    <w:p w:rsidR="00613BBB" w:rsidRPr="000A1C8E" w:rsidRDefault="00613BBB" w:rsidP="00077CE5">
      <w:pPr>
        <w:rPr>
          <w:rFonts w:cs="Tahoma"/>
        </w:rPr>
      </w:pPr>
    </w:p>
    <w:p w:rsidR="00613BBB" w:rsidRPr="000A1C8E" w:rsidRDefault="00613BBB" w:rsidP="00346F4B">
      <w:pPr>
        <w:numPr>
          <w:ilvl w:val="0"/>
          <w:numId w:val="73"/>
        </w:numPr>
        <w:spacing w:after="60"/>
        <w:rPr>
          <w:rFonts w:cs="Tahoma"/>
        </w:rPr>
      </w:pPr>
      <w:r w:rsidRPr="000A1C8E">
        <w:rPr>
          <w:rFonts w:cs="Tahoma"/>
          <w:szCs w:val="18"/>
        </w:rPr>
        <w:t>CAL do SQL</w:t>
      </w:r>
    </w:p>
    <w:p w:rsidR="00613BBB" w:rsidRPr="000A1C8E" w:rsidRDefault="00613BBB" w:rsidP="00346F4B">
      <w:pPr>
        <w:numPr>
          <w:ilvl w:val="0"/>
          <w:numId w:val="73"/>
        </w:numPr>
        <w:spacing w:after="60"/>
        <w:rPr>
          <w:rFonts w:cs="Tahoma"/>
        </w:rPr>
      </w:pPr>
      <w:r w:rsidRPr="000A1C8E">
        <w:rPr>
          <w:rFonts w:cs="Tahoma"/>
          <w:szCs w:val="18"/>
        </w:rPr>
        <w:t>SQL Server Standard</w:t>
      </w:r>
    </w:p>
    <w:p w:rsidR="00613BBB" w:rsidRPr="000A1C8E" w:rsidRDefault="00613BBB" w:rsidP="00346F4B">
      <w:pPr>
        <w:numPr>
          <w:ilvl w:val="0"/>
          <w:numId w:val="73"/>
        </w:numPr>
        <w:spacing w:after="60"/>
        <w:rPr>
          <w:rFonts w:cs="Tahoma"/>
        </w:rPr>
      </w:pPr>
      <w:r w:rsidRPr="000A1C8E">
        <w:rPr>
          <w:rFonts w:cs="Tahoma"/>
          <w:szCs w:val="18"/>
        </w:rPr>
        <w:t>SQL Server Standard por Núcleo/Processador</w:t>
      </w:r>
    </w:p>
    <w:p w:rsidR="00613BBB" w:rsidRPr="000A1C8E" w:rsidRDefault="00613BBB" w:rsidP="00346F4B">
      <w:pPr>
        <w:numPr>
          <w:ilvl w:val="0"/>
          <w:numId w:val="73"/>
        </w:numPr>
        <w:spacing w:after="60"/>
        <w:rPr>
          <w:rFonts w:cs="Tahoma"/>
        </w:rPr>
      </w:pPr>
      <w:r w:rsidRPr="000A1C8E">
        <w:rPr>
          <w:rFonts w:cs="Tahoma"/>
          <w:szCs w:val="18"/>
        </w:rPr>
        <w:t>SQL Server Enterprise</w:t>
      </w:r>
    </w:p>
    <w:p w:rsidR="00613BBB" w:rsidRPr="000A1C8E" w:rsidRDefault="00613BBB" w:rsidP="00346F4B">
      <w:pPr>
        <w:numPr>
          <w:ilvl w:val="0"/>
          <w:numId w:val="73"/>
        </w:numPr>
        <w:spacing w:after="60"/>
        <w:rPr>
          <w:rFonts w:cs="Tahoma"/>
        </w:rPr>
      </w:pPr>
      <w:r w:rsidRPr="000A1C8E">
        <w:rPr>
          <w:rFonts w:cs="Tahoma"/>
          <w:szCs w:val="18"/>
        </w:rPr>
        <w:t>SQL Server Enterprise por Núcleo/Processador</w:t>
      </w:r>
    </w:p>
    <w:p w:rsidR="00894563" w:rsidRPr="000A1C8E" w:rsidRDefault="00894563" w:rsidP="00346F4B">
      <w:pPr>
        <w:numPr>
          <w:ilvl w:val="0"/>
          <w:numId w:val="73"/>
        </w:numPr>
        <w:spacing w:after="60"/>
        <w:rPr>
          <w:rFonts w:cs="Tahoma"/>
        </w:rPr>
      </w:pPr>
      <w:r w:rsidRPr="000A1C8E">
        <w:rPr>
          <w:rFonts w:cs="Tahoma"/>
          <w:szCs w:val="18"/>
        </w:rPr>
        <w:t>SQL Server Business Intelligence</w:t>
      </w:r>
    </w:p>
    <w:p w:rsidR="00EB42F3" w:rsidRPr="000A1C8E" w:rsidRDefault="00EB42F3" w:rsidP="00346F4B">
      <w:pPr>
        <w:numPr>
          <w:ilvl w:val="0"/>
          <w:numId w:val="73"/>
        </w:numPr>
        <w:spacing w:after="60"/>
        <w:rPr>
          <w:rFonts w:cs="Tahoma"/>
        </w:rPr>
      </w:pPr>
      <w:r w:rsidRPr="000A1C8E">
        <w:rPr>
          <w:rFonts w:cs="Tahoma"/>
          <w:szCs w:val="18"/>
        </w:rPr>
        <w:t>SQL Server Datacenter por Processador</w:t>
      </w:r>
    </w:p>
    <w:p w:rsidR="00613BBB" w:rsidRPr="000A1C8E" w:rsidRDefault="00613BBB" w:rsidP="00346F4B">
      <w:pPr>
        <w:numPr>
          <w:ilvl w:val="0"/>
          <w:numId w:val="73"/>
        </w:numPr>
        <w:spacing w:after="60"/>
        <w:rPr>
          <w:rFonts w:cs="Tahoma"/>
        </w:rPr>
      </w:pPr>
      <w:r w:rsidRPr="000A1C8E">
        <w:rPr>
          <w:rFonts w:cs="Tahoma"/>
          <w:szCs w:val="18"/>
        </w:rPr>
        <w:t>BizTalk Server Standard por Processador</w:t>
      </w:r>
    </w:p>
    <w:p w:rsidR="00613BBB" w:rsidRPr="000A1C8E" w:rsidRDefault="00613BBB" w:rsidP="00346F4B">
      <w:pPr>
        <w:numPr>
          <w:ilvl w:val="0"/>
          <w:numId w:val="73"/>
        </w:numPr>
        <w:spacing w:after="60"/>
        <w:rPr>
          <w:rFonts w:cs="Tahoma"/>
        </w:rPr>
      </w:pPr>
      <w:r w:rsidRPr="000A1C8E">
        <w:rPr>
          <w:rFonts w:cs="Tahoma"/>
          <w:szCs w:val="18"/>
        </w:rPr>
        <w:t>BizTalk Server Enterprise por Processador</w:t>
      </w:r>
    </w:p>
    <w:p w:rsidR="00613BBB" w:rsidRPr="000A1C8E" w:rsidRDefault="00613BBB" w:rsidP="00346F4B">
      <w:pPr>
        <w:numPr>
          <w:ilvl w:val="0"/>
          <w:numId w:val="73"/>
        </w:numPr>
        <w:spacing w:after="60"/>
        <w:rPr>
          <w:rFonts w:cs="Tahoma"/>
        </w:rPr>
      </w:pPr>
      <w:r w:rsidRPr="000A1C8E">
        <w:rPr>
          <w:rFonts w:cs="Tahoma"/>
          <w:szCs w:val="18"/>
        </w:rPr>
        <w:t>BizTalk Server Branch por Processador</w:t>
      </w:r>
    </w:p>
    <w:p w:rsidR="00613BBB" w:rsidRPr="000A1C8E" w:rsidRDefault="00613BBB" w:rsidP="00346F4B">
      <w:pPr>
        <w:numPr>
          <w:ilvl w:val="0"/>
          <w:numId w:val="73"/>
        </w:numPr>
        <w:spacing w:after="60"/>
        <w:rPr>
          <w:rFonts w:cs="Tahoma"/>
        </w:rPr>
      </w:pPr>
      <w:r w:rsidRPr="000A1C8E">
        <w:rPr>
          <w:rFonts w:cs="Tahoma"/>
          <w:szCs w:val="18"/>
        </w:rPr>
        <w:t>Office SharePoint Server</w:t>
      </w:r>
    </w:p>
    <w:p w:rsidR="00613BBB" w:rsidRPr="000A1C8E" w:rsidRDefault="00613BBB" w:rsidP="00346F4B">
      <w:pPr>
        <w:numPr>
          <w:ilvl w:val="0"/>
          <w:numId w:val="73"/>
        </w:numPr>
        <w:spacing w:after="60"/>
        <w:rPr>
          <w:rFonts w:cs="Tahoma"/>
        </w:rPr>
      </w:pPr>
      <w:r w:rsidRPr="000A1C8E">
        <w:rPr>
          <w:rFonts w:cs="Tahoma"/>
          <w:szCs w:val="18"/>
        </w:rPr>
        <w:t>SharePoint Internet</w:t>
      </w:r>
    </w:p>
    <w:p w:rsidR="00894563" w:rsidRPr="000A1C8E" w:rsidRDefault="00894563" w:rsidP="00346F4B">
      <w:pPr>
        <w:numPr>
          <w:ilvl w:val="0"/>
          <w:numId w:val="73"/>
        </w:numPr>
        <w:spacing w:after="60"/>
        <w:rPr>
          <w:rFonts w:cs="Tahoma"/>
        </w:rPr>
      </w:pPr>
      <w:r w:rsidRPr="000A1C8E">
        <w:rPr>
          <w:rFonts w:cs="Tahoma"/>
          <w:szCs w:val="18"/>
        </w:rPr>
        <w:t>FAST para SharePoint/SharePoint Internet</w:t>
      </w:r>
    </w:p>
    <w:p w:rsidR="00613BBB" w:rsidRPr="000A1C8E" w:rsidRDefault="00613BBB" w:rsidP="00077CE5">
      <w:pPr>
        <w:rPr>
          <w:rFonts w:cs="Tahoma"/>
        </w:rPr>
      </w:pPr>
    </w:p>
    <w:p w:rsidR="00613BBB" w:rsidRPr="000A1C8E" w:rsidRDefault="00613BBB" w:rsidP="00FF1B2B">
      <w:pPr>
        <w:pStyle w:val="AppendixBodyText"/>
        <w:spacing w:after="0"/>
        <w:jc w:val="both"/>
        <w:rPr>
          <w:rFonts w:ascii="Tahoma" w:hAnsi="Tahoma" w:cs="Tahoma"/>
        </w:rPr>
      </w:pPr>
      <w:r w:rsidRPr="000A1C8E">
        <w:rPr>
          <w:rFonts w:ascii="Tahoma" w:hAnsi="Tahoma" w:cs="Tahoma"/>
          <w:sz w:val="18"/>
          <w:szCs w:val="18"/>
        </w:rPr>
        <w:t>A tabela a seguir lista as conversões de limite de gastos de SA para contratos com base em moedas que não sejam o USD.</w:t>
      </w:r>
      <w:r w:rsidR="00DC6D8B" w:rsidRPr="000A1C8E">
        <w:rPr>
          <w:rFonts w:ascii="Tahoma" w:hAnsi="Tahoma" w:cs="Tahoma"/>
          <w:sz w:val="18"/>
          <w:szCs w:val="18"/>
        </w:rPr>
        <w:t xml:space="preserve"> </w:t>
      </w:r>
      <w:r w:rsidRPr="000A1C8E">
        <w:rPr>
          <w:rFonts w:ascii="Tahoma" w:hAnsi="Tahoma" w:cs="Tahoma"/>
          <w:sz w:val="18"/>
          <w:szCs w:val="18"/>
        </w:rPr>
        <w:t>Devido à flutuação das taxas de câmbio, essa tabela está sujeita a alterações sem aviso.</w:t>
      </w:r>
    </w:p>
    <w:p w:rsidR="00E74270" w:rsidRPr="000A1C8E" w:rsidRDefault="00E74270" w:rsidP="00FF1B2B">
      <w:pPr>
        <w:pStyle w:val="AppendixBodyText"/>
        <w:spacing w:after="0"/>
        <w:jc w:val="both"/>
        <w:rPr>
          <w:rFonts w:ascii="Tahoma" w:hAnsi="Tahoma" w:cs="Tahoma"/>
        </w:rPr>
      </w:pPr>
    </w:p>
    <w:tbl>
      <w:tblPr>
        <w:tblW w:w="62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70"/>
        <w:gridCol w:w="1211"/>
        <w:gridCol w:w="2970"/>
      </w:tblGrid>
      <w:tr w:rsidR="00E74270" w:rsidRPr="000A1C8E" w:rsidTr="00DD2BB9">
        <w:trPr>
          <w:trHeight w:val="178"/>
          <w:tblHeader/>
          <w:jc w:val="center"/>
        </w:trPr>
        <w:tc>
          <w:tcPr>
            <w:tcW w:w="207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A1C8E" w:rsidRDefault="00E74270" w:rsidP="00E74270">
            <w:pPr>
              <w:pStyle w:val="AppendixBodyText"/>
              <w:jc w:val="center"/>
              <w:rPr>
                <w:rFonts w:ascii="Tahoma" w:hAnsi="Tahoma" w:cs="Tahoma"/>
                <w:b/>
                <w:bCs/>
              </w:rPr>
            </w:pPr>
            <w:r w:rsidRPr="000A1C8E">
              <w:rPr>
                <w:rFonts w:ascii="Tahoma" w:hAnsi="Tahoma" w:cs="Tahoma"/>
                <w:b/>
                <w:bCs/>
              </w:rPr>
              <w:t>Moeda</w:t>
            </w:r>
          </w:p>
        </w:tc>
        <w:tc>
          <w:tcPr>
            <w:tcW w:w="121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A1C8E" w:rsidRDefault="00E74270" w:rsidP="00E74270">
            <w:pPr>
              <w:pStyle w:val="AppendixBodyText"/>
              <w:jc w:val="center"/>
              <w:rPr>
                <w:rFonts w:ascii="Tahoma" w:hAnsi="Tahoma" w:cs="Tahoma"/>
                <w:b/>
                <w:bCs/>
              </w:rPr>
            </w:pPr>
            <w:r w:rsidRPr="000A1C8E">
              <w:rPr>
                <w:rFonts w:ascii="Tahoma" w:hAnsi="Tahoma" w:cs="Tahoma"/>
                <w:b/>
                <w:bCs/>
              </w:rPr>
              <w:t>Código da Moeda</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A1C8E" w:rsidRDefault="00E74270" w:rsidP="00E74270">
            <w:pPr>
              <w:pStyle w:val="AppendixBodyText"/>
              <w:jc w:val="center"/>
              <w:rPr>
                <w:rFonts w:ascii="Tahoma" w:hAnsi="Tahoma" w:cs="Tahoma"/>
                <w:b/>
                <w:bCs/>
              </w:rPr>
            </w:pPr>
            <w:r w:rsidRPr="000A1C8E">
              <w:rPr>
                <w:rFonts w:ascii="Tahoma" w:hAnsi="Tahoma" w:cs="Tahoma"/>
                <w:b/>
                <w:bCs/>
              </w:rPr>
              <w:t>Média de Gasto Mínimo de SA Anual para qualificação ao PRS 24x7 Ilimitado</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Dólar Americano</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USD</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250</w:t>
            </w:r>
            <w:r w:rsidR="00DD2BB9">
              <w:rPr>
                <w:rFonts w:ascii="Tahoma" w:hAnsi="Tahoma" w:cs="Tahoma"/>
                <w:color w:val="000000"/>
                <w:sz w:val="18"/>
                <w:szCs w:val="18"/>
              </w:rPr>
              <w:t>.</w:t>
            </w:r>
            <w:r w:rsidRPr="000A1C8E">
              <w:rPr>
                <w:rFonts w:ascii="Tahoma" w:hAnsi="Tahoma" w:cs="Tahoma"/>
                <w:color w:val="000000"/>
                <w:sz w:val="18"/>
                <w:szCs w:val="18"/>
              </w:rPr>
              <w:t>000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Dólar Australiano</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AUD</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375</w:t>
            </w:r>
            <w:r w:rsidR="00DD2BB9">
              <w:rPr>
                <w:rFonts w:ascii="Tahoma" w:hAnsi="Tahoma" w:cs="Tahoma"/>
                <w:color w:val="000000"/>
                <w:sz w:val="18"/>
                <w:szCs w:val="18"/>
              </w:rPr>
              <w:t>.</w:t>
            </w:r>
            <w:r w:rsidRPr="000A1C8E">
              <w:rPr>
                <w:rFonts w:ascii="Tahoma" w:hAnsi="Tahoma" w:cs="Tahoma"/>
                <w:color w:val="000000"/>
                <w:sz w:val="18"/>
                <w:szCs w:val="18"/>
              </w:rPr>
              <w:t>000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Dólar Canadense</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CAD</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337</w:t>
            </w:r>
            <w:r w:rsidR="00DD2BB9">
              <w:rPr>
                <w:rFonts w:ascii="Tahoma" w:hAnsi="Tahoma" w:cs="Tahoma"/>
                <w:color w:val="000000"/>
                <w:sz w:val="18"/>
                <w:szCs w:val="18"/>
              </w:rPr>
              <w:t>.</w:t>
            </w:r>
            <w:r w:rsidRPr="000A1C8E">
              <w:rPr>
                <w:rFonts w:ascii="Tahoma" w:hAnsi="Tahoma" w:cs="Tahoma"/>
                <w:color w:val="000000"/>
                <w:sz w:val="18"/>
                <w:szCs w:val="18"/>
              </w:rPr>
              <w:t>500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Franco Suíço</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CHF</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412</w:t>
            </w:r>
            <w:r w:rsidR="00DD2BB9">
              <w:rPr>
                <w:rFonts w:ascii="Tahoma" w:hAnsi="Tahoma" w:cs="Tahoma"/>
                <w:color w:val="000000"/>
                <w:sz w:val="18"/>
                <w:szCs w:val="18"/>
              </w:rPr>
              <w:t>.</w:t>
            </w:r>
            <w:r w:rsidRPr="000A1C8E">
              <w:rPr>
                <w:rFonts w:ascii="Tahoma" w:hAnsi="Tahoma" w:cs="Tahoma"/>
                <w:color w:val="000000"/>
                <w:sz w:val="18"/>
                <w:szCs w:val="18"/>
              </w:rPr>
              <w:t>500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Iuan Renmimbi (China)</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CNY</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2</w:t>
            </w:r>
            <w:r w:rsidR="00DD2BB9">
              <w:rPr>
                <w:rFonts w:ascii="Tahoma" w:hAnsi="Tahoma" w:cs="Tahoma"/>
                <w:color w:val="000000"/>
                <w:sz w:val="18"/>
                <w:szCs w:val="18"/>
              </w:rPr>
              <w:t>.</w:t>
            </w:r>
            <w:r w:rsidRPr="000A1C8E">
              <w:rPr>
                <w:rFonts w:ascii="Tahoma" w:hAnsi="Tahoma" w:cs="Tahoma"/>
                <w:color w:val="000000"/>
                <w:sz w:val="18"/>
                <w:szCs w:val="18"/>
              </w:rPr>
              <w:t>062</w:t>
            </w:r>
            <w:r w:rsidR="00DD2BB9">
              <w:rPr>
                <w:rFonts w:ascii="Tahoma" w:hAnsi="Tahoma" w:cs="Tahoma"/>
                <w:color w:val="000000"/>
                <w:sz w:val="18"/>
                <w:szCs w:val="18"/>
              </w:rPr>
              <w:t>.</w:t>
            </w:r>
            <w:r w:rsidRPr="000A1C8E">
              <w:rPr>
                <w:rFonts w:ascii="Tahoma" w:hAnsi="Tahoma" w:cs="Tahoma"/>
                <w:color w:val="000000"/>
                <w:sz w:val="18"/>
                <w:szCs w:val="18"/>
              </w:rPr>
              <w:t>500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Coroa Dinamarquesa</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DKK</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2</w:t>
            </w:r>
            <w:r w:rsidR="00DD2BB9">
              <w:rPr>
                <w:rFonts w:ascii="Tahoma" w:hAnsi="Tahoma" w:cs="Tahoma"/>
                <w:color w:val="000000"/>
                <w:sz w:val="18"/>
                <w:szCs w:val="18"/>
              </w:rPr>
              <w:t>.</w:t>
            </w:r>
            <w:r w:rsidRPr="000A1C8E">
              <w:rPr>
                <w:rFonts w:ascii="Tahoma" w:hAnsi="Tahoma" w:cs="Tahoma"/>
                <w:color w:val="000000"/>
                <w:sz w:val="18"/>
                <w:szCs w:val="18"/>
              </w:rPr>
              <w:t>000</w:t>
            </w:r>
            <w:r w:rsidR="00DD2BB9">
              <w:rPr>
                <w:rFonts w:ascii="Tahoma" w:hAnsi="Tahoma" w:cs="Tahoma"/>
                <w:color w:val="000000"/>
                <w:sz w:val="18"/>
                <w:szCs w:val="18"/>
              </w:rPr>
              <w:t>.</w:t>
            </w:r>
            <w:r w:rsidRPr="000A1C8E">
              <w:rPr>
                <w:rFonts w:ascii="Tahoma" w:hAnsi="Tahoma" w:cs="Tahoma"/>
                <w:color w:val="000000"/>
                <w:sz w:val="18"/>
                <w:szCs w:val="18"/>
              </w:rPr>
              <w:t>000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Euro</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EUR</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268</w:t>
            </w:r>
            <w:r w:rsidR="00DD2BB9">
              <w:rPr>
                <w:rFonts w:ascii="Tahoma" w:hAnsi="Tahoma" w:cs="Tahoma"/>
                <w:color w:val="000000"/>
                <w:sz w:val="18"/>
                <w:szCs w:val="18"/>
              </w:rPr>
              <w:t>.</w:t>
            </w:r>
            <w:r w:rsidRPr="000A1C8E">
              <w:rPr>
                <w:rFonts w:ascii="Tahoma" w:hAnsi="Tahoma" w:cs="Tahoma"/>
                <w:color w:val="000000"/>
                <w:sz w:val="18"/>
                <w:szCs w:val="18"/>
              </w:rPr>
              <w:t>750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lastRenderedPageBreak/>
              <w:t>Libra Esterlina</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GBP</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168</w:t>
            </w:r>
            <w:r w:rsidR="00DD2BB9">
              <w:rPr>
                <w:rFonts w:ascii="Tahoma" w:hAnsi="Tahoma" w:cs="Tahoma"/>
                <w:color w:val="000000"/>
                <w:sz w:val="18"/>
                <w:szCs w:val="18"/>
              </w:rPr>
              <w:t>.</w:t>
            </w:r>
            <w:r w:rsidRPr="000A1C8E">
              <w:rPr>
                <w:rFonts w:ascii="Tahoma" w:hAnsi="Tahoma" w:cs="Tahoma"/>
                <w:color w:val="000000"/>
                <w:sz w:val="18"/>
                <w:szCs w:val="18"/>
              </w:rPr>
              <w:t>750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Iene Japonês</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JPY</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30</w:t>
            </w:r>
            <w:r w:rsidR="00DD2BB9">
              <w:rPr>
                <w:rFonts w:ascii="Tahoma" w:hAnsi="Tahoma" w:cs="Tahoma"/>
                <w:color w:val="000000"/>
                <w:sz w:val="18"/>
                <w:szCs w:val="18"/>
              </w:rPr>
              <w:t>.</w:t>
            </w:r>
            <w:r w:rsidRPr="000A1C8E">
              <w:rPr>
                <w:rFonts w:ascii="Tahoma" w:hAnsi="Tahoma" w:cs="Tahoma"/>
                <w:color w:val="000000"/>
                <w:sz w:val="18"/>
                <w:szCs w:val="18"/>
              </w:rPr>
              <w:t>000</w:t>
            </w:r>
            <w:r w:rsidR="00DD2BB9">
              <w:rPr>
                <w:rFonts w:ascii="Tahoma" w:hAnsi="Tahoma" w:cs="Tahoma"/>
                <w:color w:val="000000"/>
                <w:sz w:val="18"/>
                <w:szCs w:val="18"/>
              </w:rPr>
              <w:t>.</w:t>
            </w:r>
            <w:r w:rsidRPr="000A1C8E">
              <w:rPr>
                <w:rFonts w:ascii="Tahoma" w:hAnsi="Tahoma" w:cs="Tahoma"/>
                <w:color w:val="000000"/>
                <w:sz w:val="18"/>
                <w:szCs w:val="18"/>
              </w:rPr>
              <w:t>000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Won Coreano</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KRW</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300</w:t>
            </w:r>
            <w:r w:rsidR="00DD2BB9">
              <w:rPr>
                <w:rFonts w:ascii="Tahoma" w:hAnsi="Tahoma" w:cs="Tahoma"/>
                <w:color w:val="000000"/>
                <w:sz w:val="18"/>
                <w:szCs w:val="18"/>
              </w:rPr>
              <w:t>.</w:t>
            </w:r>
            <w:r w:rsidRPr="000A1C8E">
              <w:rPr>
                <w:rFonts w:ascii="Tahoma" w:hAnsi="Tahoma" w:cs="Tahoma"/>
                <w:color w:val="000000"/>
                <w:sz w:val="18"/>
                <w:szCs w:val="18"/>
              </w:rPr>
              <w:t>000</w:t>
            </w:r>
            <w:r w:rsidR="00DD2BB9">
              <w:rPr>
                <w:rFonts w:ascii="Tahoma" w:hAnsi="Tahoma" w:cs="Tahoma"/>
                <w:color w:val="000000"/>
                <w:sz w:val="18"/>
                <w:szCs w:val="18"/>
              </w:rPr>
              <w:t>.</w:t>
            </w:r>
            <w:r w:rsidRPr="000A1C8E">
              <w:rPr>
                <w:rFonts w:ascii="Tahoma" w:hAnsi="Tahoma" w:cs="Tahoma"/>
                <w:color w:val="000000"/>
                <w:sz w:val="18"/>
                <w:szCs w:val="18"/>
              </w:rPr>
              <w:t>000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Coroa Norueguesa</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NOK</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2</w:t>
            </w:r>
            <w:r w:rsidR="00DD2BB9">
              <w:rPr>
                <w:rFonts w:ascii="Tahoma" w:hAnsi="Tahoma" w:cs="Tahoma"/>
                <w:color w:val="000000"/>
                <w:sz w:val="18"/>
                <w:szCs w:val="18"/>
              </w:rPr>
              <w:t>.</w:t>
            </w:r>
            <w:r w:rsidRPr="000A1C8E">
              <w:rPr>
                <w:rFonts w:ascii="Tahoma" w:hAnsi="Tahoma" w:cs="Tahoma"/>
                <w:color w:val="000000"/>
                <w:sz w:val="18"/>
                <w:szCs w:val="18"/>
              </w:rPr>
              <w:t>062</w:t>
            </w:r>
            <w:r w:rsidR="00DD2BB9">
              <w:rPr>
                <w:rFonts w:ascii="Tahoma" w:hAnsi="Tahoma" w:cs="Tahoma"/>
                <w:color w:val="000000"/>
                <w:sz w:val="18"/>
                <w:szCs w:val="18"/>
              </w:rPr>
              <w:t>.</w:t>
            </w:r>
            <w:r w:rsidRPr="000A1C8E">
              <w:rPr>
                <w:rFonts w:ascii="Tahoma" w:hAnsi="Tahoma" w:cs="Tahoma"/>
                <w:color w:val="000000"/>
                <w:sz w:val="18"/>
                <w:szCs w:val="18"/>
              </w:rPr>
              <w:t>500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Dólar Neozelandês</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NZD</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437</w:t>
            </w:r>
            <w:r w:rsidR="00DD2BB9">
              <w:rPr>
                <w:rFonts w:ascii="Tahoma" w:hAnsi="Tahoma" w:cs="Tahoma"/>
                <w:color w:val="000000"/>
                <w:sz w:val="18"/>
                <w:szCs w:val="18"/>
              </w:rPr>
              <w:t>.</w:t>
            </w:r>
            <w:r w:rsidRPr="000A1C8E">
              <w:rPr>
                <w:rFonts w:ascii="Tahoma" w:hAnsi="Tahoma" w:cs="Tahoma"/>
                <w:color w:val="000000"/>
                <w:sz w:val="18"/>
                <w:szCs w:val="18"/>
              </w:rPr>
              <w:t>500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Coroa Sueca</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SEK</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2</w:t>
            </w:r>
            <w:r w:rsidR="00DD2BB9">
              <w:rPr>
                <w:rFonts w:ascii="Tahoma" w:hAnsi="Tahoma" w:cs="Tahoma"/>
                <w:color w:val="000000"/>
                <w:sz w:val="18"/>
                <w:szCs w:val="18"/>
              </w:rPr>
              <w:t>.</w:t>
            </w:r>
            <w:r w:rsidRPr="000A1C8E">
              <w:rPr>
                <w:rFonts w:ascii="Tahoma" w:hAnsi="Tahoma" w:cs="Tahoma"/>
                <w:color w:val="000000"/>
                <w:sz w:val="18"/>
                <w:szCs w:val="18"/>
              </w:rPr>
              <w:t>500</w:t>
            </w:r>
            <w:r w:rsidR="00DD2BB9">
              <w:rPr>
                <w:rFonts w:ascii="Tahoma" w:hAnsi="Tahoma" w:cs="Tahoma"/>
                <w:color w:val="000000"/>
                <w:sz w:val="18"/>
                <w:szCs w:val="18"/>
              </w:rPr>
              <w:t>.</w:t>
            </w:r>
            <w:r w:rsidRPr="000A1C8E">
              <w:rPr>
                <w:rFonts w:ascii="Tahoma" w:hAnsi="Tahoma" w:cs="Tahoma"/>
                <w:color w:val="000000"/>
                <w:sz w:val="18"/>
                <w:szCs w:val="18"/>
              </w:rPr>
              <w:t>000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Novo Dólar Taiwanês</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TWD</w:t>
            </w:r>
          </w:p>
        </w:tc>
        <w:tc>
          <w:tcPr>
            <w:tcW w:w="2970" w:type="dxa"/>
            <w:vAlign w:val="bottom"/>
          </w:tcPr>
          <w:p w:rsidR="00E74270" w:rsidRPr="000A1C8E" w:rsidRDefault="00E74270" w:rsidP="00DD2BB9">
            <w:pPr>
              <w:pStyle w:val="AppendixBodyText"/>
              <w:jc w:val="right"/>
              <w:rPr>
                <w:rFonts w:ascii="Tahoma" w:hAnsi="Tahoma" w:cs="Tahoma"/>
                <w:sz w:val="18"/>
                <w:szCs w:val="18"/>
              </w:rPr>
            </w:pPr>
            <w:r w:rsidRPr="000A1C8E">
              <w:rPr>
                <w:rFonts w:ascii="Tahoma" w:hAnsi="Tahoma" w:cs="Tahoma"/>
                <w:color w:val="000000"/>
                <w:sz w:val="18"/>
                <w:szCs w:val="18"/>
              </w:rPr>
              <w:t>8</w:t>
            </w:r>
            <w:r w:rsidR="00DD2BB9">
              <w:rPr>
                <w:rFonts w:ascii="Tahoma" w:hAnsi="Tahoma" w:cs="Tahoma"/>
                <w:color w:val="000000"/>
                <w:sz w:val="18"/>
                <w:szCs w:val="18"/>
              </w:rPr>
              <w:t>.</w:t>
            </w:r>
            <w:r w:rsidRPr="000A1C8E">
              <w:rPr>
                <w:rFonts w:ascii="Tahoma" w:hAnsi="Tahoma" w:cs="Tahoma"/>
                <w:color w:val="000000"/>
                <w:sz w:val="18"/>
                <w:szCs w:val="18"/>
              </w:rPr>
              <w:t>750</w:t>
            </w:r>
            <w:r w:rsidR="00DD2BB9">
              <w:rPr>
                <w:rFonts w:ascii="Tahoma" w:hAnsi="Tahoma" w:cs="Tahoma"/>
                <w:color w:val="000000"/>
                <w:sz w:val="18"/>
                <w:szCs w:val="18"/>
              </w:rPr>
              <w:t>.</w:t>
            </w:r>
            <w:r w:rsidRPr="000A1C8E">
              <w:rPr>
                <w:rFonts w:ascii="Tahoma" w:hAnsi="Tahoma" w:cs="Tahoma"/>
                <w:color w:val="000000"/>
                <w:sz w:val="18"/>
                <w:szCs w:val="18"/>
              </w:rPr>
              <w:t>000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Rúpia Indiana</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INR</w:t>
            </w:r>
          </w:p>
        </w:tc>
        <w:tc>
          <w:tcPr>
            <w:tcW w:w="2970" w:type="dxa"/>
            <w:vAlign w:val="bottom"/>
          </w:tcPr>
          <w:p w:rsidR="00E74270" w:rsidRPr="000A1C8E" w:rsidRDefault="00E74270" w:rsidP="00DD2BB9">
            <w:pPr>
              <w:pStyle w:val="AppendixBodyText"/>
              <w:jc w:val="right"/>
              <w:rPr>
                <w:rFonts w:ascii="Tahoma" w:hAnsi="Tahoma" w:cs="Tahoma"/>
                <w:color w:val="000000"/>
                <w:sz w:val="18"/>
                <w:szCs w:val="18"/>
              </w:rPr>
            </w:pPr>
            <w:r w:rsidRPr="000A1C8E">
              <w:rPr>
                <w:rFonts w:ascii="Tahoma" w:hAnsi="Tahoma" w:cs="Tahoma"/>
                <w:sz w:val="18"/>
                <w:szCs w:val="18"/>
              </w:rPr>
              <w:t>12</w:t>
            </w:r>
            <w:r w:rsidR="00DD2BB9">
              <w:rPr>
                <w:rFonts w:ascii="Tahoma" w:hAnsi="Tahoma" w:cs="Tahoma"/>
                <w:sz w:val="18"/>
                <w:szCs w:val="18"/>
              </w:rPr>
              <w:t>.</w:t>
            </w:r>
            <w:r w:rsidRPr="000A1C8E">
              <w:rPr>
                <w:rFonts w:ascii="Tahoma" w:hAnsi="Tahoma" w:cs="Tahoma"/>
                <w:sz w:val="18"/>
                <w:szCs w:val="18"/>
              </w:rPr>
              <w:t>500</w:t>
            </w:r>
            <w:r w:rsidR="00DD2BB9">
              <w:rPr>
                <w:rFonts w:ascii="Tahoma" w:hAnsi="Tahoma" w:cs="Tahoma"/>
                <w:sz w:val="18"/>
                <w:szCs w:val="18"/>
              </w:rPr>
              <w:t>.</w:t>
            </w:r>
            <w:r w:rsidRPr="000A1C8E">
              <w:rPr>
                <w:rFonts w:ascii="Tahoma" w:hAnsi="Tahoma" w:cs="Tahoma"/>
                <w:sz w:val="18"/>
                <w:szCs w:val="18"/>
              </w:rPr>
              <w:t>000</w:t>
            </w:r>
          </w:p>
        </w:tc>
      </w:tr>
      <w:tr w:rsidR="00E74270" w:rsidRPr="000A1C8E" w:rsidTr="00DD2BB9">
        <w:trPr>
          <w:trHeight w:val="236"/>
          <w:jc w:val="center"/>
        </w:trPr>
        <w:tc>
          <w:tcPr>
            <w:tcW w:w="2070" w:type="dxa"/>
            <w:vAlign w:val="bottom"/>
          </w:tcPr>
          <w:p w:rsidR="00E74270" w:rsidRPr="000A1C8E" w:rsidRDefault="00E74270" w:rsidP="00E74270">
            <w:pPr>
              <w:pStyle w:val="AppendixBodyText"/>
              <w:rPr>
                <w:rFonts w:ascii="Tahoma" w:hAnsi="Tahoma" w:cs="Tahoma"/>
                <w:sz w:val="18"/>
                <w:szCs w:val="18"/>
              </w:rPr>
            </w:pPr>
            <w:r w:rsidRPr="000A1C8E">
              <w:rPr>
                <w:rFonts w:ascii="Tahoma" w:hAnsi="Tahoma" w:cs="Tahoma"/>
                <w:sz w:val="18"/>
                <w:szCs w:val="18"/>
              </w:rPr>
              <w:t>Rublo Russo</w:t>
            </w:r>
          </w:p>
        </w:tc>
        <w:tc>
          <w:tcPr>
            <w:tcW w:w="1211" w:type="dxa"/>
            <w:vAlign w:val="bottom"/>
          </w:tcPr>
          <w:p w:rsidR="00E74270" w:rsidRPr="000A1C8E" w:rsidRDefault="00E74270" w:rsidP="00E74270">
            <w:pPr>
              <w:pStyle w:val="AppendixBodyText"/>
              <w:jc w:val="center"/>
              <w:rPr>
                <w:rFonts w:ascii="Tahoma" w:hAnsi="Tahoma" w:cs="Tahoma"/>
                <w:sz w:val="18"/>
                <w:szCs w:val="18"/>
              </w:rPr>
            </w:pPr>
            <w:r w:rsidRPr="000A1C8E">
              <w:rPr>
                <w:rFonts w:ascii="Tahoma" w:hAnsi="Tahoma" w:cs="Tahoma"/>
                <w:sz w:val="18"/>
                <w:szCs w:val="18"/>
              </w:rPr>
              <w:t>RUB</w:t>
            </w:r>
          </w:p>
        </w:tc>
        <w:tc>
          <w:tcPr>
            <w:tcW w:w="2970" w:type="dxa"/>
            <w:vAlign w:val="bottom"/>
          </w:tcPr>
          <w:p w:rsidR="00E74270" w:rsidRPr="000A1C8E" w:rsidRDefault="00E74270" w:rsidP="00DD2BB9">
            <w:pPr>
              <w:pStyle w:val="AppendixBodyText"/>
              <w:jc w:val="right"/>
              <w:rPr>
                <w:rFonts w:ascii="Tahoma" w:hAnsi="Tahoma" w:cs="Tahoma"/>
                <w:color w:val="000000"/>
                <w:sz w:val="18"/>
                <w:szCs w:val="18"/>
              </w:rPr>
            </w:pPr>
            <w:r w:rsidRPr="000A1C8E">
              <w:rPr>
                <w:rFonts w:ascii="Tahoma" w:hAnsi="Tahoma" w:cs="Tahoma"/>
                <w:sz w:val="18"/>
                <w:szCs w:val="18"/>
              </w:rPr>
              <w:t>8</w:t>
            </w:r>
            <w:r w:rsidR="00DD2BB9">
              <w:rPr>
                <w:rFonts w:ascii="Tahoma" w:hAnsi="Tahoma" w:cs="Tahoma"/>
                <w:sz w:val="18"/>
                <w:szCs w:val="18"/>
              </w:rPr>
              <w:t>.</w:t>
            </w:r>
            <w:r w:rsidRPr="000A1C8E">
              <w:rPr>
                <w:rFonts w:ascii="Tahoma" w:hAnsi="Tahoma" w:cs="Tahoma"/>
                <w:sz w:val="18"/>
                <w:szCs w:val="18"/>
              </w:rPr>
              <w:t>250</w:t>
            </w:r>
            <w:r w:rsidR="00DD2BB9">
              <w:rPr>
                <w:rFonts w:ascii="Tahoma" w:hAnsi="Tahoma" w:cs="Tahoma"/>
                <w:sz w:val="18"/>
                <w:szCs w:val="18"/>
              </w:rPr>
              <w:t>.</w:t>
            </w:r>
            <w:r w:rsidRPr="000A1C8E">
              <w:rPr>
                <w:rFonts w:ascii="Tahoma" w:hAnsi="Tahoma" w:cs="Tahoma"/>
                <w:sz w:val="18"/>
                <w:szCs w:val="18"/>
              </w:rPr>
              <w:t>000</w:t>
            </w:r>
          </w:p>
        </w:tc>
      </w:tr>
    </w:tbl>
    <w:p w:rsidR="00AF1D88" w:rsidRPr="000A1C8E" w:rsidRDefault="00AF1D88" w:rsidP="00F42FB8">
      <w:pPr>
        <w:jc w:val="both"/>
        <w:rPr>
          <w:rFonts w:cs="Tahoma"/>
        </w:rPr>
      </w:pPr>
    </w:p>
    <w:p w:rsidR="00613BBB" w:rsidRPr="000A1C8E" w:rsidRDefault="00613BBB" w:rsidP="00F42FB8">
      <w:pPr>
        <w:jc w:val="both"/>
        <w:rPr>
          <w:rFonts w:cs="Tahoma"/>
        </w:rPr>
      </w:pPr>
      <w:r w:rsidRPr="000A1C8E">
        <w:rPr>
          <w:rFonts w:cs="Tahoma"/>
          <w:szCs w:val="18"/>
        </w:rPr>
        <w:t>Quando a média de gasto de SA anual comprometida com produtos de Plataforma de Aplicativos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DC6D8B" w:rsidRPr="000A1C8E">
        <w:rPr>
          <w:rFonts w:cs="Tahoma"/>
          <w:szCs w:val="18"/>
        </w:rPr>
        <w:t xml:space="preserve"> </w:t>
      </w:r>
      <w:r w:rsidRPr="000A1C8E">
        <w:rPr>
          <w:rFonts w:cs="Tahoma"/>
          <w:szCs w:val="18"/>
        </w:rPr>
        <w:t xml:space="preserve">Os incidentes de PRS 24x7 Ilimitado não podem ser convertidos em horas ou incidentes de Suporte para Resolução de Problemas Premier. </w:t>
      </w:r>
    </w:p>
    <w:p w:rsidR="00613BBB" w:rsidRPr="000A1C8E" w:rsidRDefault="00613BBB" w:rsidP="00F42FB8">
      <w:pPr>
        <w:rPr>
          <w:rFonts w:cs="Tahoma"/>
        </w:rPr>
      </w:pPr>
    </w:p>
    <w:p w:rsidR="00613BBB" w:rsidRPr="000A1C8E" w:rsidRDefault="00613BBB" w:rsidP="00F42FB8">
      <w:pPr>
        <w:jc w:val="both"/>
        <w:rPr>
          <w:rFonts w:cs="Tahoma"/>
        </w:rPr>
      </w:pPr>
      <w:r w:rsidRPr="000A1C8E">
        <w:rPr>
          <w:rFonts w:cs="Tahoma"/>
          <w:szCs w:val="18"/>
        </w:rPr>
        <w:t xml:space="preserve">Os clientes que possuem </w:t>
      </w:r>
      <w:r w:rsidRPr="000A1C8E">
        <w:rPr>
          <w:rFonts w:cs="Tahoma"/>
          <w:color w:val="000000"/>
          <w:szCs w:val="18"/>
        </w:rPr>
        <w:t>Contratos Application Platform (APA) com data de início de vigência anterior a 1</w:t>
      </w:r>
      <w:r w:rsidRPr="000A1C8E">
        <w:rPr>
          <w:rFonts w:cs="Tahoma"/>
          <w:color w:val="000000"/>
          <w:szCs w:val="18"/>
          <w:vertAlign w:val="superscript"/>
        </w:rPr>
        <w:t>º</w:t>
      </w:r>
      <w:r w:rsidRPr="000A1C8E">
        <w:rPr>
          <w:rFonts w:cs="Tahoma"/>
          <w:color w:val="000000"/>
          <w:szCs w:val="18"/>
        </w:rPr>
        <w:t xml:space="preserve"> de julho de 2009 e com uma média de gasto de SA anual superior a US$ 250.000 em produtos de Plataforma de Aplicativos qualificados e que possuem um Contrato de Serviços Premier ativo se tornarão qualificados para o PRS 24x7 Ilimitado no primeiro aniversário da data de início de vigência do APA. </w:t>
      </w:r>
    </w:p>
    <w:p w:rsidR="00613BBB" w:rsidRPr="000A1C8E" w:rsidRDefault="00613BBB" w:rsidP="00F42FB8">
      <w:pPr>
        <w:rPr>
          <w:rFonts w:cs="Tahoma"/>
        </w:rPr>
      </w:pPr>
    </w:p>
    <w:p w:rsidR="00A17E03" w:rsidRPr="000A1C8E" w:rsidRDefault="00A17E03" w:rsidP="00F42FB8">
      <w:pPr>
        <w:spacing w:line="276" w:lineRule="auto"/>
        <w:rPr>
          <w:rFonts w:cs="Tahoma"/>
        </w:rPr>
      </w:pPr>
      <w:r w:rsidRPr="000A1C8E">
        <w:rPr>
          <w:rFonts w:eastAsia="Calibri" w:cs="Tahoma"/>
          <w:szCs w:val="18"/>
        </w:rPr>
        <w:t>(2) Os clientes que adquirirem licenças para o PDW e possuem um Contrato de Serviços Premier ativo estão qualificados para incidentes do PRS, 24 horas por dia, 7 dias por semana, Ilimitado.</w:t>
      </w:r>
    </w:p>
    <w:p w:rsidR="00FF1B2B" w:rsidRPr="000A1C8E" w:rsidRDefault="00FF1B2B" w:rsidP="00F42FB8">
      <w:pPr>
        <w:spacing w:line="276" w:lineRule="auto"/>
        <w:rPr>
          <w:rFonts w:cs="Tahoma"/>
        </w:rPr>
      </w:pPr>
    </w:p>
    <w:p w:rsidR="00A17E03" w:rsidRPr="000A1C8E" w:rsidRDefault="00A17E03" w:rsidP="00F42FB8">
      <w:pPr>
        <w:spacing w:line="276" w:lineRule="auto"/>
        <w:jc w:val="both"/>
        <w:rPr>
          <w:rFonts w:cs="Tahoma"/>
        </w:rPr>
      </w:pPr>
      <w:r w:rsidRPr="000A1C8E">
        <w:rPr>
          <w:rFonts w:eastAsia="Calibri" w:cs="Tahoma"/>
          <w:szCs w:val="18"/>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rsidR="00FF1B2B" w:rsidRPr="000A1C8E" w:rsidRDefault="00FF1B2B" w:rsidP="00F42FB8">
      <w:pPr>
        <w:spacing w:line="276" w:lineRule="auto"/>
        <w:jc w:val="both"/>
        <w:rPr>
          <w:rFonts w:cs="Tahoma"/>
        </w:rPr>
      </w:pPr>
    </w:p>
    <w:p w:rsidR="00A17E03" w:rsidRPr="000A1C8E" w:rsidRDefault="00A17E03" w:rsidP="00F42FB8">
      <w:pPr>
        <w:jc w:val="both"/>
        <w:rPr>
          <w:rFonts w:cs="Tahoma"/>
        </w:rPr>
      </w:pPr>
      <w:r w:rsidRPr="000A1C8E">
        <w:rPr>
          <w:rFonts w:cs="Tahoma"/>
          <w:color w:val="000000"/>
          <w:szCs w:val="18"/>
        </w:rPr>
        <w:t xml:space="preserve">Embora o número de </w:t>
      </w:r>
      <w:r w:rsidRPr="000A1C8E">
        <w:rPr>
          <w:rFonts w:cs="Tahoma"/>
          <w:i/>
          <w:color w:val="000000"/>
          <w:szCs w:val="18"/>
        </w:rPr>
        <w:t>i</w:t>
      </w:r>
      <w:r w:rsidRPr="000A1C8E">
        <w:rPr>
          <w:rFonts w:cs="Tahoma"/>
          <w:color w:val="000000"/>
          <w:szCs w:val="18"/>
        </w:rPr>
        <w:t>ncidentes do PRS, 24 horas por dia, 7 dias por semana, concedidos não seja determinado pelo gasto de SA, o número de contatos de suporte permitidos para gerenciar o PRS, 24 horas por dia, 7 dias por semana, Ilimitado varia de acordo com os gastos de SA. Todos os clientes elegíveis estão qualificados a, pelo menos, quatro contatos autorizados mais um contato adicional a cada US$ 125.000 adicionais de gasto de SA sob seu EAP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DC6D8B" w:rsidRPr="000A1C8E">
        <w:rPr>
          <w:rFonts w:cs="Tahoma"/>
          <w:color w:val="000000"/>
          <w:szCs w:val="18"/>
        </w:rPr>
        <w:t xml:space="preserve"> </w:t>
      </w:r>
      <w:r w:rsidRPr="000A1C8E">
        <w:rPr>
          <w:rFonts w:cs="Tahoma"/>
          <w:color w:val="000000"/>
          <w:szCs w:val="18"/>
        </w:rPr>
        <w:t>Consulte a tabela a seguir:</w:t>
      </w:r>
    </w:p>
    <w:p w:rsidR="00FF1B2B" w:rsidRPr="000A1C8E" w:rsidRDefault="00FF1B2B" w:rsidP="00F42FB8">
      <w:pPr>
        <w:jc w:val="both"/>
        <w:rPr>
          <w:rFonts w:cs="Tahoma"/>
        </w:rPr>
      </w:pPr>
    </w:p>
    <w:p w:rsidR="00A17E03" w:rsidRPr="000A1C8E" w:rsidRDefault="00A17E03" w:rsidP="00F42FB8">
      <w:pPr>
        <w:jc w:val="both"/>
        <w:rPr>
          <w:rFonts w:cs="Tahoma"/>
        </w:rPr>
      </w:pPr>
      <w:r w:rsidRPr="000A1C8E">
        <w:rPr>
          <w:rFonts w:cs="Tahoma"/>
          <w:color w:val="000000"/>
          <w:szCs w:val="18"/>
        </w:rPr>
        <w:t>A seguinte tabela se aplica a clientes que possuam um EAP ou APA:</w:t>
      </w:r>
    </w:p>
    <w:p w:rsidR="00613BBB" w:rsidRPr="000A1C8E"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0A1C8E" w:rsidTr="002A6416">
        <w:tc>
          <w:tcPr>
            <w:tcW w:w="2160" w:type="dxa"/>
            <w:shd w:val="clear" w:color="auto" w:fill="FABF8F"/>
          </w:tcPr>
          <w:p w:rsidR="00613BBB" w:rsidRPr="000A1C8E" w:rsidRDefault="00613BBB" w:rsidP="00613BBB">
            <w:pPr>
              <w:jc w:val="center"/>
              <w:rPr>
                <w:rFonts w:cs="Tahoma"/>
                <w:color w:val="000000"/>
                <w:szCs w:val="18"/>
              </w:rPr>
            </w:pPr>
            <w:r w:rsidRPr="000A1C8E">
              <w:rPr>
                <w:rFonts w:cs="Tahoma"/>
                <w:b/>
                <w:bCs/>
                <w:color w:val="000000"/>
                <w:szCs w:val="18"/>
              </w:rPr>
              <w:t>Média de Gasto de SA Anual</w:t>
            </w:r>
          </w:p>
        </w:tc>
        <w:tc>
          <w:tcPr>
            <w:tcW w:w="2520" w:type="dxa"/>
            <w:shd w:val="clear" w:color="auto" w:fill="FABF8F"/>
          </w:tcPr>
          <w:p w:rsidR="00613BBB" w:rsidRPr="000A1C8E" w:rsidRDefault="00A17E03" w:rsidP="00613BBB">
            <w:pPr>
              <w:jc w:val="center"/>
              <w:rPr>
                <w:rFonts w:cs="Tahoma"/>
                <w:color w:val="000000"/>
                <w:szCs w:val="18"/>
              </w:rPr>
            </w:pPr>
            <w:r w:rsidRPr="000A1C8E">
              <w:rPr>
                <w:rFonts w:cs="Tahoma"/>
                <w:b/>
                <w:bCs/>
                <w:color w:val="000000"/>
                <w:szCs w:val="18"/>
              </w:rPr>
              <w:t>Contatos de suporte permitidos</w:t>
            </w:r>
          </w:p>
        </w:tc>
      </w:tr>
      <w:tr w:rsidR="00613BBB" w:rsidRPr="000A1C8E" w:rsidTr="002A6416">
        <w:tc>
          <w:tcPr>
            <w:tcW w:w="2160" w:type="dxa"/>
          </w:tcPr>
          <w:p w:rsidR="00613BBB" w:rsidRPr="000A1C8E" w:rsidRDefault="00613BBB" w:rsidP="00DD2BB9">
            <w:pPr>
              <w:jc w:val="center"/>
              <w:rPr>
                <w:rFonts w:cs="Tahoma"/>
                <w:color w:val="000000"/>
                <w:szCs w:val="18"/>
              </w:rPr>
            </w:pPr>
            <w:r w:rsidRPr="000A1C8E">
              <w:rPr>
                <w:rFonts w:cs="Tahoma"/>
                <w:color w:val="000000"/>
                <w:szCs w:val="18"/>
              </w:rPr>
              <w:t>$250</w:t>
            </w:r>
            <w:r w:rsidR="00DD2BB9">
              <w:rPr>
                <w:rFonts w:cs="Tahoma"/>
                <w:color w:val="000000"/>
                <w:szCs w:val="18"/>
              </w:rPr>
              <w:t>.</w:t>
            </w:r>
            <w:r w:rsidRPr="000A1C8E">
              <w:rPr>
                <w:rFonts w:cs="Tahoma"/>
                <w:color w:val="000000"/>
                <w:szCs w:val="18"/>
              </w:rPr>
              <w:t>000 - $374</w:t>
            </w:r>
            <w:r w:rsidR="00DD2BB9">
              <w:rPr>
                <w:rFonts w:cs="Tahoma"/>
                <w:color w:val="000000"/>
                <w:szCs w:val="18"/>
              </w:rPr>
              <w:t>.</w:t>
            </w:r>
            <w:r w:rsidRPr="000A1C8E">
              <w:rPr>
                <w:rFonts w:cs="Tahoma"/>
                <w:color w:val="000000"/>
                <w:szCs w:val="18"/>
              </w:rPr>
              <w:t>999</w:t>
            </w:r>
          </w:p>
        </w:tc>
        <w:tc>
          <w:tcPr>
            <w:tcW w:w="2520" w:type="dxa"/>
          </w:tcPr>
          <w:p w:rsidR="00613BBB" w:rsidRPr="000A1C8E" w:rsidRDefault="00613BBB" w:rsidP="00613BBB">
            <w:pPr>
              <w:jc w:val="center"/>
              <w:rPr>
                <w:rFonts w:cs="Tahoma"/>
                <w:color w:val="000000"/>
                <w:szCs w:val="18"/>
              </w:rPr>
            </w:pPr>
            <w:r w:rsidRPr="000A1C8E">
              <w:rPr>
                <w:rFonts w:cs="Tahoma"/>
                <w:color w:val="000000"/>
                <w:szCs w:val="18"/>
              </w:rPr>
              <w:t>4</w:t>
            </w:r>
          </w:p>
        </w:tc>
      </w:tr>
      <w:tr w:rsidR="00613BBB" w:rsidRPr="000A1C8E" w:rsidTr="002A6416">
        <w:tc>
          <w:tcPr>
            <w:tcW w:w="2160" w:type="dxa"/>
          </w:tcPr>
          <w:p w:rsidR="00613BBB" w:rsidRPr="000A1C8E" w:rsidRDefault="00613BBB" w:rsidP="00DD2BB9">
            <w:pPr>
              <w:jc w:val="center"/>
              <w:rPr>
                <w:rFonts w:cs="Tahoma"/>
                <w:szCs w:val="18"/>
              </w:rPr>
            </w:pPr>
            <w:r w:rsidRPr="000A1C8E">
              <w:rPr>
                <w:rFonts w:cs="Tahoma"/>
                <w:szCs w:val="18"/>
              </w:rPr>
              <w:t>$375</w:t>
            </w:r>
            <w:r w:rsidR="00DD2BB9">
              <w:rPr>
                <w:rFonts w:cs="Tahoma"/>
                <w:szCs w:val="18"/>
              </w:rPr>
              <w:t>.</w:t>
            </w:r>
            <w:r w:rsidRPr="000A1C8E">
              <w:rPr>
                <w:rFonts w:cs="Tahoma"/>
                <w:szCs w:val="18"/>
              </w:rPr>
              <w:t>000 - $499</w:t>
            </w:r>
            <w:r w:rsidR="00DD2BB9">
              <w:rPr>
                <w:rFonts w:cs="Tahoma"/>
                <w:szCs w:val="18"/>
              </w:rPr>
              <w:t>.</w:t>
            </w:r>
            <w:r w:rsidRPr="000A1C8E">
              <w:rPr>
                <w:rFonts w:cs="Tahoma"/>
                <w:szCs w:val="18"/>
              </w:rPr>
              <w:t>999</w:t>
            </w:r>
          </w:p>
        </w:tc>
        <w:tc>
          <w:tcPr>
            <w:tcW w:w="2520" w:type="dxa"/>
          </w:tcPr>
          <w:p w:rsidR="00613BBB" w:rsidRPr="000A1C8E" w:rsidRDefault="00613BBB" w:rsidP="00613BBB">
            <w:pPr>
              <w:jc w:val="center"/>
              <w:rPr>
                <w:rFonts w:cs="Tahoma"/>
                <w:szCs w:val="18"/>
              </w:rPr>
            </w:pPr>
            <w:r w:rsidRPr="000A1C8E">
              <w:rPr>
                <w:rFonts w:cs="Tahoma"/>
                <w:szCs w:val="18"/>
              </w:rPr>
              <w:t>5</w:t>
            </w:r>
          </w:p>
        </w:tc>
      </w:tr>
      <w:tr w:rsidR="00613BBB" w:rsidRPr="000A1C8E" w:rsidTr="002A6416">
        <w:tc>
          <w:tcPr>
            <w:tcW w:w="2160" w:type="dxa"/>
          </w:tcPr>
          <w:p w:rsidR="00613BBB" w:rsidRPr="000A1C8E" w:rsidRDefault="00613BBB" w:rsidP="00DD2BB9">
            <w:pPr>
              <w:jc w:val="center"/>
              <w:rPr>
                <w:rFonts w:cs="Tahoma"/>
                <w:szCs w:val="18"/>
              </w:rPr>
            </w:pPr>
            <w:r w:rsidRPr="000A1C8E">
              <w:rPr>
                <w:rFonts w:cs="Tahoma"/>
                <w:szCs w:val="18"/>
              </w:rPr>
              <w:t>$500</w:t>
            </w:r>
            <w:r w:rsidR="00DD2BB9">
              <w:rPr>
                <w:rFonts w:cs="Tahoma"/>
                <w:szCs w:val="18"/>
              </w:rPr>
              <w:t>.</w:t>
            </w:r>
            <w:r w:rsidRPr="000A1C8E">
              <w:rPr>
                <w:rFonts w:cs="Tahoma"/>
                <w:szCs w:val="18"/>
              </w:rPr>
              <w:t>000 - $624</w:t>
            </w:r>
            <w:r w:rsidR="00DD2BB9">
              <w:rPr>
                <w:rFonts w:cs="Tahoma"/>
                <w:szCs w:val="18"/>
              </w:rPr>
              <w:t>.</w:t>
            </w:r>
            <w:r w:rsidRPr="000A1C8E">
              <w:rPr>
                <w:rFonts w:cs="Tahoma"/>
                <w:szCs w:val="18"/>
              </w:rPr>
              <w:t>999</w:t>
            </w:r>
          </w:p>
        </w:tc>
        <w:tc>
          <w:tcPr>
            <w:tcW w:w="2520" w:type="dxa"/>
          </w:tcPr>
          <w:p w:rsidR="00613BBB" w:rsidRPr="000A1C8E" w:rsidRDefault="00613BBB" w:rsidP="00613BBB">
            <w:pPr>
              <w:jc w:val="center"/>
              <w:rPr>
                <w:rFonts w:cs="Tahoma"/>
                <w:szCs w:val="18"/>
              </w:rPr>
            </w:pPr>
            <w:r w:rsidRPr="000A1C8E">
              <w:rPr>
                <w:rFonts w:cs="Tahoma"/>
                <w:szCs w:val="18"/>
              </w:rPr>
              <w:t>6</w:t>
            </w:r>
          </w:p>
        </w:tc>
      </w:tr>
      <w:tr w:rsidR="00613BBB" w:rsidRPr="000A1C8E" w:rsidTr="002A6416">
        <w:tc>
          <w:tcPr>
            <w:tcW w:w="2160" w:type="dxa"/>
          </w:tcPr>
          <w:p w:rsidR="00613BBB" w:rsidRPr="000A1C8E" w:rsidRDefault="00613BBB" w:rsidP="00DD2BB9">
            <w:pPr>
              <w:jc w:val="center"/>
              <w:rPr>
                <w:rFonts w:cs="Tahoma"/>
                <w:szCs w:val="18"/>
              </w:rPr>
            </w:pPr>
            <w:r w:rsidRPr="000A1C8E">
              <w:rPr>
                <w:rFonts w:cs="Tahoma"/>
                <w:szCs w:val="18"/>
              </w:rPr>
              <w:t>$625</w:t>
            </w:r>
            <w:r w:rsidR="00DD2BB9">
              <w:rPr>
                <w:rFonts w:cs="Tahoma"/>
                <w:szCs w:val="18"/>
              </w:rPr>
              <w:t>.</w:t>
            </w:r>
            <w:r w:rsidRPr="000A1C8E">
              <w:rPr>
                <w:rFonts w:cs="Tahoma"/>
                <w:szCs w:val="18"/>
              </w:rPr>
              <w:t>000 - $749</w:t>
            </w:r>
            <w:r w:rsidR="00DD2BB9">
              <w:rPr>
                <w:rFonts w:cs="Tahoma"/>
                <w:szCs w:val="18"/>
              </w:rPr>
              <w:t>.</w:t>
            </w:r>
            <w:r w:rsidRPr="000A1C8E">
              <w:rPr>
                <w:rFonts w:cs="Tahoma"/>
                <w:szCs w:val="18"/>
              </w:rPr>
              <w:t>999</w:t>
            </w:r>
          </w:p>
        </w:tc>
        <w:tc>
          <w:tcPr>
            <w:tcW w:w="2520" w:type="dxa"/>
          </w:tcPr>
          <w:p w:rsidR="00613BBB" w:rsidRPr="000A1C8E" w:rsidRDefault="00613BBB" w:rsidP="00613BBB">
            <w:pPr>
              <w:jc w:val="center"/>
              <w:rPr>
                <w:rFonts w:cs="Tahoma"/>
                <w:szCs w:val="18"/>
              </w:rPr>
            </w:pPr>
            <w:r w:rsidRPr="000A1C8E">
              <w:rPr>
                <w:rFonts w:cs="Tahoma"/>
                <w:szCs w:val="18"/>
              </w:rPr>
              <w:t>7</w:t>
            </w:r>
          </w:p>
        </w:tc>
      </w:tr>
      <w:tr w:rsidR="00613BBB" w:rsidRPr="000A1C8E" w:rsidTr="002A6416">
        <w:tc>
          <w:tcPr>
            <w:tcW w:w="2160" w:type="dxa"/>
          </w:tcPr>
          <w:p w:rsidR="00613BBB" w:rsidRPr="000A1C8E" w:rsidRDefault="00613BBB" w:rsidP="00DD2BB9">
            <w:pPr>
              <w:jc w:val="center"/>
              <w:rPr>
                <w:rFonts w:cs="Tahoma"/>
                <w:szCs w:val="18"/>
              </w:rPr>
            </w:pPr>
            <w:r w:rsidRPr="000A1C8E">
              <w:rPr>
                <w:rFonts w:cs="Tahoma"/>
                <w:szCs w:val="18"/>
              </w:rPr>
              <w:t>$750</w:t>
            </w:r>
            <w:r w:rsidR="00DD2BB9">
              <w:rPr>
                <w:rFonts w:cs="Tahoma"/>
                <w:szCs w:val="18"/>
              </w:rPr>
              <w:t>.</w:t>
            </w:r>
            <w:r w:rsidRPr="000A1C8E">
              <w:rPr>
                <w:rFonts w:cs="Tahoma"/>
                <w:szCs w:val="18"/>
              </w:rPr>
              <w:t>000 - $874</w:t>
            </w:r>
            <w:r w:rsidR="00DD2BB9">
              <w:rPr>
                <w:rFonts w:cs="Tahoma"/>
                <w:szCs w:val="18"/>
              </w:rPr>
              <w:t>.</w:t>
            </w:r>
            <w:r w:rsidRPr="000A1C8E">
              <w:rPr>
                <w:rFonts w:cs="Tahoma"/>
                <w:szCs w:val="18"/>
              </w:rPr>
              <w:t>999</w:t>
            </w:r>
          </w:p>
        </w:tc>
        <w:tc>
          <w:tcPr>
            <w:tcW w:w="2520" w:type="dxa"/>
          </w:tcPr>
          <w:p w:rsidR="00613BBB" w:rsidRPr="000A1C8E" w:rsidRDefault="00613BBB" w:rsidP="00613BBB">
            <w:pPr>
              <w:jc w:val="center"/>
              <w:rPr>
                <w:rFonts w:cs="Tahoma"/>
                <w:szCs w:val="18"/>
              </w:rPr>
            </w:pPr>
            <w:r w:rsidRPr="000A1C8E">
              <w:rPr>
                <w:rFonts w:cs="Tahoma"/>
                <w:szCs w:val="18"/>
              </w:rPr>
              <w:t>8</w:t>
            </w:r>
          </w:p>
        </w:tc>
      </w:tr>
    </w:tbl>
    <w:p w:rsidR="00613BBB" w:rsidRPr="000A1C8E" w:rsidRDefault="00613BBB" w:rsidP="00613BBB">
      <w:pPr>
        <w:rPr>
          <w:rFonts w:cs="Tahoma"/>
        </w:rPr>
      </w:pPr>
    </w:p>
    <w:p w:rsidR="00583BF5" w:rsidRPr="000A1C8E" w:rsidRDefault="00583BF5" w:rsidP="00613BBB">
      <w:pPr>
        <w:rPr>
          <w:rFonts w:cs="Tahoma"/>
        </w:rPr>
      </w:pPr>
    </w:p>
    <w:p w:rsidR="00A17E03" w:rsidRPr="000A1C8E" w:rsidRDefault="00A17E03" w:rsidP="00FF1B2B">
      <w:pPr>
        <w:rPr>
          <w:rFonts w:cs="Tahoma"/>
        </w:rPr>
      </w:pPr>
      <w:r w:rsidRPr="000A1C8E">
        <w:rPr>
          <w:rFonts w:cs="Tahoma"/>
          <w:szCs w:val="18"/>
        </w:rPr>
        <w:t>A seguinte tabela se aplica a clientes que possuam licenças para PDW:</w:t>
      </w:r>
    </w:p>
    <w:p w:rsidR="00A17E03" w:rsidRPr="000A1C8E" w:rsidRDefault="00A17E03" w:rsidP="00A17E03">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0A1C8E" w:rsidTr="002A6416">
        <w:tc>
          <w:tcPr>
            <w:tcW w:w="2160" w:type="dxa"/>
            <w:shd w:val="clear" w:color="auto" w:fill="FABF8F"/>
          </w:tcPr>
          <w:p w:rsidR="00A17E03" w:rsidRPr="000A1C8E" w:rsidRDefault="00A17E03" w:rsidP="00A17E03">
            <w:pPr>
              <w:jc w:val="center"/>
              <w:rPr>
                <w:rFonts w:cs="Tahoma"/>
                <w:color w:val="000000"/>
                <w:szCs w:val="18"/>
              </w:rPr>
            </w:pPr>
            <w:r w:rsidRPr="000A1C8E">
              <w:rPr>
                <w:rFonts w:cs="Tahoma"/>
                <w:b/>
                <w:bCs/>
                <w:color w:val="000000"/>
                <w:szCs w:val="18"/>
              </w:rPr>
              <w:lastRenderedPageBreak/>
              <w:t>Média de Gasto de SA Anual</w:t>
            </w:r>
          </w:p>
        </w:tc>
        <w:tc>
          <w:tcPr>
            <w:tcW w:w="2520" w:type="dxa"/>
            <w:shd w:val="clear" w:color="auto" w:fill="FABF8F"/>
          </w:tcPr>
          <w:p w:rsidR="00A17E03" w:rsidRPr="000A1C8E" w:rsidRDefault="00A17E03" w:rsidP="00A17E03">
            <w:pPr>
              <w:jc w:val="center"/>
              <w:rPr>
                <w:rFonts w:cs="Tahoma"/>
                <w:color w:val="000000"/>
                <w:szCs w:val="18"/>
              </w:rPr>
            </w:pPr>
            <w:r w:rsidRPr="000A1C8E">
              <w:rPr>
                <w:rFonts w:cs="Tahoma"/>
                <w:b/>
                <w:bCs/>
                <w:color w:val="000000"/>
                <w:szCs w:val="18"/>
              </w:rPr>
              <w:t>Contatos de suporte permitidos</w:t>
            </w:r>
          </w:p>
        </w:tc>
      </w:tr>
      <w:tr w:rsidR="00A17E03" w:rsidRPr="000A1C8E" w:rsidTr="002A6416">
        <w:tc>
          <w:tcPr>
            <w:tcW w:w="2160" w:type="dxa"/>
          </w:tcPr>
          <w:p w:rsidR="00A17E03" w:rsidRPr="000A1C8E" w:rsidRDefault="00A17E03" w:rsidP="00DD2BB9">
            <w:pPr>
              <w:jc w:val="center"/>
              <w:rPr>
                <w:rFonts w:cs="Tahoma"/>
                <w:color w:val="000000"/>
                <w:szCs w:val="18"/>
              </w:rPr>
            </w:pPr>
            <w:r w:rsidRPr="000A1C8E">
              <w:rPr>
                <w:rFonts w:cs="Tahoma"/>
                <w:color w:val="000000"/>
                <w:szCs w:val="18"/>
              </w:rPr>
              <w:t>$0 - $374</w:t>
            </w:r>
            <w:r w:rsidR="00DD2BB9">
              <w:rPr>
                <w:rFonts w:cs="Tahoma"/>
                <w:color w:val="000000"/>
                <w:szCs w:val="18"/>
              </w:rPr>
              <w:t>.</w:t>
            </w:r>
            <w:r w:rsidRPr="000A1C8E">
              <w:rPr>
                <w:rFonts w:cs="Tahoma"/>
                <w:color w:val="000000"/>
                <w:szCs w:val="18"/>
              </w:rPr>
              <w:t>999</w:t>
            </w:r>
          </w:p>
        </w:tc>
        <w:tc>
          <w:tcPr>
            <w:tcW w:w="2520" w:type="dxa"/>
          </w:tcPr>
          <w:p w:rsidR="00A17E03" w:rsidRPr="000A1C8E" w:rsidRDefault="00A17E03" w:rsidP="00A17E03">
            <w:pPr>
              <w:jc w:val="center"/>
              <w:rPr>
                <w:rFonts w:cs="Tahoma"/>
                <w:color w:val="000000"/>
                <w:szCs w:val="18"/>
              </w:rPr>
            </w:pPr>
            <w:r w:rsidRPr="000A1C8E">
              <w:rPr>
                <w:rFonts w:cs="Tahoma"/>
                <w:color w:val="000000"/>
                <w:szCs w:val="18"/>
              </w:rPr>
              <w:t>4</w:t>
            </w:r>
          </w:p>
        </w:tc>
      </w:tr>
      <w:tr w:rsidR="00A17E03" w:rsidRPr="000A1C8E" w:rsidTr="002A6416">
        <w:tc>
          <w:tcPr>
            <w:tcW w:w="2160" w:type="dxa"/>
          </w:tcPr>
          <w:p w:rsidR="00A17E03" w:rsidRPr="000A1C8E" w:rsidRDefault="00A17E03" w:rsidP="00DD2BB9">
            <w:pPr>
              <w:jc w:val="center"/>
              <w:rPr>
                <w:rFonts w:cs="Tahoma"/>
                <w:szCs w:val="18"/>
              </w:rPr>
            </w:pPr>
            <w:r w:rsidRPr="000A1C8E">
              <w:rPr>
                <w:rFonts w:cs="Tahoma"/>
                <w:szCs w:val="18"/>
              </w:rPr>
              <w:t>$375</w:t>
            </w:r>
            <w:r w:rsidR="00DD2BB9">
              <w:rPr>
                <w:rFonts w:cs="Tahoma"/>
                <w:szCs w:val="18"/>
              </w:rPr>
              <w:t>.</w:t>
            </w:r>
            <w:r w:rsidRPr="000A1C8E">
              <w:rPr>
                <w:rFonts w:cs="Tahoma"/>
                <w:szCs w:val="18"/>
              </w:rPr>
              <w:t>000 - $499</w:t>
            </w:r>
            <w:r w:rsidR="00DD2BB9">
              <w:rPr>
                <w:rFonts w:cs="Tahoma"/>
                <w:szCs w:val="18"/>
              </w:rPr>
              <w:t>.</w:t>
            </w:r>
            <w:r w:rsidRPr="000A1C8E">
              <w:rPr>
                <w:rFonts w:cs="Tahoma"/>
                <w:szCs w:val="18"/>
              </w:rPr>
              <w:t>999</w:t>
            </w:r>
          </w:p>
        </w:tc>
        <w:tc>
          <w:tcPr>
            <w:tcW w:w="2520" w:type="dxa"/>
          </w:tcPr>
          <w:p w:rsidR="00A17E03" w:rsidRPr="000A1C8E" w:rsidRDefault="00A17E03" w:rsidP="00A17E03">
            <w:pPr>
              <w:jc w:val="center"/>
              <w:rPr>
                <w:rFonts w:cs="Tahoma"/>
                <w:szCs w:val="18"/>
              </w:rPr>
            </w:pPr>
            <w:r w:rsidRPr="000A1C8E">
              <w:rPr>
                <w:rFonts w:cs="Tahoma"/>
                <w:szCs w:val="18"/>
              </w:rPr>
              <w:t>5</w:t>
            </w:r>
          </w:p>
        </w:tc>
      </w:tr>
      <w:tr w:rsidR="00A17E03" w:rsidRPr="000A1C8E" w:rsidTr="002A6416">
        <w:tc>
          <w:tcPr>
            <w:tcW w:w="2160" w:type="dxa"/>
          </w:tcPr>
          <w:p w:rsidR="00A17E03" w:rsidRPr="000A1C8E" w:rsidRDefault="00A17E03" w:rsidP="00DD2BB9">
            <w:pPr>
              <w:jc w:val="center"/>
              <w:rPr>
                <w:rFonts w:cs="Tahoma"/>
                <w:szCs w:val="18"/>
              </w:rPr>
            </w:pPr>
            <w:r w:rsidRPr="000A1C8E">
              <w:rPr>
                <w:rFonts w:cs="Tahoma"/>
                <w:szCs w:val="18"/>
              </w:rPr>
              <w:t>$500</w:t>
            </w:r>
            <w:r w:rsidR="00DD2BB9">
              <w:rPr>
                <w:rFonts w:cs="Tahoma"/>
                <w:szCs w:val="18"/>
              </w:rPr>
              <w:t>.</w:t>
            </w:r>
            <w:r w:rsidRPr="000A1C8E">
              <w:rPr>
                <w:rFonts w:cs="Tahoma"/>
                <w:szCs w:val="18"/>
              </w:rPr>
              <w:t>000 - $624</w:t>
            </w:r>
            <w:r w:rsidR="00DD2BB9">
              <w:rPr>
                <w:rFonts w:cs="Tahoma"/>
                <w:szCs w:val="18"/>
              </w:rPr>
              <w:t>.</w:t>
            </w:r>
            <w:r w:rsidRPr="000A1C8E">
              <w:rPr>
                <w:rFonts w:cs="Tahoma"/>
                <w:szCs w:val="18"/>
              </w:rPr>
              <w:t>999</w:t>
            </w:r>
          </w:p>
        </w:tc>
        <w:tc>
          <w:tcPr>
            <w:tcW w:w="2520" w:type="dxa"/>
          </w:tcPr>
          <w:p w:rsidR="00A17E03" w:rsidRPr="000A1C8E" w:rsidRDefault="00A17E03" w:rsidP="00A17E03">
            <w:pPr>
              <w:jc w:val="center"/>
              <w:rPr>
                <w:rFonts w:cs="Tahoma"/>
                <w:szCs w:val="18"/>
              </w:rPr>
            </w:pPr>
            <w:r w:rsidRPr="000A1C8E">
              <w:rPr>
                <w:rFonts w:cs="Tahoma"/>
                <w:szCs w:val="18"/>
              </w:rPr>
              <w:t>6</w:t>
            </w:r>
          </w:p>
        </w:tc>
      </w:tr>
      <w:tr w:rsidR="00A17E03" w:rsidRPr="000A1C8E" w:rsidTr="002A6416">
        <w:tc>
          <w:tcPr>
            <w:tcW w:w="2160" w:type="dxa"/>
          </w:tcPr>
          <w:p w:rsidR="00A17E03" w:rsidRPr="000A1C8E" w:rsidRDefault="00A17E03" w:rsidP="00DD2BB9">
            <w:pPr>
              <w:jc w:val="center"/>
              <w:rPr>
                <w:rFonts w:cs="Tahoma"/>
                <w:szCs w:val="18"/>
              </w:rPr>
            </w:pPr>
            <w:r w:rsidRPr="000A1C8E">
              <w:rPr>
                <w:rFonts w:cs="Tahoma"/>
                <w:szCs w:val="18"/>
              </w:rPr>
              <w:t>$625</w:t>
            </w:r>
            <w:r w:rsidR="00DD2BB9">
              <w:rPr>
                <w:rFonts w:cs="Tahoma"/>
                <w:szCs w:val="18"/>
              </w:rPr>
              <w:t>.</w:t>
            </w:r>
            <w:r w:rsidRPr="000A1C8E">
              <w:rPr>
                <w:rFonts w:cs="Tahoma"/>
                <w:szCs w:val="18"/>
              </w:rPr>
              <w:t>000 - $749</w:t>
            </w:r>
            <w:r w:rsidR="00DD2BB9">
              <w:rPr>
                <w:rFonts w:cs="Tahoma"/>
                <w:szCs w:val="18"/>
              </w:rPr>
              <w:t>.</w:t>
            </w:r>
            <w:r w:rsidRPr="000A1C8E">
              <w:rPr>
                <w:rFonts w:cs="Tahoma"/>
                <w:szCs w:val="18"/>
              </w:rPr>
              <w:t>999</w:t>
            </w:r>
          </w:p>
        </w:tc>
        <w:tc>
          <w:tcPr>
            <w:tcW w:w="2520" w:type="dxa"/>
          </w:tcPr>
          <w:p w:rsidR="00A17E03" w:rsidRPr="000A1C8E" w:rsidRDefault="00A17E03" w:rsidP="00A17E03">
            <w:pPr>
              <w:jc w:val="center"/>
              <w:rPr>
                <w:rFonts w:cs="Tahoma"/>
                <w:szCs w:val="18"/>
              </w:rPr>
            </w:pPr>
            <w:r w:rsidRPr="000A1C8E">
              <w:rPr>
                <w:rFonts w:cs="Tahoma"/>
                <w:szCs w:val="18"/>
              </w:rPr>
              <w:t>7</w:t>
            </w:r>
          </w:p>
        </w:tc>
      </w:tr>
      <w:tr w:rsidR="00A17E03" w:rsidRPr="000A1C8E" w:rsidTr="002A6416">
        <w:tc>
          <w:tcPr>
            <w:tcW w:w="2160" w:type="dxa"/>
          </w:tcPr>
          <w:p w:rsidR="00A17E03" w:rsidRPr="000A1C8E" w:rsidRDefault="00A17E03" w:rsidP="00DD2BB9">
            <w:pPr>
              <w:jc w:val="center"/>
              <w:rPr>
                <w:rFonts w:cs="Tahoma"/>
                <w:szCs w:val="18"/>
              </w:rPr>
            </w:pPr>
            <w:r w:rsidRPr="000A1C8E">
              <w:rPr>
                <w:rFonts w:cs="Tahoma"/>
                <w:szCs w:val="18"/>
              </w:rPr>
              <w:t>$750</w:t>
            </w:r>
            <w:r w:rsidR="00DD2BB9">
              <w:rPr>
                <w:rFonts w:cs="Tahoma"/>
                <w:szCs w:val="18"/>
              </w:rPr>
              <w:t>.</w:t>
            </w:r>
            <w:r w:rsidRPr="000A1C8E">
              <w:rPr>
                <w:rFonts w:cs="Tahoma"/>
                <w:szCs w:val="18"/>
              </w:rPr>
              <w:t>000 - $874</w:t>
            </w:r>
            <w:r w:rsidR="00DD2BB9">
              <w:rPr>
                <w:rFonts w:cs="Tahoma"/>
                <w:szCs w:val="18"/>
              </w:rPr>
              <w:t>.</w:t>
            </w:r>
            <w:r w:rsidRPr="000A1C8E">
              <w:rPr>
                <w:rFonts w:cs="Tahoma"/>
                <w:szCs w:val="18"/>
              </w:rPr>
              <w:t>999</w:t>
            </w:r>
          </w:p>
        </w:tc>
        <w:tc>
          <w:tcPr>
            <w:tcW w:w="2520" w:type="dxa"/>
          </w:tcPr>
          <w:p w:rsidR="00A17E03" w:rsidRPr="000A1C8E" w:rsidRDefault="00A17E03" w:rsidP="00A17E03">
            <w:pPr>
              <w:jc w:val="center"/>
              <w:rPr>
                <w:rFonts w:cs="Tahoma"/>
                <w:szCs w:val="18"/>
              </w:rPr>
            </w:pPr>
            <w:r w:rsidRPr="000A1C8E">
              <w:rPr>
                <w:rFonts w:cs="Tahoma"/>
                <w:szCs w:val="18"/>
              </w:rPr>
              <w:t>8</w:t>
            </w:r>
          </w:p>
        </w:tc>
      </w:tr>
    </w:tbl>
    <w:p w:rsidR="00A17E03" w:rsidRPr="000A1C8E" w:rsidRDefault="00A17E03" w:rsidP="00F530ED">
      <w:pPr>
        <w:jc w:val="both"/>
        <w:rPr>
          <w:rFonts w:cs="Tahoma"/>
        </w:rPr>
      </w:pPr>
    </w:p>
    <w:p w:rsidR="00A17E03" w:rsidRPr="000A1C8E" w:rsidRDefault="00A17E03" w:rsidP="00F42FB8">
      <w:pPr>
        <w:jc w:val="both"/>
        <w:rPr>
          <w:rFonts w:cs="Tahoma"/>
        </w:rPr>
      </w:pPr>
      <w:r w:rsidRPr="000A1C8E">
        <w:rPr>
          <w:rFonts w:cs="Tahoma"/>
          <w:szCs w:val="18"/>
        </w:rPr>
        <w:t xml:space="preserve">As solicitações de suporte devem ser iniciadas via telefone ou Web por um contato designado do cliente e seguir o 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rsidR="00023FE7" w:rsidRPr="000A1C8E" w:rsidRDefault="00023FE7" w:rsidP="00F42FB8">
      <w:pPr>
        <w:pStyle w:val="Heading3"/>
        <w:rPr>
          <w:rFonts w:ascii="Tahoma" w:hAnsi="Tahoma" w:cs="Tahoma"/>
        </w:rPr>
      </w:pPr>
    </w:p>
    <w:p w:rsidR="00620185" w:rsidRPr="000A1C8E" w:rsidRDefault="00620185" w:rsidP="00F42FB8">
      <w:pPr>
        <w:pStyle w:val="Heading3"/>
        <w:rPr>
          <w:rFonts w:ascii="Tahoma" w:hAnsi="Tahoma" w:cs="Tahoma"/>
        </w:rPr>
      </w:pPr>
      <w:bookmarkStart w:id="752" w:name="_Toc336338238"/>
      <w:bookmarkStart w:id="753" w:name="_Toc361829322"/>
      <w:r w:rsidRPr="000A1C8E">
        <w:rPr>
          <w:rFonts w:ascii="Tahoma" w:hAnsi="Tahoma" w:cs="Tahoma"/>
          <w:color w:val="000000"/>
          <w:sz w:val="24"/>
          <w:szCs w:val="18"/>
        </w:rPr>
        <w:t>System Center Advisor</w:t>
      </w:r>
      <w:bookmarkEnd w:id="752"/>
      <w:bookmarkEnd w:id="753"/>
    </w:p>
    <w:p w:rsidR="00620185" w:rsidRPr="000A1C8E" w:rsidRDefault="00620185" w:rsidP="00F42FB8">
      <w:pPr>
        <w:rPr>
          <w:rFonts w:cs="Tahoma"/>
        </w:rPr>
      </w:pPr>
    </w:p>
    <w:p w:rsidR="001C1727" w:rsidRPr="000A1C8E" w:rsidRDefault="00F56FC9">
      <w:pPr>
        <w:rPr>
          <w:rFonts w:cs="Tahoma"/>
        </w:rPr>
      </w:pPr>
      <w:r w:rsidRPr="000A1C8E">
        <w:rPr>
          <w:rFonts w:cs="Tahoma"/>
          <w:szCs w:val="18"/>
        </w:rPr>
        <w:t xml:space="preserve">Os clientes com cobertura de Software Assurance ativa para licenças de software para as edições do Windows Server, SQL Server, Exchange Server e SharePoint Server identificadas na tabela a seguir estão qualificados para usar o System Center Advisor conforme definido nos Direitos de Uso do Produto. </w:t>
      </w:r>
    </w:p>
    <w:p w:rsidR="003479E5" w:rsidRPr="000A1C8E" w:rsidRDefault="003479E5"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0A1C8E" w:rsidTr="00583BF5">
        <w:trPr>
          <w:tblHeader/>
        </w:trPr>
        <w:tc>
          <w:tcPr>
            <w:tcW w:w="3760" w:type="dxa"/>
            <w:gridSpan w:val="2"/>
            <w:shd w:val="clear" w:color="auto" w:fill="FABF8F"/>
          </w:tcPr>
          <w:p w:rsidR="00A13BC3" w:rsidRPr="000A1C8E" w:rsidRDefault="00A13BC3" w:rsidP="007E466C">
            <w:pPr>
              <w:spacing w:before="120" w:after="120" w:line="276" w:lineRule="auto"/>
              <w:jc w:val="center"/>
              <w:rPr>
                <w:rFonts w:cs="Tahoma"/>
                <w:b/>
                <w:bCs/>
                <w:color w:val="000000"/>
                <w:szCs w:val="18"/>
                <w:lang w:eastAsia="ja-JP"/>
              </w:rPr>
            </w:pPr>
            <w:r w:rsidRPr="000A1C8E">
              <w:rPr>
                <w:rFonts w:cs="Tahoma"/>
                <w:b/>
                <w:bCs/>
                <w:color w:val="000000"/>
                <w:szCs w:val="18"/>
              </w:rPr>
              <w:t>Software* para Servidores Qualificado</w:t>
            </w:r>
          </w:p>
        </w:tc>
        <w:tc>
          <w:tcPr>
            <w:tcW w:w="1774" w:type="dxa"/>
            <w:shd w:val="clear" w:color="auto" w:fill="FABF8F"/>
          </w:tcPr>
          <w:p w:rsidR="00A13BC3" w:rsidRPr="000A1C8E"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0A1C8E"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0A1C8E" w:rsidRDefault="00A13BC3" w:rsidP="003479E5">
            <w:pPr>
              <w:spacing w:after="200" w:line="276" w:lineRule="auto"/>
              <w:jc w:val="center"/>
              <w:rPr>
                <w:rFonts w:cs="Tahoma"/>
                <w:b/>
                <w:bCs/>
                <w:color w:val="000000"/>
                <w:szCs w:val="18"/>
                <w:lang w:eastAsia="ja-JP"/>
              </w:rPr>
            </w:pPr>
          </w:p>
        </w:tc>
      </w:tr>
      <w:tr w:rsidR="00A13BC3" w:rsidRPr="000A1C8E" w:rsidTr="00583BF5">
        <w:trPr>
          <w:tblHeader/>
        </w:trPr>
        <w:tc>
          <w:tcPr>
            <w:tcW w:w="1912" w:type="dxa"/>
            <w:shd w:val="clear" w:color="auto" w:fill="FABF8F"/>
            <w:vAlign w:val="center"/>
          </w:tcPr>
          <w:p w:rsidR="00A13BC3" w:rsidRPr="000A1C8E" w:rsidRDefault="00A13BC3" w:rsidP="007E466C">
            <w:pPr>
              <w:spacing w:before="120" w:after="120" w:line="276" w:lineRule="auto"/>
              <w:jc w:val="center"/>
              <w:rPr>
                <w:rFonts w:cs="Tahoma"/>
                <w:color w:val="000000"/>
                <w:szCs w:val="18"/>
                <w:lang w:eastAsia="ja-JP"/>
              </w:rPr>
            </w:pPr>
            <w:r w:rsidRPr="000A1C8E">
              <w:rPr>
                <w:rFonts w:cs="Tahoma"/>
                <w:b/>
                <w:bCs/>
                <w:color w:val="000000"/>
                <w:szCs w:val="18"/>
              </w:rPr>
              <w:t>Windows Server</w:t>
            </w:r>
          </w:p>
        </w:tc>
        <w:tc>
          <w:tcPr>
            <w:tcW w:w="1848" w:type="dxa"/>
            <w:shd w:val="clear" w:color="auto" w:fill="FABF8F"/>
            <w:vAlign w:val="center"/>
          </w:tcPr>
          <w:p w:rsidR="00A13BC3" w:rsidRPr="000A1C8E" w:rsidRDefault="00A13BC3" w:rsidP="007E466C">
            <w:pPr>
              <w:spacing w:before="120" w:after="120" w:line="276" w:lineRule="auto"/>
              <w:jc w:val="center"/>
              <w:rPr>
                <w:rFonts w:cs="Tahoma"/>
                <w:color w:val="000000"/>
                <w:szCs w:val="18"/>
                <w:lang w:eastAsia="ja-JP"/>
              </w:rPr>
            </w:pPr>
            <w:r w:rsidRPr="000A1C8E">
              <w:rPr>
                <w:rFonts w:cs="Tahoma"/>
                <w:b/>
                <w:bCs/>
                <w:color w:val="000000"/>
                <w:szCs w:val="18"/>
              </w:rPr>
              <w:t>SQL Server</w:t>
            </w:r>
          </w:p>
        </w:tc>
        <w:tc>
          <w:tcPr>
            <w:tcW w:w="1774" w:type="dxa"/>
            <w:shd w:val="clear" w:color="auto" w:fill="FABF8F"/>
            <w:vAlign w:val="center"/>
          </w:tcPr>
          <w:p w:rsidR="00A13BC3" w:rsidRPr="000A1C8E" w:rsidRDefault="00A13BC3" w:rsidP="007E466C">
            <w:pPr>
              <w:spacing w:before="120" w:after="120" w:line="276" w:lineRule="auto"/>
              <w:jc w:val="center"/>
              <w:rPr>
                <w:rFonts w:cs="Tahoma"/>
                <w:b/>
                <w:bCs/>
                <w:color w:val="000000"/>
                <w:szCs w:val="18"/>
                <w:lang w:eastAsia="ja-JP"/>
              </w:rPr>
            </w:pPr>
            <w:r w:rsidRPr="000A1C8E">
              <w:rPr>
                <w:rFonts w:cs="Tahoma"/>
                <w:b/>
                <w:bCs/>
                <w:color w:val="000000"/>
                <w:szCs w:val="18"/>
              </w:rPr>
              <w:t>Exchange Server</w:t>
            </w:r>
          </w:p>
        </w:tc>
        <w:tc>
          <w:tcPr>
            <w:tcW w:w="1913" w:type="dxa"/>
            <w:shd w:val="clear" w:color="auto" w:fill="FABF8F"/>
            <w:vAlign w:val="center"/>
          </w:tcPr>
          <w:p w:rsidR="00A13BC3" w:rsidRPr="000A1C8E" w:rsidRDefault="00A13BC3" w:rsidP="007E466C">
            <w:pPr>
              <w:spacing w:before="120" w:after="120" w:line="276" w:lineRule="auto"/>
              <w:jc w:val="center"/>
              <w:rPr>
                <w:rFonts w:cs="Tahoma"/>
                <w:b/>
                <w:bCs/>
                <w:color w:val="000000"/>
                <w:szCs w:val="18"/>
                <w:lang w:eastAsia="ja-JP"/>
              </w:rPr>
            </w:pPr>
            <w:r w:rsidRPr="000A1C8E">
              <w:rPr>
                <w:rFonts w:cs="Tahoma"/>
                <w:b/>
                <w:bCs/>
                <w:color w:val="000000"/>
                <w:szCs w:val="18"/>
              </w:rPr>
              <w:t>SharePoint Server</w:t>
            </w:r>
          </w:p>
        </w:tc>
        <w:tc>
          <w:tcPr>
            <w:tcW w:w="1391" w:type="dxa"/>
            <w:shd w:val="clear" w:color="auto" w:fill="FABF8F"/>
            <w:vAlign w:val="center"/>
          </w:tcPr>
          <w:p w:rsidR="00A13BC3" w:rsidRPr="000A1C8E" w:rsidRDefault="00A13BC3" w:rsidP="007E466C">
            <w:pPr>
              <w:spacing w:before="120" w:after="120" w:line="276" w:lineRule="auto"/>
              <w:jc w:val="center"/>
              <w:rPr>
                <w:rFonts w:cs="Tahoma"/>
                <w:b/>
                <w:bCs/>
                <w:color w:val="000000"/>
                <w:szCs w:val="18"/>
                <w:lang w:eastAsia="ja-JP"/>
              </w:rPr>
            </w:pPr>
            <w:r w:rsidRPr="000A1C8E">
              <w:rPr>
                <w:rFonts w:cs="Tahoma"/>
                <w:b/>
                <w:bCs/>
                <w:color w:val="000000"/>
                <w:szCs w:val="18"/>
              </w:rPr>
              <w:t>Lync Server</w:t>
            </w:r>
          </w:p>
        </w:tc>
      </w:tr>
      <w:tr w:rsidR="00A13BC3" w:rsidRPr="000A1C8E" w:rsidTr="007E466C">
        <w:tc>
          <w:tcPr>
            <w:tcW w:w="1912"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Windows Server Datacenter</w:t>
            </w:r>
          </w:p>
        </w:tc>
        <w:tc>
          <w:tcPr>
            <w:tcW w:w="1848"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 xml:space="preserve">SQL Server Parallel Data Warehouse </w:t>
            </w:r>
          </w:p>
        </w:tc>
        <w:tc>
          <w:tcPr>
            <w:tcW w:w="1774"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Exchange Small Business Server</w:t>
            </w:r>
          </w:p>
        </w:tc>
        <w:tc>
          <w:tcPr>
            <w:tcW w:w="1913"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SharePoint Server Enterprise para Sites da Internet</w:t>
            </w:r>
          </w:p>
        </w:tc>
        <w:tc>
          <w:tcPr>
            <w:tcW w:w="1391"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Lync Server 2010 Enterprise Edition</w:t>
            </w:r>
          </w:p>
        </w:tc>
      </w:tr>
      <w:tr w:rsidR="00A13BC3" w:rsidRPr="000A1C8E" w:rsidTr="007E466C">
        <w:tc>
          <w:tcPr>
            <w:tcW w:w="1912" w:type="dxa"/>
          </w:tcPr>
          <w:p w:rsidR="00A13BC3" w:rsidRPr="000A1C8E" w:rsidRDefault="00A13BC3" w:rsidP="003479E5">
            <w:pPr>
              <w:spacing w:after="200" w:line="276" w:lineRule="auto"/>
              <w:jc w:val="center"/>
              <w:rPr>
                <w:rFonts w:cs="Tahoma"/>
                <w:szCs w:val="18"/>
              </w:rPr>
            </w:pPr>
            <w:r w:rsidRPr="000A1C8E">
              <w:rPr>
                <w:rFonts w:cs="Tahoma"/>
                <w:color w:val="000000"/>
                <w:szCs w:val="18"/>
              </w:rPr>
              <w:t>Windows Server Enterprise</w:t>
            </w:r>
          </w:p>
        </w:tc>
        <w:tc>
          <w:tcPr>
            <w:tcW w:w="1848" w:type="dxa"/>
          </w:tcPr>
          <w:p w:rsidR="00A13BC3" w:rsidRPr="000A1C8E" w:rsidRDefault="00A13BC3" w:rsidP="003479E5">
            <w:pPr>
              <w:spacing w:after="200" w:line="276" w:lineRule="auto"/>
              <w:jc w:val="center"/>
              <w:rPr>
                <w:rFonts w:cs="Tahoma"/>
                <w:szCs w:val="18"/>
                <w:lang w:eastAsia="ja-JP"/>
              </w:rPr>
            </w:pPr>
            <w:r w:rsidRPr="000A1C8E">
              <w:rPr>
                <w:rFonts w:cs="Tahoma"/>
                <w:color w:val="000000"/>
                <w:szCs w:val="18"/>
              </w:rPr>
              <w:t>SQL Server Datacenter</w:t>
            </w:r>
          </w:p>
        </w:tc>
        <w:tc>
          <w:tcPr>
            <w:tcW w:w="1774"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Exchange Server Enterprise</w:t>
            </w:r>
          </w:p>
        </w:tc>
        <w:tc>
          <w:tcPr>
            <w:tcW w:w="1913"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SharePoint Server Standard para Sites de Internet</w:t>
            </w:r>
          </w:p>
        </w:tc>
        <w:tc>
          <w:tcPr>
            <w:tcW w:w="1391"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Lync Server 2010 Standard Edition</w:t>
            </w:r>
          </w:p>
        </w:tc>
      </w:tr>
      <w:tr w:rsidR="00A13BC3" w:rsidRPr="000A1C8E" w:rsidTr="007E466C">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color w:val="000000"/>
                <w:szCs w:val="18"/>
              </w:rPr>
              <w:t>Windows Server Standard</w:t>
            </w:r>
          </w:p>
        </w:tc>
        <w:tc>
          <w:tcPr>
            <w:tcW w:w="1848" w:type="dxa"/>
          </w:tcPr>
          <w:p w:rsidR="00A13BC3" w:rsidRPr="000A1C8E" w:rsidRDefault="00A13BC3" w:rsidP="003479E5">
            <w:pPr>
              <w:spacing w:after="200" w:line="276" w:lineRule="auto"/>
              <w:jc w:val="center"/>
              <w:rPr>
                <w:rFonts w:cs="Tahoma"/>
                <w:szCs w:val="18"/>
                <w:lang w:eastAsia="ja-JP"/>
              </w:rPr>
            </w:pPr>
            <w:r w:rsidRPr="000A1C8E">
              <w:rPr>
                <w:rFonts w:cs="Tahoma"/>
                <w:szCs w:val="18"/>
              </w:rPr>
              <w:t>SQL Server Enterprise</w:t>
            </w:r>
          </w:p>
        </w:tc>
        <w:tc>
          <w:tcPr>
            <w:tcW w:w="1774"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Exchange Server Standard</w:t>
            </w:r>
          </w:p>
        </w:tc>
        <w:tc>
          <w:tcPr>
            <w:tcW w:w="1913" w:type="dxa"/>
          </w:tcPr>
          <w:p w:rsidR="00A13BC3" w:rsidRPr="000A1C8E" w:rsidRDefault="00A13BC3" w:rsidP="003479E5">
            <w:pPr>
              <w:spacing w:after="200" w:line="276" w:lineRule="auto"/>
              <w:jc w:val="center"/>
              <w:rPr>
                <w:rFonts w:cs="Tahoma"/>
                <w:color w:val="000000"/>
                <w:szCs w:val="18"/>
                <w:lang w:eastAsia="ja-JP"/>
              </w:rPr>
            </w:pPr>
            <w:r w:rsidRPr="000A1C8E">
              <w:rPr>
                <w:rFonts w:cs="Tahoma"/>
                <w:color w:val="000000"/>
                <w:szCs w:val="18"/>
              </w:rPr>
              <w:t>SharePoint Server</w:t>
            </w:r>
          </w:p>
        </w:tc>
        <w:tc>
          <w:tcPr>
            <w:tcW w:w="1391" w:type="dxa"/>
          </w:tcPr>
          <w:p w:rsidR="00A13BC3" w:rsidRPr="000A1C8E" w:rsidRDefault="00A13BC3" w:rsidP="003479E5">
            <w:pPr>
              <w:spacing w:after="200" w:line="276" w:lineRule="auto"/>
              <w:jc w:val="center"/>
              <w:rPr>
                <w:rFonts w:cs="Tahoma"/>
                <w:color w:val="000000"/>
                <w:szCs w:val="18"/>
                <w:lang w:eastAsia="ja-JP"/>
              </w:rPr>
            </w:pPr>
          </w:p>
        </w:tc>
      </w:tr>
      <w:tr w:rsidR="00A13BC3" w:rsidRPr="000A1C8E" w:rsidTr="007E466C">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szCs w:val="18"/>
              </w:rPr>
              <w:t>Complemento do Windows Small Business Server Premium</w:t>
            </w:r>
          </w:p>
        </w:tc>
        <w:tc>
          <w:tcPr>
            <w:tcW w:w="1848" w:type="dxa"/>
          </w:tcPr>
          <w:p w:rsidR="00A13BC3" w:rsidRPr="000A1C8E" w:rsidRDefault="00A13BC3" w:rsidP="003479E5">
            <w:pPr>
              <w:spacing w:after="200" w:line="276" w:lineRule="auto"/>
              <w:jc w:val="center"/>
              <w:rPr>
                <w:rFonts w:cs="Tahoma"/>
                <w:szCs w:val="18"/>
                <w:lang w:eastAsia="ja-JP"/>
              </w:rPr>
            </w:pPr>
            <w:r w:rsidRPr="000A1C8E">
              <w:rPr>
                <w:rFonts w:cs="Tahoma"/>
                <w:szCs w:val="18"/>
              </w:rPr>
              <w:t>SQL Server Standard</w:t>
            </w:r>
          </w:p>
        </w:tc>
        <w:tc>
          <w:tcPr>
            <w:tcW w:w="1774" w:type="dxa"/>
          </w:tcPr>
          <w:p w:rsidR="00A13BC3" w:rsidRPr="000A1C8E" w:rsidRDefault="00A13BC3" w:rsidP="003479E5">
            <w:pPr>
              <w:spacing w:after="200" w:line="276" w:lineRule="auto"/>
              <w:jc w:val="center"/>
              <w:rPr>
                <w:rFonts w:cs="Tahoma"/>
                <w:szCs w:val="18"/>
                <w:lang w:eastAsia="ja-JP"/>
              </w:rPr>
            </w:pPr>
          </w:p>
        </w:tc>
        <w:tc>
          <w:tcPr>
            <w:tcW w:w="1913" w:type="dxa"/>
          </w:tcPr>
          <w:p w:rsidR="00A13BC3" w:rsidRPr="000A1C8E" w:rsidRDefault="00A13BC3" w:rsidP="003479E5">
            <w:pPr>
              <w:spacing w:after="200" w:line="276" w:lineRule="auto"/>
              <w:jc w:val="center"/>
              <w:rPr>
                <w:rFonts w:cs="Tahoma"/>
                <w:szCs w:val="18"/>
                <w:lang w:eastAsia="ja-JP"/>
              </w:rPr>
            </w:pPr>
          </w:p>
        </w:tc>
        <w:tc>
          <w:tcPr>
            <w:tcW w:w="1391" w:type="dxa"/>
          </w:tcPr>
          <w:p w:rsidR="00A13BC3" w:rsidRPr="000A1C8E" w:rsidRDefault="00A13BC3" w:rsidP="003479E5">
            <w:pPr>
              <w:spacing w:after="200" w:line="276" w:lineRule="auto"/>
              <w:jc w:val="center"/>
              <w:rPr>
                <w:rFonts w:cs="Tahoma"/>
                <w:szCs w:val="18"/>
                <w:lang w:eastAsia="ja-JP"/>
              </w:rPr>
            </w:pPr>
          </w:p>
        </w:tc>
      </w:tr>
      <w:tr w:rsidR="00A13BC3" w:rsidRPr="000A1C8E" w:rsidTr="007E466C">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szCs w:val="18"/>
              </w:rPr>
              <w:t>Windows Small Business Server Standard</w:t>
            </w:r>
          </w:p>
        </w:tc>
        <w:tc>
          <w:tcPr>
            <w:tcW w:w="1848" w:type="dxa"/>
          </w:tcPr>
          <w:p w:rsidR="00A13BC3" w:rsidRPr="000A1C8E" w:rsidRDefault="00A13BC3" w:rsidP="003479E5">
            <w:pPr>
              <w:spacing w:after="200" w:line="276" w:lineRule="auto"/>
              <w:jc w:val="center"/>
              <w:rPr>
                <w:rFonts w:cs="Tahoma"/>
                <w:szCs w:val="18"/>
                <w:lang w:eastAsia="ja-JP"/>
              </w:rPr>
            </w:pPr>
            <w:r w:rsidRPr="000A1C8E">
              <w:rPr>
                <w:rFonts w:cs="Tahoma"/>
                <w:szCs w:val="18"/>
              </w:rPr>
              <w:t>SQL Server Workgroup</w:t>
            </w:r>
          </w:p>
        </w:tc>
        <w:tc>
          <w:tcPr>
            <w:tcW w:w="1774" w:type="dxa"/>
          </w:tcPr>
          <w:p w:rsidR="00A13BC3" w:rsidRPr="000A1C8E" w:rsidRDefault="00A13BC3" w:rsidP="003479E5">
            <w:pPr>
              <w:spacing w:after="200" w:line="276" w:lineRule="auto"/>
              <w:jc w:val="center"/>
              <w:rPr>
                <w:rFonts w:cs="Tahoma"/>
                <w:szCs w:val="18"/>
                <w:lang w:eastAsia="ja-JP"/>
              </w:rPr>
            </w:pPr>
          </w:p>
        </w:tc>
        <w:tc>
          <w:tcPr>
            <w:tcW w:w="1913" w:type="dxa"/>
          </w:tcPr>
          <w:p w:rsidR="00A13BC3" w:rsidRPr="000A1C8E" w:rsidRDefault="00A13BC3" w:rsidP="003479E5">
            <w:pPr>
              <w:spacing w:after="200" w:line="276" w:lineRule="auto"/>
              <w:jc w:val="center"/>
              <w:rPr>
                <w:rFonts w:cs="Tahoma"/>
                <w:szCs w:val="18"/>
                <w:lang w:eastAsia="ja-JP"/>
              </w:rPr>
            </w:pPr>
          </w:p>
        </w:tc>
        <w:tc>
          <w:tcPr>
            <w:tcW w:w="1391" w:type="dxa"/>
          </w:tcPr>
          <w:p w:rsidR="00A13BC3" w:rsidRPr="000A1C8E" w:rsidRDefault="00A13BC3" w:rsidP="003479E5">
            <w:pPr>
              <w:spacing w:after="200" w:line="276" w:lineRule="auto"/>
              <w:jc w:val="center"/>
              <w:rPr>
                <w:rFonts w:cs="Tahoma"/>
                <w:szCs w:val="18"/>
                <w:lang w:eastAsia="ja-JP"/>
              </w:rPr>
            </w:pPr>
          </w:p>
        </w:tc>
      </w:tr>
      <w:tr w:rsidR="00A13BC3" w:rsidRPr="000A1C8E" w:rsidTr="007E466C">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szCs w:val="18"/>
              </w:rPr>
              <w:t>Windows Small Business Server Essentials</w:t>
            </w:r>
          </w:p>
        </w:tc>
        <w:tc>
          <w:tcPr>
            <w:tcW w:w="1848" w:type="dxa"/>
          </w:tcPr>
          <w:p w:rsidR="00A13BC3" w:rsidRPr="000A1C8E" w:rsidRDefault="00A13BC3" w:rsidP="003479E5">
            <w:pPr>
              <w:spacing w:after="200" w:line="276" w:lineRule="auto"/>
              <w:jc w:val="center"/>
              <w:rPr>
                <w:rFonts w:cs="Tahoma"/>
                <w:szCs w:val="18"/>
                <w:lang w:eastAsia="ja-JP"/>
              </w:rPr>
            </w:pPr>
            <w:r w:rsidRPr="000A1C8E">
              <w:rPr>
                <w:rFonts w:cs="Tahoma"/>
                <w:szCs w:val="18"/>
              </w:rPr>
              <w:t>SQL Server Small Business</w:t>
            </w:r>
          </w:p>
        </w:tc>
        <w:tc>
          <w:tcPr>
            <w:tcW w:w="1774" w:type="dxa"/>
          </w:tcPr>
          <w:p w:rsidR="00A13BC3" w:rsidRPr="000A1C8E" w:rsidRDefault="00A13BC3" w:rsidP="003479E5">
            <w:pPr>
              <w:spacing w:after="200" w:line="276" w:lineRule="auto"/>
              <w:jc w:val="center"/>
              <w:rPr>
                <w:rFonts w:cs="Tahoma"/>
                <w:szCs w:val="18"/>
                <w:lang w:eastAsia="ja-JP"/>
              </w:rPr>
            </w:pPr>
          </w:p>
        </w:tc>
        <w:tc>
          <w:tcPr>
            <w:tcW w:w="1913" w:type="dxa"/>
          </w:tcPr>
          <w:p w:rsidR="00A13BC3" w:rsidRPr="000A1C8E" w:rsidRDefault="00A13BC3" w:rsidP="003479E5">
            <w:pPr>
              <w:spacing w:after="200" w:line="276" w:lineRule="auto"/>
              <w:jc w:val="center"/>
              <w:rPr>
                <w:rFonts w:cs="Tahoma"/>
                <w:szCs w:val="18"/>
                <w:lang w:eastAsia="ja-JP"/>
              </w:rPr>
            </w:pPr>
          </w:p>
        </w:tc>
        <w:tc>
          <w:tcPr>
            <w:tcW w:w="1391" w:type="dxa"/>
          </w:tcPr>
          <w:p w:rsidR="00A13BC3" w:rsidRPr="000A1C8E" w:rsidRDefault="00A13BC3" w:rsidP="003479E5">
            <w:pPr>
              <w:spacing w:after="200" w:line="276" w:lineRule="auto"/>
              <w:jc w:val="center"/>
              <w:rPr>
                <w:rFonts w:cs="Tahoma"/>
                <w:szCs w:val="18"/>
                <w:lang w:eastAsia="ja-JP"/>
              </w:rPr>
            </w:pPr>
          </w:p>
        </w:tc>
      </w:tr>
      <w:tr w:rsidR="00A13BC3" w:rsidRPr="000A1C8E" w:rsidTr="007E466C">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szCs w:val="18"/>
              </w:rPr>
              <w:t>Windows Web Server</w:t>
            </w:r>
          </w:p>
        </w:tc>
        <w:tc>
          <w:tcPr>
            <w:tcW w:w="1848" w:type="dxa"/>
          </w:tcPr>
          <w:p w:rsidR="00A13BC3" w:rsidRPr="000A1C8E" w:rsidRDefault="00A13BC3" w:rsidP="003479E5">
            <w:pPr>
              <w:spacing w:after="200" w:line="276" w:lineRule="auto"/>
              <w:jc w:val="center"/>
              <w:rPr>
                <w:rFonts w:cs="Tahoma"/>
                <w:szCs w:val="18"/>
                <w:lang w:eastAsia="ja-JP"/>
              </w:rPr>
            </w:pPr>
            <w:r w:rsidRPr="000A1C8E">
              <w:rPr>
                <w:rFonts w:cs="Tahoma"/>
                <w:szCs w:val="18"/>
              </w:rPr>
              <w:t>SQL Server Web</w:t>
            </w:r>
          </w:p>
        </w:tc>
        <w:tc>
          <w:tcPr>
            <w:tcW w:w="1774" w:type="dxa"/>
          </w:tcPr>
          <w:p w:rsidR="00A13BC3" w:rsidRPr="000A1C8E" w:rsidRDefault="00A13BC3" w:rsidP="003479E5">
            <w:pPr>
              <w:spacing w:after="200" w:line="276" w:lineRule="auto"/>
              <w:jc w:val="center"/>
              <w:rPr>
                <w:rFonts w:cs="Tahoma"/>
                <w:szCs w:val="18"/>
                <w:lang w:eastAsia="ja-JP"/>
              </w:rPr>
            </w:pPr>
          </w:p>
        </w:tc>
        <w:tc>
          <w:tcPr>
            <w:tcW w:w="1913" w:type="dxa"/>
          </w:tcPr>
          <w:p w:rsidR="00A13BC3" w:rsidRPr="000A1C8E" w:rsidRDefault="00A13BC3" w:rsidP="003479E5">
            <w:pPr>
              <w:spacing w:after="200" w:line="276" w:lineRule="auto"/>
              <w:jc w:val="center"/>
              <w:rPr>
                <w:rFonts w:cs="Tahoma"/>
                <w:szCs w:val="18"/>
                <w:lang w:eastAsia="ja-JP"/>
              </w:rPr>
            </w:pPr>
          </w:p>
        </w:tc>
        <w:tc>
          <w:tcPr>
            <w:tcW w:w="1391" w:type="dxa"/>
          </w:tcPr>
          <w:p w:rsidR="00A13BC3" w:rsidRPr="000A1C8E" w:rsidRDefault="00A13BC3" w:rsidP="003479E5">
            <w:pPr>
              <w:spacing w:after="200" w:line="276" w:lineRule="auto"/>
              <w:jc w:val="center"/>
              <w:rPr>
                <w:rFonts w:cs="Tahoma"/>
                <w:szCs w:val="18"/>
                <w:lang w:eastAsia="ja-JP"/>
              </w:rPr>
            </w:pPr>
          </w:p>
        </w:tc>
      </w:tr>
      <w:tr w:rsidR="00A13BC3" w:rsidRPr="000A1C8E" w:rsidTr="00583BF5">
        <w:trPr>
          <w:cantSplit/>
        </w:trPr>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szCs w:val="18"/>
              </w:rPr>
              <w:t>Windows HPC Server Suite</w:t>
            </w:r>
          </w:p>
        </w:tc>
        <w:tc>
          <w:tcPr>
            <w:tcW w:w="1848" w:type="dxa"/>
          </w:tcPr>
          <w:p w:rsidR="00A13BC3" w:rsidRPr="000A1C8E" w:rsidRDefault="00A13BC3" w:rsidP="003479E5">
            <w:pPr>
              <w:spacing w:after="200" w:line="276" w:lineRule="auto"/>
              <w:jc w:val="center"/>
              <w:rPr>
                <w:rFonts w:cs="Tahoma"/>
                <w:szCs w:val="18"/>
                <w:lang w:eastAsia="ja-JP"/>
              </w:rPr>
            </w:pPr>
            <w:r w:rsidRPr="000A1C8E">
              <w:rPr>
                <w:rFonts w:cs="Tahoma"/>
                <w:szCs w:val="18"/>
              </w:rPr>
              <w:t>SQL Server Developer</w:t>
            </w:r>
          </w:p>
        </w:tc>
        <w:tc>
          <w:tcPr>
            <w:tcW w:w="1774" w:type="dxa"/>
          </w:tcPr>
          <w:p w:rsidR="00A13BC3" w:rsidRPr="000A1C8E" w:rsidRDefault="00A13BC3" w:rsidP="003479E5">
            <w:pPr>
              <w:spacing w:after="200" w:line="276" w:lineRule="auto"/>
              <w:jc w:val="center"/>
              <w:rPr>
                <w:rFonts w:cs="Tahoma"/>
                <w:szCs w:val="18"/>
                <w:lang w:eastAsia="ja-JP"/>
              </w:rPr>
            </w:pPr>
          </w:p>
        </w:tc>
        <w:tc>
          <w:tcPr>
            <w:tcW w:w="1913" w:type="dxa"/>
          </w:tcPr>
          <w:p w:rsidR="00A13BC3" w:rsidRPr="000A1C8E" w:rsidRDefault="00A13BC3" w:rsidP="003479E5">
            <w:pPr>
              <w:spacing w:after="200" w:line="276" w:lineRule="auto"/>
              <w:jc w:val="center"/>
              <w:rPr>
                <w:rFonts w:cs="Tahoma"/>
                <w:szCs w:val="18"/>
                <w:lang w:eastAsia="ja-JP"/>
              </w:rPr>
            </w:pPr>
          </w:p>
        </w:tc>
        <w:tc>
          <w:tcPr>
            <w:tcW w:w="1391" w:type="dxa"/>
          </w:tcPr>
          <w:p w:rsidR="00A13BC3" w:rsidRPr="000A1C8E" w:rsidRDefault="00A13BC3" w:rsidP="003479E5">
            <w:pPr>
              <w:spacing w:after="200" w:line="276" w:lineRule="auto"/>
              <w:jc w:val="center"/>
              <w:rPr>
                <w:rFonts w:cs="Tahoma"/>
                <w:szCs w:val="18"/>
                <w:lang w:eastAsia="ja-JP"/>
              </w:rPr>
            </w:pPr>
          </w:p>
        </w:tc>
      </w:tr>
      <w:tr w:rsidR="00A13BC3" w:rsidRPr="000A1C8E" w:rsidTr="007E466C">
        <w:tc>
          <w:tcPr>
            <w:tcW w:w="1912" w:type="dxa"/>
          </w:tcPr>
          <w:p w:rsidR="00A13BC3" w:rsidRPr="000A1C8E" w:rsidRDefault="00A13BC3" w:rsidP="00894563">
            <w:pPr>
              <w:spacing w:after="200" w:line="276" w:lineRule="auto"/>
              <w:jc w:val="center"/>
              <w:rPr>
                <w:rFonts w:cs="Tahoma"/>
                <w:szCs w:val="18"/>
                <w:lang w:eastAsia="ja-JP"/>
              </w:rPr>
            </w:pPr>
            <w:r w:rsidRPr="000A1C8E">
              <w:rPr>
                <w:rFonts w:cs="Tahoma"/>
                <w:szCs w:val="18"/>
              </w:rPr>
              <w:lastRenderedPageBreak/>
              <w:t>Windows Server HPC Edition</w:t>
            </w:r>
          </w:p>
        </w:tc>
        <w:tc>
          <w:tcPr>
            <w:tcW w:w="1848" w:type="dxa"/>
          </w:tcPr>
          <w:p w:rsidR="00A13BC3" w:rsidRPr="000A1C8E" w:rsidRDefault="00A13BC3" w:rsidP="003479E5">
            <w:pPr>
              <w:spacing w:after="200" w:line="276" w:lineRule="auto"/>
              <w:jc w:val="center"/>
              <w:rPr>
                <w:rFonts w:cs="Tahoma"/>
                <w:szCs w:val="18"/>
                <w:lang w:eastAsia="ja-JP"/>
              </w:rPr>
            </w:pPr>
            <w:r w:rsidRPr="000A1C8E">
              <w:rPr>
                <w:rFonts w:cs="Tahoma"/>
                <w:szCs w:val="18"/>
              </w:rPr>
              <w:t>SQL Server Business Intelligence</w:t>
            </w:r>
          </w:p>
        </w:tc>
        <w:tc>
          <w:tcPr>
            <w:tcW w:w="1774" w:type="dxa"/>
          </w:tcPr>
          <w:p w:rsidR="00A13BC3" w:rsidRPr="000A1C8E" w:rsidRDefault="00A13BC3" w:rsidP="003479E5">
            <w:pPr>
              <w:spacing w:after="200" w:line="276" w:lineRule="auto"/>
              <w:jc w:val="center"/>
              <w:rPr>
                <w:rFonts w:cs="Tahoma"/>
                <w:szCs w:val="18"/>
                <w:lang w:eastAsia="ja-JP"/>
              </w:rPr>
            </w:pPr>
          </w:p>
        </w:tc>
        <w:tc>
          <w:tcPr>
            <w:tcW w:w="1913" w:type="dxa"/>
          </w:tcPr>
          <w:p w:rsidR="00A13BC3" w:rsidRPr="000A1C8E" w:rsidRDefault="00A13BC3" w:rsidP="003479E5">
            <w:pPr>
              <w:spacing w:after="200" w:line="276" w:lineRule="auto"/>
              <w:jc w:val="center"/>
              <w:rPr>
                <w:rFonts w:cs="Tahoma"/>
                <w:szCs w:val="18"/>
                <w:lang w:eastAsia="ja-JP"/>
              </w:rPr>
            </w:pPr>
          </w:p>
        </w:tc>
        <w:tc>
          <w:tcPr>
            <w:tcW w:w="1391" w:type="dxa"/>
          </w:tcPr>
          <w:p w:rsidR="00A13BC3" w:rsidRPr="000A1C8E" w:rsidRDefault="00A13BC3" w:rsidP="003479E5">
            <w:pPr>
              <w:spacing w:after="200" w:line="276" w:lineRule="auto"/>
              <w:jc w:val="center"/>
              <w:rPr>
                <w:rFonts w:cs="Tahoma"/>
                <w:szCs w:val="18"/>
                <w:lang w:eastAsia="ja-JP"/>
              </w:rPr>
            </w:pPr>
          </w:p>
        </w:tc>
      </w:tr>
      <w:tr w:rsidR="00A13BC3" w:rsidRPr="000A1C8E" w:rsidTr="007E466C">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szCs w:val="18"/>
              </w:rPr>
              <w:t xml:space="preserve">Core Infrastructure Server Suite Datacenter </w:t>
            </w:r>
          </w:p>
        </w:tc>
        <w:tc>
          <w:tcPr>
            <w:tcW w:w="1848" w:type="dxa"/>
          </w:tcPr>
          <w:p w:rsidR="00A13BC3" w:rsidRPr="000A1C8E" w:rsidRDefault="00A13BC3" w:rsidP="003479E5">
            <w:pPr>
              <w:spacing w:after="200" w:line="276" w:lineRule="auto"/>
              <w:jc w:val="center"/>
              <w:rPr>
                <w:rFonts w:cs="Tahoma"/>
                <w:szCs w:val="18"/>
              </w:rPr>
            </w:pPr>
          </w:p>
        </w:tc>
        <w:tc>
          <w:tcPr>
            <w:tcW w:w="1774" w:type="dxa"/>
          </w:tcPr>
          <w:p w:rsidR="00A13BC3" w:rsidRPr="000A1C8E" w:rsidRDefault="00A13BC3" w:rsidP="003479E5">
            <w:pPr>
              <w:spacing w:after="200" w:line="276" w:lineRule="auto"/>
              <w:jc w:val="center"/>
              <w:rPr>
                <w:rFonts w:cs="Tahoma"/>
                <w:szCs w:val="18"/>
              </w:rPr>
            </w:pPr>
          </w:p>
        </w:tc>
        <w:tc>
          <w:tcPr>
            <w:tcW w:w="1913" w:type="dxa"/>
          </w:tcPr>
          <w:p w:rsidR="00A13BC3" w:rsidRPr="000A1C8E" w:rsidRDefault="00A13BC3" w:rsidP="003479E5">
            <w:pPr>
              <w:spacing w:after="200" w:line="276" w:lineRule="auto"/>
              <w:jc w:val="center"/>
              <w:rPr>
                <w:rFonts w:cs="Tahoma"/>
                <w:szCs w:val="18"/>
              </w:rPr>
            </w:pPr>
          </w:p>
        </w:tc>
        <w:tc>
          <w:tcPr>
            <w:tcW w:w="1391" w:type="dxa"/>
          </w:tcPr>
          <w:p w:rsidR="00A13BC3" w:rsidRPr="000A1C8E" w:rsidRDefault="00A13BC3" w:rsidP="003479E5">
            <w:pPr>
              <w:spacing w:after="200" w:line="276" w:lineRule="auto"/>
              <w:jc w:val="center"/>
              <w:rPr>
                <w:rFonts w:cs="Tahoma"/>
                <w:szCs w:val="18"/>
              </w:rPr>
            </w:pPr>
          </w:p>
        </w:tc>
      </w:tr>
      <w:tr w:rsidR="00A13BC3" w:rsidRPr="000A1C8E" w:rsidTr="006B21CE">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szCs w:val="18"/>
              </w:rPr>
              <w:t>Core Infrastructure Server Suite Enterprise</w:t>
            </w:r>
          </w:p>
        </w:tc>
        <w:tc>
          <w:tcPr>
            <w:tcW w:w="1848" w:type="dxa"/>
          </w:tcPr>
          <w:p w:rsidR="00A13BC3" w:rsidRPr="000A1C8E" w:rsidRDefault="00A13BC3" w:rsidP="003479E5">
            <w:pPr>
              <w:spacing w:after="200" w:line="276" w:lineRule="auto"/>
              <w:jc w:val="center"/>
              <w:rPr>
                <w:rFonts w:cs="Tahoma"/>
                <w:szCs w:val="18"/>
              </w:rPr>
            </w:pPr>
          </w:p>
        </w:tc>
        <w:tc>
          <w:tcPr>
            <w:tcW w:w="1774" w:type="dxa"/>
          </w:tcPr>
          <w:p w:rsidR="00A13BC3" w:rsidRPr="000A1C8E" w:rsidRDefault="00A13BC3" w:rsidP="003479E5">
            <w:pPr>
              <w:spacing w:after="200" w:line="276" w:lineRule="auto"/>
              <w:jc w:val="center"/>
              <w:rPr>
                <w:rFonts w:cs="Tahoma"/>
                <w:szCs w:val="18"/>
              </w:rPr>
            </w:pPr>
          </w:p>
        </w:tc>
        <w:tc>
          <w:tcPr>
            <w:tcW w:w="1913" w:type="dxa"/>
          </w:tcPr>
          <w:p w:rsidR="00A13BC3" w:rsidRPr="000A1C8E" w:rsidRDefault="00A13BC3" w:rsidP="003479E5">
            <w:pPr>
              <w:spacing w:after="200" w:line="276" w:lineRule="auto"/>
              <w:jc w:val="center"/>
              <w:rPr>
                <w:rFonts w:cs="Tahoma"/>
                <w:szCs w:val="18"/>
              </w:rPr>
            </w:pPr>
          </w:p>
        </w:tc>
        <w:tc>
          <w:tcPr>
            <w:tcW w:w="1391" w:type="dxa"/>
          </w:tcPr>
          <w:p w:rsidR="00A13BC3" w:rsidRPr="000A1C8E" w:rsidRDefault="00A13BC3" w:rsidP="003479E5">
            <w:pPr>
              <w:spacing w:after="200" w:line="276" w:lineRule="auto"/>
              <w:jc w:val="center"/>
              <w:rPr>
                <w:rFonts w:cs="Tahoma"/>
                <w:szCs w:val="18"/>
              </w:rPr>
            </w:pPr>
          </w:p>
        </w:tc>
      </w:tr>
      <w:tr w:rsidR="00A13BC3" w:rsidRPr="000A1C8E" w:rsidTr="006B21CE">
        <w:tc>
          <w:tcPr>
            <w:tcW w:w="1912" w:type="dxa"/>
          </w:tcPr>
          <w:p w:rsidR="00A13BC3" w:rsidRPr="000A1C8E" w:rsidRDefault="00A13BC3" w:rsidP="003479E5">
            <w:pPr>
              <w:spacing w:after="200" w:line="276" w:lineRule="auto"/>
              <w:jc w:val="center"/>
              <w:rPr>
                <w:rFonts w:cs="Tahoma"/>
                <w:szCs w:val="18"/>
                <w:lang w:eastAsia="ja-JP"/>
              </w:rPr>
            </w:pPr>
            <w:r w:rsidRPr="000A1C8E">
              <w:rPr>
                <w:rFonts w:cs="Tahoma"/>
                <w:szCs w:val="18"/>
              </w:rPr>
              <w:t>Core Infrastructure Server Suite Standard</w:t>
            </w:r>
          </w:p>
        </w:tc>
        <w:tc>
          <w:tcPr>
            <w:tcW w:w="1848" w:type="dxa"/>
          </w:tcPr>
          <w:p w:rsidR="00A13BC3" w:rsidRPr="000A1C8E" w:rsidRDefault="00A13BC3" w:rsidP="003479E5">
            <w:pPr>
              <w:spacing w:after="200" w:line="276" w:lineRule="auto"/>
              <w:jc w:val="center"/>
              <w:rPr>
                <w:rFonts w:cs="Tahoma"/>
                <w:szCs w:val="18"/>
              </w:rPr>
            </w:pPr>
          </w:p>
        </w:tc>
        <w:tc>
          <w:tcPr>
            <w:tcW w:w="1774" w:type="dxa"/>
          </w:tcPr>
          <w:p w:rsidR="00A13BC3" w:rsidRPr="000A1C8E" w:rsidRDefault="00A13BC3" w:rsidP="003479E5">
            <w:pPr>
              <w:spacing w:after="200" w:line="276" w:lineRule="auto"/>
              <w:jc w:val="center"/>
              <w:rPr>
                <w:rFonts w:cs="Tahoma"/>
                <w:szCs w:val="18"/>
              </w:rPr>
            </w:pPr>
          </w:p>
        </w:tc>
        <w:tc>
          <w:tcPr>
            <w:tcW w:w="1913" w:type="dxa"/>
          </w:tcPr>
          <w:p w:rsidR="00A13BC3" w:rsidRPr="000A1C8E" w:rsidRDefault="00A13BC3" w:rsidP="003479E5">
            <w:pPr>
              <w:spacing w:after="200" w:line="276" w:lineRule="auto"/>
              <w:jc w:val="center"/>
              <w:rPr>
                <w:rFonts w:cs="Tahoma"/>
                <w:szCs w:val="18"/>
              </w:rPr>
            </w:pPr>
          </w:p>
        </w:tc>
        <w:tc>
          <w:tcPr>
            <w:tcW w:w="1391" w:type="dxa"/>
          </w:tcPr>
          <w:p w:rsidR="00A13BC3" w:rsidRPr="000A1C8E" w:rsidRDefault="00A13BC3" w:rsidP="003479E5">
            <w:pPr>
              <w:spacing w:after="200" w:line="276" w:lineRule="auto"/>
              <w:jc w:val="center"/>
              <w:rPr>
                <w:rFonts w:cs="Tahoma"/>
                <w:szCs w:val="18"/>
              </w:rPr>
            </w:pPr>
          </w:p>
        </w:tc>
      </w:tr>
    </w:tbl>
    <w:p w:rsidR="003479E5" w:rsidRPr="000A1C8E" w:rsidRDefault="003479E5" w:rsidP="00792D1E">
      <w:pPr>
        <w:rPr>
          <w:rFonts w:cs="Tahoma"/>
        </w:rPr>
      </w:pPr>
    </w:p>
    <w:p w:rsidR="003479E5" w:rsidRPr="000A1C8E" w:rsidRDefault="003479E5" w:rsidP="00792D1E">
      <w:pPr>
        <w:rPr>
          <w:rFonts w:cs="Tahoma"/>
        </w:rPr>
      </w:pPr>
      <w:r w:rsidRPr="000A1C8E">
        <w:rPr>
          <w:rFonts w:cs="Tahoma"/>
          <w:bCs/>
          <w:szCs w:val="18"/>
        </w:rPr>
        <w:t>*A cobertura de Software Assurance para CALs do Software para Servidores Qualificado não qualifica os clientes para o benefícios do Software Assurance do System Center Advisor.</w:t>
      </w:r>
      <w:r w:rsidR="00DC6D8B" w:rsidRPr="000A1C8E">
        <w:rPr>
          <w:rFonts w:cs="Tahoma"/>
          <w:bCs/>
          <w:szCs w:val="18"/>
        </w:rPr>
        <w:t xml:space="preserve"> </w:t>
      </w:r>
      <w:r w:rsidRPr="000A1C8E">
        <w:rPr>
          <w:rFonts w:cs="Tahoma"/>
          <w:bCs/>
          <w:szCs w:val="18"/>
        </w:rPr>
        <w:t>Os clientes devem ter cobertura nas licenças de software de acordo com as quais o Software do Servidor Qualificado está em execução.</w:t>
      </w:r>
    </w:p>
    <w:p w:rsidR="003479E5" w:rsidRPr="000A1C8E" w:rsidRDefault="003479E5" w:rsidP="00792D1E">
      <w:pPr>
        <w:rPr>
          <w:rFonts w:cs="Tahoma"/>
        </w:rPr>
      </w:pPr>
    </w:p>
    <w:p w:rsidR="000D454E" w:rsidRPr="000A1C8E" w:rsidRDefault="000D454E" w:rsidP="00792D1E">
      <w:pPr>
        <w:rPr>
          <w:rFonts w:cs="Tahoma"/>
        </w:rPr>
      </w:pPr>
      <w:r w:rsidRPr="000A1C8E">
        <w:rPr>
          <w:rFonts w:cs="Tahoma"/>
          <w:szCs w:val="18"/>
        </w:rPr>
        <w:t>Os clientes com cobertura de Software Assurance ativa para Licenças de Gerenciamento identificadas na tabela a seguir estão qualificados para usar o System Center Advisor conforme definido nos Direitos de Uso do Produto.</w:t>
      </w:r>
    </w:p>
    <w:p w:rsidR="000D454E" w:rsidRPr="000A1C8E"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0A1C8E"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0A1C8E" w:rsidRDefault="000D454E" w:rsidP="007E466C">
            <w:pPr>
              <w:spacing w:before="120" w:after="120" w:line="276" w:lineRule="auto"/>
              <w:jc w:val="center"/>
              <w:rPr>
                <w:rFonts w:cs="Tahoma"/>
                <w:b/>
                <w:color w:val="000000"/>
                <w:szCs w:val="18"/>
                <w:lang w:eastAsia="ja-JP"/>
              </w:rPr>
            </w:pPr>
            <w:r w:rsidRPr="000A1C8E">
              <w:rPr>
                <w:rFonts w:cs="Tahoma"/>
                <w:b/>
                <w:color w:val="000000"/>
                <w:szCs w:val="18"/>
              </w:rPr>
              <w:t>Licenças de Gerenciamento de Qualificação</w:t>
            </w:r>
          </w:p>
        </w:tc>
      </w:tr>
      <w:tr w:rsidR="000D454E" w:rsidRPr="000A1C8E"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0A1C8E" w:rsidRDefault="000D454E" w:rsidP="007E466C">
            <w:pPr>
              <w:spacing w:before="120" w:after="120"/>
              <w:jc w:val="center"/>
              <w:rPr>
                <w:rFonts w:cs="Tahoma"/>
                <w:color w:val="000000"/>
                <w:szCs w:val="18"/>
                <w:lang w:eastAsia="ja-JP"/>
              </w:rPr>
            </w:pPr>
            <w:r w:rsidRPr="000A1C8E">
              <w:rPr>
                <w:rFonts w:cs="Tahoma"/>
                <w:color w:val="000000"/>
                <w:szCs w:val="18"/>
              </w:rPr>
              <w:t xml:space="preserve">Licença de Gerenciamento do System Center 2012 </w:t>
            </w:r>
            <w:r w:rsidR="006B21CE">
              <w:rPr>
                <w:rFonts w:eastAsia="PMingLiU" w:cs="Tahoma" w:hint="eastAsia"/>
                <w:color w:val="000000"/>
                <w:szCs w:val="18"/>
                <w:lang w:eastAsia="zh-TW"/>
              </w:rPr>
              <w:br/>
            </w:r>
            <w:r w:rsidRPr="000A1C8E">
              <w:rPr>
                <w:rFonts w:cs="Tahoma"/>
                <w:color w:val="000000"/>
                <w:szCs w:val="18"/>
              </w:rPr>
              <w:t>Datacenter Server</w:t>
            </w:r>
          </w:p>
        </w:tc>
      </w:tr>
      <w:tr w:rsidR="000D454E" w:rsidRPr="000A1C8E"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0A1C8E" w:rsidRDefault="000D454E" w:rsidP="007E466C">
            <w:pPr>
              <w:spacing w:before="120" w:after="120" w:line="276" w:lineRule="auto"/>
              <w:jc w:val="center"/>
              <w:rPr>
                <w:rFonts w:cs="Tahoma"/>
                <w:szCs w:val="18"/>
              </w:rPr>
            </w:pPr>
            <w:r w:rsidRPr="000A1C8E">
              <w:rPr>
                <w:rFonts w:cs="Tahoma"/>
                <w:color w:val="000000"/>
                <w:szCs w:val="18"/>
              </w:rPr>
              <w:t xml:space="preserve">Licença de Gerenciamento do System Center 2012 </w:t>
            </w:r>
            <w:r w:rsidR="006B21CE">
              <w:rPr>
                <w:rFonts w:eastAsia="PMingLiU" w:cs="Tahoma" w:hint="eastAsia"/>
                <w:color w:val="000000"/>
                <w:szCs w:val="18"/>
                <w:lang w:eastAsia="zh-TW"/>
              </w:rPr>
              <w:br/>
            </w:r>
            <w:r w:rsidRPr="000A1C8E">
              <w:rPr>
                <w:rFonts w:cs="Tahoma"/>
                <w:color w:val="000000"/>
                <w:szCs w:val="18"/>
              </w:rPr>
              <w:t>Standard Server</w:t>
            </w:r>
          </w:p>
        </w:tc>
      </w:tr>
    </w:tbl>
    <w:p w:rsidR="00E06FE8" w:rsidRPr="000A1C8E" w:rsidRDefault="000E6E21" w:rsidP="00E06FE8">
      <w:pPr>
        <w:keepNext/>
        <w:keepLines/>
        <w:spacing w:before="40" w:line="259" w:lineRule="auto"/>
        <w:outlineLvl w:val="2"/>
        <w:rPr>
          <w:rFonts w:cs="Tahoma"/>
        </w:rPr>
      </w:pPr>
      <w:bookmarkStart w:id="754" w:name="_Toc336338239"/>
      <w:r w:rsidRPr="000A1C8E">
        <w:rPr>
          <w:rFonts w:eastAsiaTheme="majorEastAsia" w:cs="Tahoma"/>
          <w:color w:val="000000"/>
          <w:szCs w:val="18"/>
        </w:rPr>
        <w:cr/>
      </w:r>
      <w:r w:rsidRPr="000A1C8E">
        <w:rPr>
          <w:rFonts w:eastAsiaTheme="majorEastAsia" w:cs="Tahoma"/>
          <w:b/>
          <w:color w:val="000000"/>
          <w:sz w:val="24"/>
          <w:szCs w:val="18"/>
        </w:rPr>
        <w:t>System Center Global Service Monitor</w:t>
      </w:r>
    </w:p>
    <w:p w:rsidR="00E06FE8" w:rsidRPr="000A1C8E" w:rsidRDefault="00E06FE8" w:rsidP="007E466C">
      <w:pPr>
        <w:rPr>
          <w:rFonts w:cs="Tahoma"/>
        </w:rPr>
      </w:pPr>
      <w:r w:rsidRPr="000A1C8E">
        <w:rPr>
          <w:rFonts w:cs="Tahoma"/>
          <w:szCs w:val="18"/>
        </w:rPr>
        <w:t>Os clientes com cobertura de Software Assurance ativa para Licenças de Gerenciamento identificadas na tabela a seguir estão qualificados para usar o System Center Global Service Monitor conforme definido nos Direitos de Uso do Produto.</w:t>
      </w:r>
    </w:p>
    <w:p w:rsidR="000E6E21" w:rsidRPr="000A1C8E" w:rsidRDefault="000E6E21" w:rsidP="007E466C">
      <w:pPr>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0A1C8E"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0A1C8E" w:rsidRDefault="00E06FE8" w:rsidP="007E466C">
            <w:pPr>
              <w:spacing w:before="120" w:after="120"/>
              <w:jc w:val="center"/>
              <w:rPr>
                <w:rFonts w:cs="Tahoma"/>
                <w:b/>
                <w:szCs w:val="18"/>
              </w:rPr>
            </w:pPr>
            <w:r w:rsidRPr="000A1C8E">
              <w:rPr>
                <w:rFonts w:cs="Tahoma"/>
                <w:b/>
                <w:szCs w:val="18"/>
              </w:rPr>
              <w:t>Licenças de Gerenciamento de Qualificação</w:t>
            </w:r>
          </w:p>
        </w:tc>
      </w:tr>
      <w:tr w:rsidR="000E6E21" w:rsidRPr="000A1C8E"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0A1C8E" w:rsidRDefault="00E06FE8" w:rsidP="007E466C">
            <w:pPr>
              <w:spacing w:before="120" w:after="120"/>
              <w:jc w:val="center"/>
              <w:rPr>
                <w:rFonts w:cs="Tahoma"/>
                <w:szCs w:val="18"/>
              </w:rPr>
            </w:pPr>
            <w:r w:rsidRPr="000A1C8E">
              <w:rPr>
                <w:rFonts w:cs="Tahoma"/>
                <w:szCs w:val="18"/>
              </w:rPr>
              <w:t>Licença de Gerenciamento do System Center Datacenter Server</w:t>
            </w:r>
          </w:p>
        </w:tc>
      </w:tr>
      <w:tr w:rsidR="000E6E21" w:rsidRPr="000A1C8E"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0A1C8E" w:rsidRDefault="00E06FE8" w:rsidP="007E466C">
            <w:pPr>
              <w:spacing w:before="120" w:after="120"/>
              <w:jc w:val="center"/>
              <w:rPr>
                <w:rFonts w:cs="Tahoma"/>
                <w:szCs w:val="18"/>
              </w:rPr>
            </w:pPr>
            <w:r w:rsidRPr="000A1C8E">
              <w:rPr>
                <w:rFonts w:cs="Tahoma"/>
                <w:szCs w:val="18"/>
              </w:rPr>
              <w:t>Licença de Gerenciamento do System Center Standard Server</w:t>
            </w:r>
          </w:p>
        </w:tc>
      </w:tr>
    </w:tbl>
    <w:p w:rsidR="00E06FE8" w:rsidRPr="000A1C8E" w:rsidRDefault="00E06FE8">
      <w:pPr>
        <w:rPr>
          <w:rFonts w:cs="Tahoma"/>
        </w:rPr>
      </w:pPr>
    </w:p>
    <w:p w:rsidR="00CA3960" w:rsidRPr="000A1C8E" w:rsidRDefault="00CA3960">
      <w:pPr>
        <w:rPr>
          <w:rFonts w:cs="Tahoma"/>
        </w:rPr>
      </w:pPr>
    </w:p>
    <w:p w:rsidR="00CA3960" w:rsidRPr="000A1C8E" w:rsidRDefault="00CA3960">
      <w:pPr>
        <w:rPr>
          <w:rFonts w:cs="Tahoma"/>
        </w:rPr>
      </w:pPr>
    </w:p>
    <w:p w:rsidR="00CA3960" w:rsidRDefault="00CA3960">
      <w:pPr>
        <w:rPr>
          <w:rFonts w:eastAsia="PMingLiU" w:cs="Tahoma"/>
          <w:lang w:eastAsia="zh-TW"/>
        </w:rPr>
      </w:pPr>
    </w:p>
    <w:p w:rsidR="006B21CE" w:rsidRDefault="006B21CE">
      <w:pPr>
        <w:rPr>
          <w:rFonts w:eastAsia="PMingLiU" w:cs="Tahoma"/>
          <w:lang w:eastAsia="zh-TW"/>
        </w:rPr>
      </w:pPr>
    </w:p>
    <w:p w:rsidR="006B21CE" w:rsidRDefault="006B21CE">
      <w:pPr>
        <w:rPr>
          <w:rFonts w:eastAsia="PMingLiU" w:cs="Tahoma"/>
          <w:lang w:eastAsia="zh-TW"/>
        </w:rPr>
      </w:pPr>
    </w:p>
    <w:p w:rsidR="006B21CE" w:rsidRPr="006B21CE" w:rsidRDefault="006B21CE">
      <w:pPr>
        <w:rPr>
          <w:rFonts w:eastAsia="PMingLiU" w:cs="Tahoma"/>
          <w:lang w:eastAsia="zh-TW"/>
        </w:rPr>
      </w:pPr>
    </w:p>
    <w:p w:rsidR="00023FE7" w:rsidRPr="000A1C8E" w:rsidRDefault="00023FE7">
      <w:pPr>
        <w:pStyle w:val="Heading3"/>
        <w:rPr>
          <w:rFonts w:ascii="Tahoma" w:hAnsi="Tahoma" w:cs="Tahoma"/>
        </w:rPr>
      </w:pPr>
      <w:bookmarkStart w:id="755" w:name="_Toc361829323"/>
      <w:r w:rsidRPr="000A1C8E">
        <w:rPr>
          <w:rFonts w:ascii="Tahoma" w:hAnsi="Tahoma" w:cs="Tahoma"/>
          <w:sz w:val="24"/>
        </w:rPr>
        <w:lastRenderedPageBreak/>
        <w:t>Backup Passivo para Recuperação de Desastres</w:t>
      </w:r>
      <w:bookmarkEnd w:id="754"/>
      <w:bookmarkEnd w:id="755"/>
      <w:r w:rsidRPr="000A1C8E">
        <w:rPr>
          <w:rFonts w:ascii="Tahoma" w:hAnsi="Tahoma" w:cs="Tahoma"/>
          <w:sz w:val="24"/>
        </w:rPr>
        <w:t xml:space="preserve"> </w:t>
      </w:r>
    </w:p>
    <w:p w:rsidR="00023FE7" w:rsidRPr="000A1C8E" w:rsidRDefault="00023FE7">
      <w:pPr>
        <w:rPr>
          <w:rFonts w:cs="Tahoma"/>
          <w:sz w:val="16"/>
          <w:szCs w:val="16"/>
        </w:rPr>
      </w:pPr>
    </w:p>
    <w:p w:rsidR="008A15A8" w:rsidRPr="000A1C8E" w:rsidRDefault="008A15A8" w:rsidP="00792D1E">
      <w:pPr>
        <w:rPr>
          <w:rFonts w:cs="Tahoma"/>
        </w:rPr>
      </w:pPr>
      <w:r w:rsidRPr="000A1C8E">
        <w:rPr>
          <w:rFonts w:eastAsia="Calibri" w:cs="Tahoma"/>
          <w:szCs w:val="18"/>
        </w:rPr>
        <w:t>Os clientes com Software Assurance para produtos de servidor qualificados e CALs relacionadas estão qualificados para licenças de servidor complementares desses produtos com fins de recuperação de desastre (DR).</w:t>
      </w:r>
    </w:p>
    <w:p w:rsidR="00792D1E" w:rsidRPr="000A1C8E" w:rsidRDefault="00792D1E" w:rsidP="00792D1E">
      <w:pPr>
        <w:rPr>
          <w:rFonts w:cs="Tahoma"/>
          <w:sz w:val="16"/>
          <w:szCs w:val="16"/>
        </w:rPr>
      </w:pPr>
    </w:p>
    <w:p w:rsidR="00023FE7" w:rsidRPr="000A1C8E" w:rsidRDefault="00023FE7" w:rsidP="00E20B31">
      <w:pPr>
        <w:pStyle w:val="AppendixFlushBulletedList"/>
        <w:tabs>
          <w:tab w:val="clear" w:pos="360"/>
          <w:tab w:val="num" w:pos="0"/>
        </w:tabs>
        <w:ind w:left="0" w:firstLine="0"/>
        <w:rPr>
          <w:rFonts w:ascii="Tahoma" w:hAnsi="Tahoma" w:cs="Tahoma"/>
        </w:rPr>
      </w:pPr>
      <w:r w:rsidRPr="000A1C8E">
        <w:rPr>
          <w:rFonts w:ascii="Tahoma" w:hAnsi="Tahoma" w:cs="Tahoma"/>
          <w:sz w:val="18"/>
          <w:szCs w:val="18"/>
        </w:rPr>
        <w:t>Para cada licença de servidor qualificado (i) que um cliente tiver registrado no SA e (ii) para a qual o cliente possuir</w:t>
      </w:r>
      <w:r w:rsidR="00E20B31" w:rsidRPr="000A1C8E">
        <w:rPr>
          <w:rFonts w:ascii="Tahoma" w:hAnsi="Tahoma" w:cs="Tahoma"/>
          <w:sz w:val="18"/>
          <w:szCs w:val="18"/>
        </w:rPr>
        <w:t> </w:t>
      </w:r>
      <w:r w:rsidRPr="000A1C8E">
        <w:rPr>
          <w:rFonts w:ascii="Tahoma" w:hAnsi="Tahoma" w:cs="Tahoma"/>
          <w:sz w:val="18"/>
          <w:szCs w:val="18"/>
        </w:rPr>
        <w:t>todas as CALs relacionadas (se exigido pelo produto) registradas no SA, ele poderá ter uma segunda licença de servidor sob a qual poderá implantar o mesmo produto em um servidor de backup “passivo” apenas para fins de DR durante o prazo de sua cobertura do Software Assurance.</w:t>
      </w:r>
      <w:r w:rsidR="00DC6D8B" w:rsidRPr="000A1C8E">
        <w:rPr>
          <w:rFonts w:ascii="Tahoma" w:hAnsi="Tahoma" w:cs="Tahoma"/>
          <w:sz w:val="18"/>
          <w:szCs w:val="18"/>
        </w:rPr>
        <w:t xml:space="preserve"> </w:t>
      </w:r>
      <w:r w:rsidRPr="000A1C8E">
        <w:rPr>
          <w:rFonts w:ascii="Tahoma" w:hAnsi="Tahoma" w:cs="Tahoma"/>
          <w:sz w:val="18"/>
          <w:szCs w:val="18"/>
        </w:rPr>
        <w:t>A implantação e o uso do software sob as licenças de DR pelos clientes estão sujeitos aos termos e condições de seus contratos de licença.</w:t>
      </w:r>
    </w:p>
    <w:p w:rsidR="00FE5F1D" w:rsidRPr="000A1C8E" w:rsidRDefault="00FE5F1D" w:rsidP="00792D1E">
      <w:pPr>
        <w:pStyle w:val="AppendixBodyText"/>
        <w:spacing w:after="0"/>
        <w:rPr>
          <w:rFonts w:ascii="Tahoma" w:hAnsi="Tahoma" w:cs="Tahoma"/>
          <w:sz w:val="16"/>
          <w:szCs w:val="16"/>
        </w:rPr>
      </w:pPr>
    </w:p>
    <w:p w:rsidR="00023FE7" w:rsidRPr="000A1C8E" w:rsidRDefault="00023FE7" w:rsidP="00792D1E">
      <w:pPr>
        <w:pStyle w:val="Heading3"/>
        <w:rPr>
          <w:rFonts w:ascii="Tahoma" w:hAnsi="Tahoma" w:cs="Tahoma"/>
        </w:rPr>
      </w:pPr>
      <w:bookmarkStart w:id="756" w:name="_Toc336338240"/>
      <w:bookmarkStart w:id="757" w:name="_Toc361829324"/>
      <w:r w:rsidRPr="000A1C8E">
        <w:rPr>
          <w:rFonts w:ascii="Tahoma" w:hAnsi="Tahoma" w:cs="Tahoma"/>
          <w:sz w:val="24"/>
        </w:rPr>
        <w:t>Serviços de Assinatura do TechNet SA</w:t>
      </w:r>
      <w:bookmarkEnd w:id="756"/>
      <w:bookmarkEnd w:id="757"/>
    </w:p>
    <w:p w:rsidR="00023FE7" w:rsidRPr="000A1C8E" w:rsidRDefault="00023FE7" w:rsidP="00792D1E">
      <w:pPr>
        <w:rPr>
          <w:rFonts w:cs="Tahoma"/>
          <w:sz w:val="16"/>
          <w:szCs w:val="16"/>
        </w:rPr>
      </w:pPr>
    </w:p>
    <w:p w:rsidR="004A4D28" w:rsidRPr="000A1C8E" w:rsidRDefault="00A65414" w:rsidP="00792D1E">
      <w:pPr>
        <w:pStyle w:val="AppendixBodyText"/>
        <w:spacing w:after="0"/>
        <w:rPr>
          <w:rFonts w:ascii="Tahoma" w:hAnsi="Tahoma" w:cs="Tahoma"/>
        </w:rPr>
      </w:pPr>
      <w:r w:rsidRPr="000A1C8E">
        <w:rPr>
          <w:rFonts w:ascii="Tahoma" w:eastAsia="Calibri" w:hAnsi="Tahoma" w:cs="Tahoma"/>
          <w:sz w:val="18"/>
          <w:szCs w:val="18"/>
        </w:rPr>
        <w:t xml:space="preserve">Os clientes com Software Assurance para produtos qualificados em qualquer pool de servidores de produtos estão qualificados para o suporte de Serviços de Assinatura do TechNet SA durante o prazo da cobertura do Software Assurance. </w:t>
      </w:r>
      <w:r w:rsidRPr="000A1C8E">
        <w:rPr>
          <w:rFonts w:ascii="Tahoma" w:hAnsi="Tahoma" w:cs="Tahoma"/>
          <w:sz w:val="18"/>
          <w:szCs w:val="18"/>
        </w:rPr>
        <w:t>Isso fornece aos profissionais de TI respostas a questões técnicas de colegas do setor.</w:t>
      </w:r>
      <w:r w:rsidR="00DC6D8B" w:rsidRPr="000A1C8E">
        <w:rPr>
          <w:rFonts w:ascii="Tahoma" w:hAnsi="Tahoma" w:cs="Tahoma"/>
          <w:sz w:val="18"/>
          <w:szCs w:val="18"/>
        </w:rPr>
        <w:t xml:space="preserve"> </w:t>
      </w:r>
      <w:r w:rsidRPr="000A1C8E">
        <w:rPr>
          <w:rFonts w:ascii="Tahoma" w:hAnsi="Tahoma" w:cs="Tahoma"/>
          <w:sz w:val="18"/>
          <w:szCs w:val="18"/>
        </w:rPr>
        <w:t>Os profissionais de suporte da Microsoft monitoram os grupos de notícias a fim de ajudar a garantir a precisão.</w:t>
      </w:r>
      <w:r w:rsidR="00DC6D8B" w:rsidRPr="000A1C8E">
        <w:rPr>
          <w:rFonts w:ascii="Tahoma" w:hAnsi="Tahoma" w:cs="Tahoma"/>
          <w:sz w:val="18"/>
          <w:szCs w:val="18"/>
        </w:rPr>
        <w:t xml:space="preserve"> </w:t>
      </w:r>
      <w:r w:rsidRPr="000A1C8E">
        <w:rPr>
          <w:rFonts w:ascii="Tahoma" w:hAnsi="Tahoma" w:cs="Tahoma"/>
          <w:sz w:val="18"/>
          <w:szCs w:val="18"/>
        </w:rPr>
        <w:t>Os clientes qualificados recebem IDs de Usuário que fornecem acesso aos serviços online.</w:t>
      </w:r>
      <w:r w:rsidR="00DC6D8B" w:rsidRPr="000A1C8E">
        <w:rPr>
          <w:rFonts w:ascii="Tahoma" w:hAnsi="Tahoma" w:cs="Tahoma"/>
          <w:sz w:val="18"/>
          <w:szCs w:val="18"/>
        </w:rPr>
        <w:t xml:space="preserve"> </w:t>
      </w:r>
    </w:p>
    <w:p w:rsidR="00FE5F1D" w:rsidRPr="000A1C8E" w:rsidRDefault="00FE5F1D" w:rsidP="00792D1E">
      <w:pPr>
        <w:pStyle w:val="AppendixBodyText"/>
        <w:spacing w:after="0"/>
        <w:rPr>
          <w:rFonts w:ascii="Tahoma" w:hAnsi="Tahoma" w:cs="Tahoma"/>
          <w:sz w:val="16"/>
          <w:szCs w:val="16"/>
        </w:rPr>
      </w:pPr>
    </w:p>
    <w:p w:rsidR="00023FE7" w:rsidRPr="000A1C8E" w:rsidRDefault="00023FE7" w:rsidP="00792D1E">
      <w:pPr>
        <w:pStyle w:val="AppendixBodyText"/>
        <w:spacing w:after="0"/>
        <w:rPr>
          <w:rFonts w:ascii="Tahoma" w:hAnsi="Tahoma" w:cs="Tahoma"/>
        </w:rPr>
      </w:pPr>
      <w:r w:rsidRPr="000A1C8E">
        <w:rPr>
          <w:rFonts w:ascii="Tahoma" w:hAnsi="Tahoma" w:cs="Tahoma"/>
          <w:sz w:val="18"/>
          <w:szCs w:val="18"/>
        </w:rPr>
        <w:t>Os clientes receberão uma ID de Usuário para cada produto qualificado com cobertura do Software Assurance, conforme mostrado a seguir:</w:t>
      </w:r>
    </w:p>
    <w:p w:rsidR="00023FE7" w:rsidRPr="000A1C8E" w:rsidRDefault="00023FE7" w:rsidP="00792D1E">
      <w:pPr>
        <w:pStyle w:val="AppendixBodyText"/>
        <w:spacing w:after="0"/>
        <w:rPr>
          <w:rFonts w:ascii="Tahoma" w:hAnsi="Tahoma" w:cs="Tahoma"/>
          <w:sz w:val="16"/>
          <w:szCs w:val="16"/>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0A1C8E"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A1C8E" w:rsidRDefault="0036654E" w:rsidP="00D824E9">
            <w:pPr>
              <w:pStyle w:val="AppendixTableHeadings"/>
              <w:keepNext/>
              <w:rPr>
                <w:rFonts w:ascii="Tahoma" w:hAnsi="Tahoma" w:cs="Tahoma"/>
                <w:sz w:val="20"/>
                <w:szCs w:val="20"/>
              </w:rPr>
            </w:pPr>
            <w:r w:rsidRPr="000A1C8E">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A1C8E" w:rsidRDefault="0036654E" w:rsidP="00CA3960">
            <w:pPr>
              <w:pStyle w:val="AppendixTableHeadings"/>
              <w:rPr>
                <w:rFonts w:ascii="Tahoma" w:hAnsi="Tahoma" w:cs="Tahoma"/>
                <w:sz w:val="20"/>
                <w:szCs w:val="20"/>
              </w:rPr>
            </w:pPr>
            <w:r w:rsidRPr="000A1C8E">
              <w:rPr>
                <w:rFonts w:ascii="Tahoma" w:hAnsi="Tahoma" w:cs="Tahoma"/>
                <w:sz w:val="20"/>
                <w:szCs w:val="20"/>
              </w:rPr>
              <w:t>Open License, Open Value Subscription – Soluções Educacionais, Open Value e</w:t>
            </w:r>
            <w:r w:rsidR="00CA3960" w:rsidRPr="000A1C8E">
              <w:rPr>
                <w:rFonts w:ascii="Tahoma" w:hAnsi="Tahoma" w:cs="Tahoma"/>
                <w:sz w:val="20"/>
                <w:szCs w:val="20"/>
              </w:rPr>
              <w:t> </w:t>
            </w:r>
            <w:r w:rsidRPr="000A1C8E">
              <w:rPr>
                <w:rFonts w:ascii="Tahoma" w:hAnsi="Tahoma" w:cs="Tahoma"/>
                <w:sz w:val="20"/>
                <w:szCs w:val="20"/>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A1C8E" w:rsidRDefault="0036654E">
            <w:pPr>
              <w:pStyle w:val="AppendixTableHeadings"/>
              <w:rPr>
                <w:rFonts w:ascii="Tahoma" w:hAnsi="Tahoma" w:cs="Tahoma"/>
                <w:sz w:val="20"/>
                <w:szCs w:val="20"/>
              </w:rPr>
            </w:pPr>
            <w:r w:rsidRPr="000A1C8E">
              <w:rPr>
                <w:rFonts w:ascii="Tahoma" w:hAnsi="Tahoma" w:cs="Tahoma"/>
                <w:sz w:val="20"/>
                <w:szCs w:val="20"/>
              </w:rPr>
              <w:t>Select/Select Plus/Contrato Enterprise</w:t>
            </w:r>
          </w:p>
        </w:tc>
      </w:tr>
      <w:tr w:rsidR="0036654E" w:rsidRPr="000A1C8E"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A1C8E" w:rsidRDefault="0036654E" w:rsidP="00D824E9">
            <w:pPr>
              <w:pStyle w:val="AppendixTableText"/>
              <w:keepNext/>
              <w:rPr>
                <w:rFonts w:ascii="Tahoma" w:hAnsi="Tahoma" w:cs="Tahoma"/>
                <w:b/>
              </w:rPr>
            </w:pPr>
            <w:r w:rsidRPr="000A1C8E">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A1C8E" w:rsidRDefault="0036654E" w:rsidP="00A9099B">
            <w:pPr>
              <w:pStyle w:val="AppendixTableText"/>
              <w:rPr>
                <w:rFonts w:ascii="Tahoma" w:hAnsi="Tahoma" w:cs="Tahoma"/>
              </w:rPr>
            </w:pPr>
            <w:r w:rsidRPr="000A1C8E">
              <w:rPr>
                <w:rFonts w:ascii="Tahoma" w:hAnsi="Tahoma" w:cs="Tahoma"/>
              </w:rPr>
              <w:t>1 ID de Usuário por</w:t>
            </w:r>
          </w:p>
          <w:p w:rsidR="0036654E" w:rsidRPr="000A1C8E" w:rsidRDefault="0036654E" w:rsidP="00A9099B">
            <w:pPr>
              <w:pStyle w:val="AppendixTableText"/>
              <w:rPr>
                <w:rFonts w:ascii="Tahoma" w:hAnsi="Tahoma" w:cs="Tahoma"/>
              </w:rPr>
            </w:pPr>
            <w:r w:rsidRPr="000A1C8E">
              <w:rPr>
                <w:rFonts w:ascii="Tahoma" w:hAnsi="Tahoma" w:cs="Tahoma"/>
              </w:rPr>
              <w:t>Licença de Servidor</w:t>
            </w:r>
          </w:p>
          <w:p w:rsidR="0036654E" w:rsidRPr="000A1C8E" w:rsidRDefault="0036654E">
            <w:pPr>
              <w:pStyle w:val="AppendixTableText"/>
              <w:rPr>
                <w:rFonts w:ascii="Tahoma" w:hAnsi="Tahoma" w:cs="Tahoma"/>
              </w:rPr>
            </w:pPr>
            <w:r w:rsidRPr="000A1C8E">
              <w:rPr>
                <w:rFonts w:ascii="Tahoma" w:hAnsi="Tahoma" w:cs="Tahoma"/>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A1C8E" w:rsidRDefault="0036654E" w:rsidP="00A9099B">
            <w:pPr>
              <w:pStyle w:val="AppendixTableText"/>
              <w:rPr>
                <w:rFonts w:ascii="Tahoma" w:hAnsi="Tahoma" w:cs="Tahoma"/>
              </w:rPr>
            </w:pPr>
            <w:r w:rsidRPr="000A1C8E">
              <w:rPr>
                <w:rFonts w:ascii="Tahoma" w:hAnsi="Tahoma" w:cs="Tahoma"/>
              </w:rPr>
              <w:t>1 ID de Usuário por</w:t>
            </w:r>
          </w:p>
          <w:p w:rsidR="0036654E" w:rsidRPr="000A1C8E" w:rsidRDefault="0036654E">
            <w:pPr>
              <w:pStyle w:val="AppendixTableText"/>
              <w:rPr>
                <w:rFonts w:ascii="Tahoma" w:hAnsi="Tahoma" w:cs="Tahoma"/>
              </w:rPr>
            </w:pPr>
            <w:r w:rsidRPr="000A1C8E">
              <w:rPr>
                <w:rFonts w:ascii="Tahoma" w:hAnsi="Tahoma" w:cs="Tahoma"/>
              </w:rPr>
              <w:t>Licença de Servidor</w:t>
            </w:r>
          </w:p>
        </w:tc>
      </w:tr>
    </w:tbl>
    <w:p w:rsidR="00B2460D" w:rsidRPr="000A1C8E" w:rsidRDefault="00B2460D">
      <w:pPr>
        <w:pStyle w:val="AppendixBodyText"/>
        <w:rPr>
          <w:rFonts w:ascii="Tahoma" w:hAnsi="Tahoma" w:cs="Tahoma"/>
        </w:rPr>
      </w:pPr>
    </w:p>
    <w:p w:rsidR="00023FE7" w:rsidRPr="00BD3A67" w:rsidRDefault="00023FE7" w:rsidP="00792D1E">
      <w:pPr>
        <w:pStyle w:val="AppendixBodyText"/>
        <w:spacing w:after="0"/>
        <w:rPr>
          <w:rFonts w:ascii="Tahoma" w:hAnsi="Tahoma" w:cs="Tahoma"/>
          <w:sz w:val="18"/>
          <w:szCs w:val="18"/>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456"/>
      </w:tblGrid>
      <w:tr w:rsidR="0043190C" w:rsidRPr="000A1C8E" w:rsidTr="00737AED">
        <w:trPr>
          <w:trHeight w:val="178"/>
        </w:trPr>
        <w:tc>
          <w:tcPr>
            <w:tcW w:w="1269" w:type="dxa"/>
            <w:shd w:val="clear" w:color="auto" w:fill="FFCC99"/>
            <w:vAlign w:val="center"/>
          </w:tcPr>
          <w:p w:rsidR="0043190C" w:rsidRPr="000A1C8E" w:rsidRDefault="0043190C" w:rsidP="002A6416">
            <w:pPr>
              <w:pStyle w:val="AppendixTableHeadings"/>
              <w:keepNext/>
              <w:spacing w:line="240" w:lineRule="auto"/>
              <w:rPr>
                <w:rFonts w:ascii="Tahoma" w:hAnsi="Tahoma" w:cs="Tahoma"/>
                <w:sz w:val="20"/>
                <w:szCs w:val="20"/>
              </w:rPr>
            </w:pPr>
            <w:r w:rsidRPr="000A1C8E">
              <w:rPr>
                <w:rFonts w:ascii="Tahoma" w:hAnsi="Tahoma" w:cs="Tahoma"/>
                <w:sz w:val="20"/>
                <w:szCs w:val="20"/>
              </w:rPr>
              <w:t>Pool de Produtos</w:t>
            </w:r>
          </w:p>
        </w:tc>
        <w:tc>
          <w:tcPr>
            <w:tcW w:w="1055" w:type="dxa"/>
            <w:shd w:val="clear" w:color="auto" w:fill="FFCC99"/>
            <w:vAlign w:val="center"/>
          </w:tcPr>
          <w:p w:rsidR="0043190C" w:rsidRPr="000A1C8E" w:rsidRDefault="0043190C" w:rsidP="002A6416">
            <w:pPr>
              <w:pStyle w:val="AppendixTableHeadings"/>
              <w:keepNext/>
              <w:spacing w:line="240" w:lineRule="auto"/>
              <w:rPr>
                <w:rFonts w:ascii="Tahoma" w:hAnsi="Tahoma" w:cs="Tahoma"/>
                <w:sz w:val="20"/>
                <w:szCs w:val="20"/>
              </w:rPr>
            </w:pPr>
            <w:r w:rsidRPr="000A1C8E">
              <w:rPr>
                <w:rFonts w:ascii="Tahoma" w:hAnsi="Tahoma" w:cs="Tahoma"/>
                <w:sz w:val="20"/>
                <w:szCs w:val="20"/>
              </w:rPr>
              <w:t>Open Value com SAM</w:t>
            </w:r>
          </w:p>
        </w:tc>
        <w:tc>
          <w:tcPr>
            <w:tcW w:w="1440" w:type="dxa"/>
            <w:shd w:val="clear" w:color="auto" w:fill="FFCC99"/>
            <w:vAlign w:val="center"/>
          </w:tcPr>
          <w:p w:rsidR="0043190C" w:rsidRPr="000A1C8E" w:rsidRDefault="0043190C" w:rsidP="002A6416">
            <w:pPr>
              <w:pStyle w:val="AppendixTableHeadings"/>
              <w:keepNext/>
              <w:spacing w:line="240" w:lineRule="auto"/>
              <w:rPr>
                <w:rFonts w:ascii="Tahoma" w:hAnsi="Tahoma" w:cs="Tahoma"/>
              </w:rPr>
            </w:pPr>
            <w:r w:rsidRPr="000A1C8E">
              <w:rPr>
                <w:rFonts w:ascii="Tahoma" w:hAnsi="Tahoma" w:cs="Tahoma"/>
                <w:sz w:val="20"/>
                <w:szCs w:val="20"/>
              </w:rPr>
              <w:t>SAM</w:t>
            </w:r>
          </w:p>
          <w:p w:rsidR="0043190C" w:rsidRPr="000A1C8E" w:rsidRDefault="0043190C" w:rsidP="00C72F0A">
            <w:pPr>
              <w:pStyle w:val="AppendixTableHeadings"/>
              <w:keepNext/>
              <w:spacing w:line="240" w:lineRule="auto"/>
              <w:rPr>
                <w:rFonts w:ascii="Tahoma" w:hAnsi="Tahoma" w:cs="Tahoma"/>
                <w:sz w:val="20"/>
                <w:szCs w:val="20"/>
              </w:rPr>
            </w:pPr>
            <w:r w:rsidRPr="000A1C8E">
              <w:rPr>
                <w:rFonts w:ascii="Tahoma" w:hAnsi="Tahoma" w:cs="Tahoma"/>
                <w:sz w:val="20"/>
                <w:szCs w:val="20"/>
              </w:rPr>
              <w:t>250-2</w:t>
            </w:r>
            <w:r w:rsidR="00C72F0A">
              <w:rPr>
                <w:rFonts w:ascii="Tahoma" w:hAnsi="Tahoma" w:cs="Tahoma"/>
                <w:sz w:val="20"/>
                <w:szCs w:val="20"/>
              </w:rPr>
              <w:t>.</w:t>
            </w:r>
            <w:r w:rsidRPr="000A1C8E">
              <w:rPr>
                <w:rFonts w:ascii="Tahoma" w:hAnsi="Tahoma" w:cs="Tahoma"/>
                <w:sz w:val="20"/>
                <w:szCs w:val="20"/>
              </w:rPr>
              <w:t xml:space="preserve">399 </w:t>
            </w:r>
          </w:p>
        </w:tc>
        <w:tc>
          <w:tcPr>
            <w:tcW w:w="1350" w:type="dxa"/>
            <w:shd w:val="clear" w:color="auto" w:fill="FFCC99"/>
            <w:vAlign w:val="center"/>
          </w:tcPr>
          <w:p w:rsidR="0043190C" w:rsidRPr="000A1C8E" w:rsidRDefault="0043190C" w:rsidP="002A6416">
            <w:pPr>
              <w:pStyle w:val="AppendixTableHeadings"/>
              <w:keepNext/>
              <w:spacing w:line="240" w:lineRule="auto"/>
              <w:rPr>
                <w:rFonts w:ascii="Tahoma" w:hAnsi="Tahoma" w:cs="Tahoma"/>
              </w:rPr>
            </w:pPr>
            <w:r w:rsidRPr="000A1C8E">
              <w:rPr>
                <w:rFonts w:ascii="Tahoma" w:hAnsi="Tahoma" w:cs="Tahoma"/>
                <w:sz w:val="20"/>
                <w:szCs w:val="20"/>
              </w:rPr>
              <w:t>SAM</w:t>
            </w:r>
          </w:p>
          <w:p w:rsidR="0043190C" w:rsidRPr="000A1C8E" w:rsidRDefault="0043190C" w:rsidP="00C72F0A">
            <w:pPr>
              <w:pStyle w:val="AppendixTableHeadings"/>
              <w:keepNext/>
              <w:spacing w:line="240" w:lineRule="auto"/>
              <w:rPr>
                <w:rFonts w:ascii="Tahoma" w:hAnsi="Tahoma" w:cs="Tahoma"/>
                <w:sz w:val="20"/>
                <w:szCs w:val="20"/>
              </w:rPr>
            </w:pPr>
            <w:r w:rsidRPr="000A1C8E">
              <w:rPr>
                <w:rFonts w:ascii="Tahoma" w:hAnsi="Tahoma" w:cs="Tahoma"/>
                <w:sz w:val="20"/>
                <w:szCs w:val="20"/>
              </w:rPr>
              <w:t>2,400-5</w:t>
            </w:r>
            <w:r w:rsidR="00C72F0A">
              <w:rPr>
                <w:rFonts w:ascii="Tahoma" w:hAnsi="Tahoma" w:cs="Tahoma"/>
                <w:sz w:val="20"/>
                <w:szCs w:val="20"/>
              </w:rPr>
              <w:t>.</w:t>
            </w:r>
            <w:r w:rsidRPr="000A1C8E">
              <w:rPr>
                <w:rFonts w:ascii="Tahoma" w:hAnsi="Tahoma" w:cs="Tahoma"/>
                <w:sz w:val="20"/>
                <w:szCs w:val="20"/>
              </w:rPr>
              <w:t>999</w:t>
            </w:r>
          </w:p>
        </w:tc>
        <w:tc>
          <w:tcPr>
            <w:tcW w:w="1530" w:type="dxa"/>
            <w:shd w:val="clear" w:color="auto" w:fill="FFCC99"/>
            <w:vAlign w:val="center"/>
          </w:tcPr>
          <w:p w:rsidR="0043190C" w:rsidRPr="000A1C8E" w:rsidRDefault="0043190C" w:rsidP="002A6416">
            <w:pPr>
              <w:pStyle w:val="AppendixTableHeadings"/>
              <w:keepNext/>
              <w:spacing w:line="240" w:lineRule="auto"/>
              <w:rPr>
                <w:rFonts w:ascii="Tahoma" w:hAnsi="Tahoma" w:cs="Tahoma"/>
              </w:rPr>
            </w:pPr>
            <w:r w:rsidRPr="000A1C8E">
              <w:rPr>
                <w:rFonts w:ascii="Tahoma" w:hAnsi="Tahoma" w:cs="Tahoma"/>
                <w:sz w:val="20"/>
                <w:szCs w:val="20"/>
              </w:rPr>
              <w:t>SAM</w:t>
            </w:r>
          </w:p>
          <w:p w:rsidR="0043190C" w:rsidRPr="000A1C8E" w:rsidRDefault="0043190C" w:rsidP="00C72F0A">
            <w:pPr>
              <w:pStyle w:val="AppendixTableHeadings"/>
              <w:keepNext/>
              <w:spacing w:line="240" w:lineRule="auto"/>
              <w:rPr>
                <w:rFonts w:ascii="Tahoma" w:hAnsi="Tahoma" w:cs="Tahoma"/>
                <w:sz w:val="20"/>
                <w:szCs w:val="20"/>
              </w:rPr>
            </w:pPr>
            <w:r w:rsidRPr="000A1C8E">
              <w:rPr>
                <w:rFonts w:ascii="Tahoma" w:hAnsi="Tahoma" w:cs="Tahoma"/>
                <w:sz w:val="20"/>
                <w:szCs w:val="20"/>
              </w:rPr>
              <w:t>6,000-14</w:t>
            </w:r>
            <w:r w:rsidR="00C72F0A">
              <w:rPr>
                <w:rFonts w:ascii="Tahoma" w:hAnsi="Tahoma" w:cs="Tahoma"/>
                <w:sz w:val="20"/>
                <w:szCs w:val="20"/>
              </w:rPr>
              <w:t>.</w:t>
            </w:r>
            <w:r w:rsidRPr="000A1C8E">
              <w:rPr>
                <w:rFonts w:ascii="Tahoma" w:hAnsi="Tahoma" w:cs="Tahoma"/>
                <w:sz w:val="20"/>
                <w:szCs w:val="20"/>
              </w:rPr>
              <w:t>999</w:t>
            </w:r>
          </w:p>
        </w:tc>
        <w:tc>
          <w:tcPr>
            <w:tcW w:w="1350" w:type="dxa"/>
            <w:shd w:val="clear" w:color="auto" w:fill="FFCC99"/>
            <w:vAlign w:val="center"/>
          </w:tcPr>
          <w:p w:rsidR="0043190C" w:rsidRPr="000A1C8E" w:rsidRDefault="0043190C" w:rsidP="002A6416">
            <w:pPr>
              <w:pStyle w:val="AppendixTableHeadings"/>
              <w:keepNext/>
              <w:spacing w:line="240" w:lineRule="auto"/>
              <w:rPr>
                <w:rFonts w:ascii="Tahoma" w:hAnsi="Tahoma" w:cs="Tahoma"/>
              </w:rPr>
            </w:pPr>
            <w:r w:rsidRPr="000A1C8E">
              <w:rPr>
                <w:rFonts w:ascii="Tahoma" w:hAnsi="Tahoma" w:cs="Tahoma"/>
                <w:sz w:val="20"/>
                <w:szCs w:val="20"/>
              </w:rPr>
              <w:t>SAM</w:t>
            </w:r>
          </w:p>
          <w:p w:rsidR="0043190C" w:rsidRPr="000A1C8E" w:rsidRDefault="0043190C" w:rsidP="00C72F0A">
            <w:pPr>
              <w:pStyle w:val="AppendixTableHeadings"/>
              <w:keepNext/>
              <w:spacing w:line="240" w:lineRule="auto"/>
              <w:rPr>
                <w:rFonts w:ascii="Tahoma" w:hAnsi="Tahoma" w:cs="Tahoma"/>
                <w:sz w:val="20"/>
                <w:szCs w:val="20"/>
              </w:rPr>
            </w:pPr>
            <w:r w:rsidRPr="000A1C8E">
              <w:rPr>
                <w:rFonts w:ascii="Tahoma" w:hAnsi="Tahoma" w:cs="Tahoma"/>
                <w:sz w:val="20"/>
                <w:szCs w:val="20"/>
              </w:rPr>
              <w:t>15</w:t>
            </w:r>
            <w:r w:rsidR="00C72F0A">
              <w:rPr>
                <w:rFonts w:ascii="Tahoma" w:hAnsi="Tahoma" w:cs="Tahoma"/>
                <w:sz w:val="20"/>
                <w:szCs w:val="20"/>
              </w:rPr>
              <w:t>.</w:t>
            </w:r>
            <w:r w:rsidRPr="000A1C8E">
              <w:rPr>
                <w:rFonts w:ascii="Tahoma" w:hAnsi="Tahoma" w:cs="Tahoma"/>
                <w:sz w:val="20"/>
                <w:szCs w:val="20"/>
              </w:rPr>
              <w:t>000+</w:t>
            </w:r>
          </w:p>
        </w:tc>
        <w:tc>
          <w:tcPr>
            <w:tcW w:w="1456" w:type="dxa"/>
            <w:shd w:val="clear" w:color="auto" w:fill="FFCC99"/>
            <w:vAlign w:val="center"/>
          </w:tcPr>
          <w:p w:rsidR="0043190C" w:rsidRPr="000A1C8E" w:rsidRDefault="0043190C" w:rsidP="002A6416">
            <w:pPr>
              <w:pStyle w:val="AppendixTableHeadings"/>
              <w:keepNext/>
              <w:spacing w:line="240" w:lineRule="auto"/>
              <w:rPr>
                <w:rFonts w:ascii="Tahoma" w:hAnsi="Tahoma" w:cs="Tahoma"/>
                <w:sz w:val="20"/>
                <w:szCs w:val="20"/>
              </w:rPr>
            </w:pPr>
            <w:r w:rsidRPr="000A1C8E">
              <w:rPr>
                <w:rFonts w:ascii="Tahoma" w:hAnsi="Tahoma" w:cs="Tahoma"/>
                <w:sz w:val="20"/>
                <w:szCs w:val="20"/>
              </w:rPr>
              <w:t>Academic Select/</w:t>
            </w:r>
            <w:r w:rsidR="00CA3960" w:rsidRPr="000A1C8E">
              <w:rPr>
                <w:rFonts w:ascii="Tahoma" w:hAnsi="Tahoma" w:cs="Tahoma"/>
                <w:sz w:val="20"/>
                <w:szCs w:val="20"/>
              </w:rPr>
              <w:br/>
            </w:r>
            <w:r w:rsidRPr="000A1C8E">
              <w:rPr>
                <w:rFonts w:ascii="Tahoma" w:hAnsi="Tahoma" w:cs="Tahoma"/>
                <w:sz w:val="20"/>
                <w:szCs w:val="20"/>
              </w:rPr>
              <w:t>Select Plus para Academic/</w:t>
            </w:r>
            <w:r w:rsidR="00CA3960" w:rsidRPr="000A1C8E">
              <w:rPr>
                <w:rFonts w:ascii="Tahoma" w:hAnsi="Tahoma" w:cs="Tahoma"/>
                <w:sz w:val="20"/>
                <w:szCs w:val="20"/>
              </w:rPr>
              <w:br/>
            </w:r>
            <w:r w:rsidRPr="000A1C8E">
              <w:rPr>
                <w:rFonts w:ascii="Tahoma" w:hAnsi="Tahoma" w:cs="Tahoma"/>
                <w:sz w:val="20"/>
                <w:szCs w:val="20"/>
              </w:rPr>
              <w:t>Open com SAM</w:t>
            </w:r>
          </w:p>
        </w:tc>
      </w:tr>
      <w:tr w:rsidR="0043190C" w:rsidRPr="000A1C8E" w:rsidTr="00737AED">
        <w:trPr>
          <w:trHeight w:val="236"/>
        </w:trPr>
        <w:tc>
          <w:tcPr>
            <w:tcW w:w="1269"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b/>
              </w:rPr>
              <w:t>Pool de</w:t>
            </w:r>
            <w:r w:rsidRPr="000A1C8E">
              <w:rPr>
                <w:rFonts w:ascii="Tahoma" w:hAnsi="Tahoma" w:cs="Tahoma"/>
              </w:rPr>
              <w:t xml:space="preserve"> </w:t>
            </w:r>
            <w:r w:rsidRPr="000A1C8E">
              <w:rPr>
                <w:rFonts w:ascii="Tahoma" w:hAnsi="Tahoma" w:cs="Tahoma"/>
                <w:b/>
              </w:rPr>
              <w:t>aplicativos</w:t>
            </w:r>
          </w:p>
        </w:tc>
        <w:tc>
          <w:tcPr>
            <w:tcW w:w="1055"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1 ID de Usuário por contrato</w:t>
            </w:r>
          </w:p>
        </w:tc>
        <w:tc>
          <w:tcPr>
            <w:tcW w:w="1440"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2 IDs de Usuário por</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Registro</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Qualificado</w:t>
            </w:r>
          </w:p>
        </w:tc>
        <w:tc>
          <w:tcPr>
            <w:tcW w:w="1350"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5 IDs de Usuário por</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Registro</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Qualificado</w:t>
            </w:r>
          </w:p>
        </w:tc>
        <w:tc>
          <w:tcPr>
            <w:tcW w:w="1530"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10 IDs de Usuário por</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Registro</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Qualificado</w:t>
            </w:r>
          </w:p>
        </w:tc>
        <w:tc>
          <w:tcPr>
            <w:tcW w:w="1350"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20 IDs de Usuário por</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Registro</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Qualificado</w:t>
            </w:r>
          </w:p>
        </w:tc>
        <w:tc>
          <w:tcPr>
            <w:tcW w:w="1456"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1 ID de Usuário por registro/</w:t>
            </w:r>
            <w:r w:rsidR="00CA3960" w:rsidRPr="000A1C8E">
              <w:rPr>
                <w:rFonts w:ascii="Tahoma" w:hAnsi="Tahoma" w:cs="Tahoma"/>
              </w:rPr>
              <w:br/>
            </w:r>
            <w:r w:rsidRPr="000A1C8E">
              <w:rPr>
                <w:rFonts w:ascii="Tahoma" w:hAnsi="Tahoma" w:cs="Tahoma"/>
              </w:rPr>
              <w:t>contrato</w:t>
            </w:r>
          </w:p>
        </w:tc>
      </w:tr>
      <w:tr w:rsidR="0043190C" w:rsidRPr="000A1C8E" w:rsidTr="00737AED">
        <w:trPr>
          <w:trHeight w:val="236"/>
        </w:trPr>
        <w:tc>
          <w:tcPr>
            <w:tcW w:w="1269"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b/>
              </w:rPr>
              <w:t>Pool de</w:t>
            </w:r>
            <w:r w:rsidRPr="000A1C8E">
              <w:rPr>
                <w:rFonts w:ascii="Tahoma" w:hAnsi="Tahoma" w:cs="Tahoma"/>
              </w:rPr>
              <w:t xml:space="preserve"> </w:t>
            </w:r>
            <w:r w:rsidRPr="000A1C8E">
              <w:rPr>
                <w:rFonts w:ascii="Tahoma" w:hAnsi="Tahoma" w:cs="Tahoma"/>
                <w:b/>
              </w:rPr>
              <w:t>sistemas</w:t>
            </w:r>
          </w:p>
        </w:tc>
        <w:tc>
          <w:tcPr>
            <w:tcW w:w="1055"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1 ID de Usuário por contrato</w:t>
            </w:r>
          </w:p>
        </w:tc>
        <w:tc>
          <w:tcPr>
            <w:tcW w:w="1440"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2 IDs de Usuário por</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Registro</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Qualificado</w:t>
            </w:r>
          </w:p>
        </w:tc>
        <w:tc>
          <w:tcPr>
            <w:tcW w:w="1350" w:type="dxa"/>
            <w:vAlign w:val="center"/>
          </w:tcPr>
          <w:p w:rsidR="0043190C" w:rsidRPr="000A1C8E" w:rsidRDefault="00F30075" w:rsidP="002A6416">
            <w:pPr>
              <w:pStyle w:val="AppendixTableText"/>
              <w:keepNext/>
              <w:spacing w:line="240" w:lineRule="auto"/>
              <w:rPr>
                <w:rFonts w:ascii="Tahoma" w:hAnsi="Tahoma" w:cs="Tahoma"/>
              </w:rPr>
            </w:pPr>
            <w:r w:rsidRPr="000A1C8E">
              <w:rPr>
                <w:rFonts w:ascii="Tahoma" w:hAnsi="Tahoma" w:cs="Tahoma"/>
              </w:rPr>
              <w:t>3 IDs de Usuário por</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Registro</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Qualificado</w:t>
            </w:r>
          </w:p>
        </w:tc>
        <w:tc>
          <w:tcPr>
            <w:tcW w:w="1530" w:type="dxa"/>
            <w:vAlign w:val="center"/>
          </w:tcPr>
          <w:p w:rsidR="0043190C" w:rsidRPr="000A1C8E" w:rsidRDefault="00F30075" w:rsidP="002A6416">
            <w:pPr>
              <w:pStyle w:val="AppendixTableText"/>
              <w:keepNext/>
              <w:spacing w:line="240" w:lineRule="auto"/>
              <w:rPr>
                <w:rFonts w:ascii="Tahoma" w:hAnsi="Tahoma" w:cs="Tahoma"/>
              </w:rPr>
            </w:pPr>
            <w:r w:rsidRPr="000A1C8E">
              <w:rPr>
                <w:rFonts w:ascii="Tahoma" w:hAnsi="Tahoma" w:cs="Tahoma"/>
              </w:rPr>
              <w:t>5 IDs de Usuário por</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Registro</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Qualificado</w:t>
            </w:r>
          </w:p>
        </w:tc>
        <w:tc>
          <w:tcPr>
            <w:tcW w:w="1350" w:type="dxa"/>
            <w:vAlign w:val="center"/>
          </w:tcPr>
          <w:p w:rsidR="0043190C" w:rsidRPr="000A1C8E" w:rsidRDefault="00F30075" w:rsidP="002A6416">
            <w:pPr>
              <w:pStyle w:val="AppendixTableText"/>
              <w:keepNext/>
              <w:spacing w:line="240" w:lineRule="auto"/>
              <w:rPr>
                <w:rFonts w:ascii="Tahoma" w:hAnsi="Tahoma" w:cs="Tahoma"/>
              </w:rPr>
            </w:pPr>
            <w:r w:rsidRPr="000A1C8E">
              <w:rPr>
                <w:rFonts w:ascii="Tahoma" w:hAnsi="Tahoma" w:cs="Tahoma"/>
              </w:rPr>
              <w:t>10 IDs de Usuário por</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Registro</w:t>
            </w:r>
          </w:p>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Qualificado</w:t>
            </w:r>
          </w:p>
        </w:tc>
        <w:tc>
          <w:tcPr>
            <w:tcW w:w="1456" w:type="dxa"/>
            <w:vAlign w:val="center"/>
          </w:tcPr>
          <w:p w:rsidR="0043190C" w:rsidRPr="000A1C8E" w:rsidRDefault="0043190C" w:rsidP="002A6416">
            <w:pPr>
              <w:pStyle w:val="AppendixTableText"/>
              <w:keepNext/>
              <w:spacing w:line="240" w:lineRule="auto"/>
              <w:rPr>
                <w:rFonts w:ascii="Tahoma" w:hAnsi="Tahoma" w:cs="Tahoma"/>
              </w:rPr>
            </w:pPr>
            <w:r w:rsidRPr="000A1C8E">
              <w:rPr>
                <w:rFonts w:ascii="Tahoma" w:hAnsi="Tahoma" w:cs="Tahoma"/>
              </w:rPr>
              <w:t>1 ID de Usuário por registro/</w:t>
            </w:r>
            <w:r w:rsidR="00CA3960" w:rsidRPr="000A1C8E">
              <w:rPr>
                <w:rFonts w:ascii="Tahoma" w:hAnsi="Tahoma" w:cs="Tahoma"/>
              </w:rPr>
              <w:br/>
            </w:r>
            <w:r w:rsidRPr="000A1C8E">
              <w:rPr>
                <w:rFonts w:ascii="Tahoma" w:hAnsi="Tahoma" w:cs="Tahoma"/>
              </w:rPr>
              <w:t>contrato</w:t>
            </w:r>
          </w:p>
        </w:tc>
      </w:tr>
    </w:tbl>
    <w:p w:rsidR="009D26EE" w:rsidRPr="00BD3A67" w:rsidRDefault="009D26EE" w:rsidP="00792D1E">
      <w:pPr>
        <w:pStyle w:val="AppendixFlushBulletedList"/>
        <w:tabs>
          <w:tab w:val="clear" w:pos="360"/>
          <w:tab w:val="num" w:pos="0"/>
        </w:tabs>
        <w:ind w:left="0" w:firstLine="0"/>
        <w:rPr>
          <w:rFonts w:ascii="Tahoma" w:hAnsi="Tahoma" w:cs="Tahoma"/>
          <w:spacing w:val="-4"/>
          <w:sz w:val="18"/>
          <w:szCs w:val="18"/>
        </w:rPr>
      </w:pPr>
      <w:r w:rsidRPr="00BD3A67">
        <w:rPr>
          <w:rFonts w:ascii="Tahoma" w:hAnsi="Tahoma" w:cs="Tahoma"/>
          <w:spacing w:val="-4"/>
          <w:sz w:val="18"/>
          <w:szCs w:val="18"/>
        </w:rPr>
        <w:t>Cada ID de Usuário qualifica um indivíduo para registrar e obter acesso ao site de serviços online apenas para Assinantes, o que inclui, mas não se limita a: Atendimento via Chat, Grupos de Notícias Gerenciados e conteúdos premium.</w:t>
      </w:r>
    </w:p>
    <w:p w:rsidR="00792D1E" w:rsidRPr="00BD3A67" w:rsidRDefault="00792D1E" w:rsidP="00792D1E">
      <w:pPr>
        <w:pStyle w:val="AppendixFlushBulletedList"/>
        <w:tabs>
          <w:tab w:val="clear" w:pos="360"/>
          <w:tab w:val="num" w:pos="0"/>
        </w:tabs>
        <w:ind w:left="0" w:firstLine="0"/>
        <w:rPr>
          <w:rFonts w:ascii="Tahoma" w:hAnsi="Tahoma" w:cs="Tahoma"/>
          <w:sz w:val="18"/>
          <w:szCs w:val="18"/>
        </w:rPr>
      </w:pPr>
    </w:p>
    <w:p w:rsidR="008C0608" w:rsidRPr="00BD3A67" w:rsidRDefault="008C0608" w:rsidP="00792D1E">
      <w:pPr>
        <w:pStyle w:val="AppendixFlushBulletedList"/>
        <w:tabs>
          <w:tab w:val="clear" w:pos="360"/>
          <w:tab w:val="num" w:pos="0"/>
        </w:tabs>
        <w:ind w:left="0" w:firstLine="0"/>
        <w:rPr>
          <w:rFonts w:ascii="Tahoma" w:hAnsi="Tahoma" w:cs="Tahoma"/>
          <w:sz w:val="18"/>
          <w:szCs w:val="18"/>
        </w:rPr>
      </w:pPr>
      <w:r w:rsidRPr="00BD3A67">
        <w:rPr>
          <w:rFonts w:ascii="Tahoma" w:hAnsi="Tahoma" w:cs="Tahoma"/>
          <w:sz w:val="18"/>
          <w:szCs w:val="18"/>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rsidR="00792D1E" w:rsidRPr="00BD3A67" w:rsidRDefault="00792D1E" w:rsidP="00792D1E">
      <w:pPr>
        <w:pStyle w:val="AppendixFlushBulletedList"/>
        <w:tabs>
          <w:tab w:val="clear" w:pos="360"/>
          <w:tab w:val="num" w:pos="0"/>
        </w:tabs>
        <w:ind w:left="0" w:firstLine="0"/>
        <w:rPr>
          <w:rFonts w:ascii="Tahoma" w:hAnsi="Tahoma" w:cs="Tahoma"/>
          <w:sz w:val="18"/>
          <w:szCs w:val="18"/>
        </w:rPr>
      </w:pPr>
    </w:p>
    <w:p w:rsidR="00023FE7" w:rsidRPr="00BD3A67" w:rsidRDefault="009D26EE" w:rsidP="00792D1E">
      <w:pPr>
        <w:pStyle w:val="AppendixBodyText"/>
        <w:spacing w:after="0"/>
        <w:rPr>
          <w:rFonts w:ascii="Tahoma" w:hAnsi="Tahoma" w:cs="Tahoma"/>
          <w:sz w:val="18"/>
          <w:szCs w:val="18"/>
        </w:rPr>
      </w:pPr>
      <w:r w:rsidRPr="00BD3A67">
        <w:rPr>
          <w:rFonts w:ascii="Tahoma" w:hAnsi="Tahoma" w:cs="Tahoma"/>
          <w:sz w:val="18"/>
          <w:szCs w:val="18"/>
        </w:rPr>
        <w:t>O uso de software dos Serviços de Assinatura do TechNet SA pelos clientes está sujeito aos termos e condições de seu contrato de licença.</w:t>
      </w:r>
    </w:p>
    <w:p w:rsidR="00023FE7" w:rsidRPr="000A1C8E" w:rsidRDefault="00023FE7" w:rsidP="00F0652C">
      <w:pPr>
        <w:pStyle w:val="Heading3"/>
        <w:rPr>
          <w:rFonts w:ascii="Tahoma" w:hAnsi="Tahoma" w:cs="Tahoma"/>
        </w:rPr>
      </w:pPr>
      <w:bookmarkStart w:id="758" w:name="_Toc336338241"/>
      <w:bookmarkStart w:id="759" w:name="_Toc361829325"/>
      <w:r w:rsidRPr="000A1C8E">
        <w:rPr>
          <w:rFonts w:ascii="Tahoma" w:hAnsi="Tahoma" w:cs="Tahoma"/>
          <w:sz w:val="24"/>
        </w:rPr>
        <w:lastRenderedPageBreak/>
        <w:t>TechNet Plus Direct</w:t>
      </w:r>
      <w:bookmarkEnd w:id="758"/>
      <w:bookmarkEnd w:id="759"/>
    </w:p>
    <w:p w:rsidR="00F0652C" w:rsidRPr="000A1C8E" w:rsidRDefault="00F0652C" w:rsidP="00F0652C">
      <w:pPr>
        <w:rPr>
          <w:rFonts w:cs="Tahoma"/>
        </w:rPr>
      </w:pPr>
    </w:p>
    <w:p w:rsidR="00792D1E" w:rsidRPr="000A1C8E" w:rsidRDefault="00A65414" w:rsidP="00792D1E">
      <w:pPr>
        <w:pStyle w:val="AppendixBodyText"/>
        <w:spacing w:after="0"/>
        <w:rPr>
          <w:rFonts w:ascii="Tahoma" w:hAnsi="Tahoma" w:cs="Tahoma"/>
        </w:rPr>
      </w:pPr>
      <w:r w:rsidRPr="000A1C8E">
        <w:rPr>
          <w:rFonts w:ascii="Tahoma" w:hAnsi="Tahoma" w:cs="Tahoma"/>
          <w:sz w:val="18"/>
          <w:szCs w:val="18"/>
        </w:rPr>
        <w:t>Os clientes com Software Assurance para produtos qualificados no pool de servidores estão qualificados para uma Assinatura do TechNet Plus Direct durante o prazo de suas coberturas do Software Assurance.</w:t>
      </w:r>
      <w:r w:rsidR="00DC6D8B" w:rsidRPr="000A1C8E">
        <w:rPr>
          <w:rFonts w:ascii="Tahoma" w:hAnsi="Tahoma" w:cs="Tahoma"/>
          <w:sz w:val="18"/>
          <w:szCs w:val="18"/>
        </w:rPr>
        <w:t xml:space="preserve"> </w:t>
      </w:r>
      <w:r w:rsidRPr="000A1C8E">
        <w:rPr>
          <w:rFonts w:ascii="Tahoma" w:hAnsi="Tahoma" w:cs="Tahoma"/>
          <w:sz w:val="18"/>
          <w:szCs w:val="18"/>
        </w:rPr>
        <w:t>Isso fornece aos profissionais de TI acesso ao conteúdo do TechNet Plus Direct, o que inclui a Base de Dados de Conhecimento Microsoft, treinamentos técnicos, downloads, patches de segurança, service packs e artigos como fazer.</w:t>
      </w:r>
      <w:r w:rsidR="00DC6D8B" w:rsidRPr="000A1C8E">
        <w:rPr>
          <w:rFonts w:ascii="Tahoma" w:hAnsi="Tahoma" w:cs="Tahoma"/>
          <w:sz w:val="18"/>
          <w:szCs w:val="18"/>
        </w:rPr>
        <w:t xml:space="preserve"> </w:t>
      </w:r>
      <w:r w:rsidRPr="000A1C8E">
        <w:rPr>
          <w:rFonts w:ascii="Tahoma" w:hAnsi="Tahoma" w:cs="Tahoma"/>
          <w:sz w:val="18"/>
          <w:szCs w:val="18"/>
        </w:rPr>
        <w:t>Além disso, os clientes também receberão os seguintes benefícios:</w:t>
      </w:r>
    </w:p>
    <w:p w:rsidR="00023FE7" w:rsidRPr="000A1C8E" w:rsidRDefault="00023FE7" w:rsidP="00792D1E">
      <w:pPr>
        <w:pStyle w:val="AppendixBodyText"/>
        <w:spacing w:after="0"/>
        <w:rPr>
          <w:rFonts w:ascii="Tahoma" w:hAnsi="Tahoma" w:cs="Tahoma"/>
        </w:rPr>
      </w:pPr>
      <w:r w:rsidRPr="000A1C8E">
        <w:rPr>
          <w:rFonts w:ascii="Tahoma" w:hAnsi="Tahoma" w:cs="Tahoma"/>
          <w:sz w:val="18"/>
          <w:szCs w:val="18"/>
        </w:rPr>
        <w:t xml:space="preserve"> </w:t>
      </w:r>
    </w:p>
    <w:p w:rsidR="00023FE7" w:rsidRPr="00BD3A67" w:rsidRDefault="00023FE7" w:rsidP="00346F4B">
      <w:pPr>
        <w:pStyle w:val="AppendixFlushBulletedList"/>
        <w:numPr>
          <w:ilvl w:val="0"/>
          <w:numId w:val="111"/>
        </w:numPr>
        <w:spacing w:after="60"/>
        <w:ind w:left="1440"/>
        <w:rPr>
          <w:rFonts w:ascii="Tahoma" w:hAnsi="Tahoma" w:cs="Tahoma"/>
          <w:sz w:val="18"/>
          <w:szCs w:val="18"/>
        </w:rPr>
      </w:pPr>
      <w:r w:rsidRPr="00BD3A67">
        <w:rPr>
          <w:rFonts w:ascii="Tahoma" w:hAnsi="Tahoma" w:cs="Tahoma"/>
          <w:sz w:val="18"/>
          <w:szCs w:val="18"/>
        </w:rPr>
        <w:t xml:space="preserve">Acesso para baixar softwares de versão completa licenciados para fins de avaliação; inclui sistemas operacionais e servidores da Microsoft e software do Office System. </w:t>
      </w:r>
    </w:p>
    <w:p w:rsidR="00023FE7" w:rsidRPr="00BD3A67" w:rsidRDefault="00023FE7" w:rsidP="00346F4B">
      <w:pPr>
        <w:pStyle w:val="AppendixFlushBulletedList"/>
        <w:numPr>
          <w:ilvl w:val="0"/>
          <w:numId w:val="111"/>
        </w:numPr>
        <w:spacing w:after="60"/>
        <w:ind w:left="1440"/>
        <w:rPr>
          <w:rFonts w:ascii="Tahoma" w:hAnsi="Tahoma" w:cs="Tahoma"/>
          <w:sz w:val="18"/>
          <w:szCs w:val="18"/>
        </w:rPr>
      </w:pPr>
      <w:r w:rsidRPr="00BD3A67">
        <w:rPr>
          <w:rFonts w:ascii="Tahoma" w:hAnsi="Tahoma" w:cs="Tahoma"/>
          <w:sz w:val="18"/>
          <w:szCs w:val="18"/>
        </w:rPr>
        <w:t xml:space="preserve">Acesso para baixar software Beta — versões de pré-lançamento de software da Microsoft </w:t>
      </w:r>
    </w:p>
    <w:p w:rsidR="00023FE7" w:rsidRPr="00BD3A67" w:rsidRDefault="00023FE7" w:rsidP="00346F4B">
      <w:pPr>
        <w:pStyle w:val="AppendixFlushBulletedList"/>
        <w:numPr>
          <w:ilvl w:val="0"/>
          <w:numId w:val="111"/>
        </w:numPr>
        <w:spacing w:after="60"/>
        <w:ind w:left="1440"/>
        <w:rPr>
          <w:rFonts w:ascii="Tahoma" w:hAnsi="Tahoma" w:cs="Tahoma"/>
          <w:sz w:val="18"/>
          <w:szCs w:val="18"/>
        </w:rPr>
      </w:pPr>
      <w:r w:rsidRPr="00BD3A67">
        <w:rPr>
          <w:rFonts w:ascii="Tahoma" w:hAnsi="Tahoma" w:cs="Tahoma"/>
          <w:sz w:val="18"/>
          <w:szCs w:val="18"/>
        </w:rPr>
        <w:t xml:space="preserve">Dois (2) incidentes de suporte técnico complementares por ano e 20% de desconto para incidentes de suporte por telefone adicionais adquiridos por um cliente. </w:t>
      </w:r>
    </w:p>
    <w:p w:rsidR="00023FE7" w:rsidRPr="00BD3A67" w:rsidRDefault="00023FE7" w:rsidP="00346F4B">
      <w:pPr>
        <w:pStyle w:val="AppendixFlushBulletedList"/>
        <w:numPr>
          <w:ilvl w:val="0"/>
          <w:numId w:val="111"/>
        </w:numPr>
        <w:spacing w:after="60"/>
        <w:ind w:left="1440"/>
        <w:rPr>
          <w:rFonts w:ascii="Tahoma" w:hAnsi="Tahoma" w:cs="Tahoma"/>
          <w:sz w:val="18"/>
          <w:szCs w:val="18"/>
        </w:rPr>
      </w:pPr>
      <w:r w:rsidRPr="00BD3A67">
        <w:rPr>
          <w:rFonts w:ascii="Tahoma" w:hAnsi="Tahoma" w:cs="Tahoma"/>
          <w:sz w:val="18"/>
          <w:szCs w:val="18"/>
        </w:rPr>
        <w:t xml:space="preserve">Suporte a Grupos de Notícias Gerenciados Ilimitado e serviço de Atendimento via Chat. </w:t>
      </w:r>
    </w:p>
    <w:p w:rsidR="00023FE7" w:rsidRPr="000A1C8E" w:rsidRDefault="00023FE7" w:rsidP="00792D1E">
      <w:pPr>
        <w:pStyle w:val="AppendixBodyText"/>
        <w:spacing w:after="0"/>
        <w:rPr>
          <w:rFonts w:ascii="Tahoma" w:hAnsi="Tahoma" w:cs="Tahoma"/>
        </w:rPr>
      </w:pPr>
    </w:p>
    <w:p w:rsidR="00023FE7" w:rsidRPr="000A1C8E" w:rsidRDefault="00023FE7" w:rsidP="00792D1E">
      <w:pPr>
        <w:pStyle w:val="AppendixBodyText"/>
        <w:spacing w:after="0"/>
        <w:rPr>
          <w:rFonts w:ascii="Tahoma" w:hAnsi="Tahoma" w:cs="Tahoma"/>
        </w:rPr>
      </w:pPr>
      <w:r w:rsidRPr="000A1C8E">
        <w:rPr>
          <w:rFonts w:ascii="Tahoma" w:hAnsi="Tahoma" w:cs="Tahoma"/>
          <w:sz w:val="18"/>
          <w:szCs w:val="18"/>
        </w:rPr>
        <w:t>Os clientes qualificados recebem uma assinatura por registro qualificado, conforme mostrado a seguir:</w:t>
      </w:r>
    </w:p>
    <w:p w:rsidR="00023FE7" w:rsidRPr="000A1C8E" w:rsidRDefault="00023FE7" w:rsidP="00792D1E">
      <w:pPr>
        <w:pStyle w:val="AppendixBodyText"/>
        <w:tabs>
          <w:tab w:val="left" w:pos="1425"/>
        </w:tabs>
        <w:spacing w:after="0"/>
        <w:rPr>
          <w:rFonts w:ascii="Tahoma" w:hAnsi="Tahoma" w:cs="Tahoma"/>
        </w:rPr>
      </w:pPr>
    </w:p>
    <w:tbl>
      <w:tblPr>
        <w:tblW w:w="9459" w:type="dxa"/>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270612" w:rsidRPr="000A1C8E"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A1C8E" w:rsidRDefault="00270612" w:rsidP="00D824E9">
            <w:pPr>
              <w:keepNext/>
              <w:jc w:val="center"/>
              <w:rPr>
                <w:rFonts w:cs="Tahoma"/>
                <w:b/>
                <w:bCs/>
                <w:color w:val="000000"/>
                <w:sz w:val="20"/>
                <w:szCs w:val="20"/>
                <w:highlight w:val="yellow"/>
              </w:rPr>
            </w:pPr>
            <w:r w:rsidRPr="000A1C8E">
              <w:rPr>
                <w:rFonts w:cs="Tahoma"/>
                <w:b/>
                <w:bCs/>
                <w:color w:val="000000"/>
                <w:sz w:val="20"/>
                <w:szCs w:val="20"/>
              </w:rPr>
              <w:t>Produto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A1C8E" w:rsidRDefault="00270612" w:rsidP="00CA4488">
            <w:pPr>
              <w:jc w:val="center"/>
              <w:rPr>
                <w:rFonts w:cs="Tahoma"/>
                <w:b/>
                <w:bCs/>
                <w:color w:val="000000"/>
                <w:sz w:val="20"/>
                <w:szCs w:val="20"/>
                <w:highlight w:val="yellow"/>
              </w:rPr>
            </w:pPr>
            <w:r w:rsidRPr="000A1C8E">
              <w:rPr>
                <w:rFonts w:cs="Tahoma"/>
                <w:b/>
                <w:bCs/>
                <w:color w:val="000000"/>
                <w:sz w:val="20"/>
                <w:szCs w:val="20"/>
              </w:rPr>
              <w:t>Licença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A1C8E" w:rsidRDefault="00270612" w:rsidP="00CA4488">
            <w:pPr>
              <w:jc w:val="center"/>
              <w:rPr>
                <w:rFonts w:cs="Tahoma"/>
                <w:b/>
                <w:bCs/>
                <w:color w:val="000000"/>
                <w:sz w:val="20"/>
                <w:szCs w:val="20"/>
                <w:highlight w:val="yellow"/>
              </w:rPr>
            </w:pPr>
            <w:r w:rsidRPr="000A1C8E">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0A1C8E" w:rsidRDefault="00270612" w:rsidP="00CA4488">
            <w:pPr>
              <w:jc w:val="center"/>
              <w:rPr>
                <w:rFonts w:cs="Tahoma"/>
                <w:b/>
                <w:bCs/>
                <w:color w:val="000000"/>
                <w:sz w:val="20"/>
                <w:szCs w:val="20"/>
              </w:rPr>
            </w:pPr>
            <w:r w:rsidRPr="000A1C8E">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A1C8E" w:rsidRDefault="00270612" w:rsidP="00CA4488">
            <w:pPr>
              <w:jc w:val="center"/>
              <w:rPr>
                <w:rFonts w:cs="Tahoma"/>
                <w:b/>
                <w:bCs/>
                <w:color w:val="000000"/>
                <w:sz w:val="20"/>
                <w:szCs w:val="20"/>
                <w:highlight w:val="yellow"/>
              </w:rPr>
            </w:pPr>
            <w:r w:rsidRPr="000A1C8E">
              <w:rPr>
                <w:rFonts w:cs="Tahoma"/>
                <w:b/>
                <w:bCs/>
                <w:color w:val="000000"/>
                <w:sz w:val="20"/>
                <w:szCs w:val="20"/>
              </w:rPr>
              <w:t>Select (diferente de Academic)/Select Plus (diferente de Academic)/Contrato Enterprise</w:t>
            </w:r>
          </w:p>
        </w:tc>
      </w:tr>
      <w:tr w:rsidR="00270612" w:rsidRPr="000A1C8E"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0A1C8E" w:rsidRDefault="00270612" w:rsidP="00CA4488">
            <w:pPr>
              <w:rPr>
                <w:rFonts w:cs="Tahoma"/>
                <w:color w:val="000000"/>
                <w:szCs w:val="18"/>
                <w:highlight w:val="yellow"/>
              </w:rPr>
            </w:pPr>
            <w:r w:rsidRPr="000A1C8E">
              <w:rPr>
                <w:rFonts w:cs="Tahoma"/>
                <w:b/>
                <w:bCs/>
                <w:iCs/>
                <w:color w:val="000000"/>
                <w:szCs w:val="18"/>
              </w:rPr>
              <w:t>Licenças de</w:t>
            </w:r>
            <w:r w:rsidRPr="000A1C8E">
              <w:rPr>
                <w:rFonts w:cs="Tahoma"/>
                <w:b/>
                <w:color w:val="000000"/>
                <w:szCs w:val="18"/>
              </w:rPr>
              <w:t xml:space="preserv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0A1C8E" w:rsidRDefault="00270612" w:rsidP="00CA4488">
            <w:pPr>
              <w:jc w:val="center"/>
              <w:rPr>
                <w:rFonts w:cs="Tahoma"/>
                <w:color w:val="000000"/>
                <w:szCs w:val="18"/>
                <w:highlight w:val="yellow"/>
              </w:rPr>
            </w:pPr>
            <w:r w:rsidRPr="000A1C8E">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0A1C8E" w:rsidRDefault="00270612" w:rsidP="00CA4488">
            <w:pPr>
              <w:jc w:val="center"/>
              <w:rPr>
                <w:rFonts w:cs="Tahoma"/>
                <w:color w:val="000000"/>
                <w:szCs w:val="18"/>
                <w:highlight w:val="yellow"/>
              </w:rPr>
            </w:pPr>
            <w:r w:rsidRPr="000A1C8E">
              <w:rPr>
                <w:rFonts w:cs="Tahoma"/>
                <w:color w:val="000000"/>
                <w:szCs w:val="18"/>
              </w:rPr>
              <w:t>1 assinatura por registro</w:t>
            </w:r>
          </w:p>
        </w:tc>
        <w:tc>
          <w:tcPr>
            <w:tcW w:w="2160" w:type="dxa"/>
            <w:tcBorders>
              <w:top w:val="single" w:sz="8" w:space="0" w:color="auto"/>
              <w:left w:val="nil"/>
              <w:bottom w:val="single" w:sz="8" w:space="0" w:color="auto"/>
              <w:right w:val="single" w:sz="8" w:space="0" w:color="auto"/>
            </w:tcBorders>
          </w:tcPr>
          <w:p w:rsidR="00270612" w:rsidRPr="000A1C8E" w:rsidRDefault="00270612" w:rsidP="00F30075">
            <w:pPr>
              <w:ind w:left="360"/>
              <w:rPr>
                <w:rFonts w:cs="Tahoma"/>
                <w:color w:val="000000"/>
                <w:szCs w:val="18"/>
              </w:rPr>
            </w:pPr>
            <w:r w:rsidRPr="000A1C8E">
              <w:rPr>
                <w:rFonts w:cs="Tahoma"/>
                <w:color w:val="000000"/>
                <w:szCs w:val="18"/>
              </w:rPr>
              <w:t>1 assinatura por registro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0A1C8E" w:rsidRDefault="00270612" w:rsidP="00CA4488">
            <w:pPr>
              <w:rPr>
                <w:rFonts w:cs="Tahoma"/>
                <w:color w:val="000000"/>
                <w:szCs w:val="18"/>
              </w:rPr>
            </w:pPr>
            <w:r w:rsidRPr="000A1C8E">
              <w:rPr>
                <w:rFonts w:cs="Tahoma"/>
                <w:color w:val="000000"/>
                <w:szCs w:val="18"/>
              </w:rPr>
              <w:t>1 assinatura por registro</w:t>
            </w:r>
          </w:p>
        </w:tc>
      </w:tr>
    </w:tbl>
    <w:p w:rsidR="00F30075" w:rsidRPr="000A1C8E" w:rsidRDefault="00F30075" w:rsidP="00F30075">
      <w:pPr>
        <w:tabs>
          <w:tab w:val="num" w:pos="0"/>
        </w:tabs>
        <w:rPr>
          <w:rFonts w:cs="Tahoma"/>
        </w:rPr>
      </w:pPr>
      <w:r w:rsidRPr="000A1C8E">
        <w:rPr>
          <w:rFonts w:cs="Tahoma"/>
          <w:i/>
          <w:color w:val="000000"/>
          <w:sz w:val="16"/>
          <w:szCs w:val="16"/>
        </w:rPr>
        <w:t>Se o cliente tiver uma cobertura ativa do SA para cinco licenças de software de servidor</w:t>
      </w:r>
    </w:p>
    <w:p w:rsidR="00270612" w:rsidRPr="000A1C8E" w:rsidRDefault="00270612" w:rsidP="00270612">
      <w:pPr>
        <w:pStyle w:val="AppendixFlushBulletedList"/>
        <w:tabs>
          <w:tab w:val="clear" w:pos="360"/>
          <w:tab w:val="num" w:pos="0"/>
        </w:tabs>
        <w:ind w:left="0" w:firstLine="0"/>
        <w:rPr>
          <w:rFonts w:ascii="Tahoma" w:hAnsi="Tahoma" w:cs="Tahoma"/>
        </w:rPr>
      </w:pPr>
    </w:p>
    <w:p w:rsidR="00270612" w:rsidRPr="000A1C8E" w:rsidRDefault="00270612" w:rsidP="00270612">
      <w:pPr>
        <w:pStyle w:val="AppendixFlushBulletedList"/>
        <w:tabs>
          <w:tab w:val="clear" w:pos="360"/>
          <w:tab w:val="num" w:pos="0"/>
        </w:tabs>
        <w:ind w:left="0" w:firstLine="0"/>
        <w:rPr>
          <w:rFonts w:ascii="Tahoma" w:hAnsi="Tahoma" w:cs="Tahoma"/>
        </w:rPr>
      </w:pPr>
      <w:r w:rsidRPr="000A1C8E">
        <w:rPr>
          <w:rFonts w:ascii="Tahoma" w:hAnsi="Tahoma" w:cs="Tahoma"/>
          <w:color w:val="000000"/>
          <w:sz w:val="18"/>
          <w:szCs w:val="18"/>
        </w:rPr>
        <w:t>O uso de software, software de pré-lançamento e de avaliação do TechNet Plus Direct pelos clientes está sujeito aos termos e condições de seus contratos de licença.</w:t>
      </w:r>
      <w:r w:rsidR="00DC6D8B" w:rsidRPr="000A1C8E">
        <w:rPr>
          <w:rFonts w:ascii="Tahoma" w:hAnsi="Tahoma" w:cs="Tahoma"/>
          <w:color w:val="000000"/>
          <w:sz w:val="18"/>
          <w:szCs w:val="18"/>
        </w:rPr>
        <w:t xml:space="preserve"> </w:t>
      </w:r>
    </w:p>
    <w:p w:rsidR="00270612" w:rsidRPr="000A1C8E" w:rsidRDefault="00270612" w:rsidP="00ED7B01">
      <w:pPr>
        <w:pStyle w:val="AppendixFlushBulletedList"/>
        <w:tabs>
          <w:tab w:val="clear" w:pos="360"/>
          <w:tab w:val="num" w:pos="0"/>
        </w:tabs>
        <w:ind w:left="0" w:firstLine="0"/>
        <w:rPr>
          <w:rFonts w:ascii="Tahoma" w:hAnsi="Tahoma" w:cs="Tahoma"/>
        </w:rPr>
      </w:pPr>
      <w:r w:rsidRPr="000A1C8E">
        <w:rPr>
          <w:rFonts w:ascii="Tahoma" w:hAnsi="Tahoma" w:cs="Tahoma"/>
          <w:color w:val="000000"/>
          <w:sz w:val="18"/>
          <w:szCs w:val="18"/>
        </w:rPr>
        <w:t>O software de versão completa licenciado não possui uma bomba relógio e destina-se apenas para fins de avaliação</w:t>
      </w:r>
      <w:r w:rsidR="00ED7B01" w:rsidRPr="000A1C8E">
        <w:rPr>
          <w:rFonts w:ascii="Tahoma" w:hAnsi="Tahoma" w:cs="Tahoma"/>
          <w:color w:val="000000"/>
          <w:sz w:val="18"/>
          <w:szCs w:val="18"/>
        </w:rPr>
        <w:t> </w:t>
      </w:r>
      <w:r w:rsidRPr="000A1C8E">
        <w:rPr>
          <w:rFonts w:ascii="Tahoma" w:hAnsi="Tahoma" w:cs="Tahoma"/>
          <w:color w:val="000000"/>
          <w:sz w:val="18"/>
          <w:szCs w:val="18"/>
        </w:rPr>
        <w:t xml:space="preserve">– ela não deve ser usado em ambientes de produção. </w:t>
      </w:r>
    </w:p>
    <w:p w:rsidR="004D4D43" w:rsidRPr="000A1C8E" w:rsidRDefault="004D4D43" w:rsidP="00270612">
      <w:pPr>
        <w:pStyle w:val="AppendixFlushBulletedList"/>
        <w:tabs>
          <w:tab w:val="clear" w:pos="360"/>
          <w:tab w:val="num" w:pos="0"/>
        </w:tabs>
        <w:ind w:left="0" w:firstLine="0"/>
        <w:rPr>
          <w:rFonts w:ascii="Tahoma" w:hAnsi="Tahoma" w:cs="Tahoma"/>
        </w:rPr>
      </w:pPr>
    </w:p>
    <w:p w:rsidR="00270612" w:rsidRPr="000A1C8E" w:rsidRDefault="00270612" w:rsidP="00ED7B01">
      <w:pPr>
        <w:pStyle w:val="AppendixFlushBulletedList"/>
        <w:tabs>
          <w:tab w:val="clear" w:pos="360"/>
          <w:tab w:val="num" w:pos="0"/>
        </w:tabs>
        <w:ind w:left="0" w:firstLine="0"/>
        <w:rPr>
          <w:rFonts w:ascii="Tahoma" w:hAnsi="Tahoma" w:cs="Tahoma"/>
        </w:rPr>
      </w:pPr>
      <w:r w:rsidRPr="000A1C8E">
        <w:rPr>
          <w:rFonts w:ascii="Tahoma" w:hAnsi="Tahoma" w:cs="Tahoma"/>
          <w:color w:val="000000"/>
          <w:sz w:val="18"/>
          <w:szCs w:val="18"/>
        </w:rPr>
        <w:t>Os clientes do SA têm direito de compartilhar o conteúdo técnico dentro da organização, como a base de conhecimento, os treinamentos técnicos, os downloads, os service packs e os patches de segurança.</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Entretanto, os</w:t>
      </w:r>
      <w:r w:rsidR="00ED7B01" w:rsidRPr="000A1C8E">
        <w:rPr>
          <w:rFonts w:ascii="Tahoma" w:hAnsi="Tahoma" w:cs="Tahoma"/>
          <w:color w:val="000000"/>
          <w:sz w:val="18"/>
          <w:szCs w:val="18"/>
        </w:rPr>
        <w:t> </w:t>
      </w:r>
      <w:r w:rsidRPr="000A1C8E">
        <w:rPr>
          <w:rFonts w:ascii="Tahoma" w:hAnsi="Tahoma" w:cs="Tahoma"/>
          <w:color w:val="000000"/>
          <w:sz w:val="18"/>
          <w:szCs w:val="18"/>
        </w:rPr>
        <w:t xml:space="preserve">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 TechNet Plus Direct. </w:t>
      </w:r>
    </w:p>
    <w:p w:rsidR="00792D1E" w:rsidRPr="000A1C8E" w:rsidRDefault="00792D1E" w:rsidP="00270612">
      <w:pPr>
        <w:pStyle w:val="AppendixFlushBulletedList"/>
        <w:tabs>
          <w:tab w:val="clear" w:pos="360"/>
          <w:tab w:val="num" w:pos="0"/>
        </w:tabs>
        <w:ind w:left="0" w:firstLine="0"/>
        <w:rPr>
          <w:rFonts w:ascii="Tahoma" w:hAnsi="Tahoma" w:cs="Tahoma"/>
        </w:rPr>
      </w:pPr>
    </w:p>
    <w:p w:rsidR="00270612" w:rsidRPr="000A1C8E" w:rsidRDefault="00270612" w:rsidP="00270612">
      <w:pPr>
        <w:pStyle w:val="AppendixFlushBulletedList"/>
        <w:tabs>
          <w:tab w:val="clear" w:pos="360"/>
          <w:tab w:val="num" w:pos="0"/>
        </w:tabs>
        <w:ind w:left="0" w:firstLine="0"/>
        <w:rPr>
          <w:rFonts w:ascii="Tahoma" w:hAnsi="Tahoma" w:cs="Tahoma"/>
        </w:rPr>
      </w:pPr>
      <w:r w:rsidRPr="000A1C8E">
        <w:rPr>
          <w:rFonts w:ascii="Tahoma" w:hAnsi="Tahoma" w:cs="Tahoma"/>
          <w:color w:val="000000"/>
          <w:sz w:val="18"/>
          <w:szCs w:val="18"/>
        </w:rPr>
        <w:t>Nem todos os serviços e benefícios do TechNet Plus Direct estão disponíveis em todos os países/regiões.</w:t>
      </w:r>
      <w:r w:rsidR="00DC6D8B" w:rsidRPr="000A1C8E">
        <w:rPr>
          <w:rFonts w:ascii="Tahoma" w:hAnsi="Tahoma" w:cs="Tahoma"/>
          <w:color w:val="000000"/>
          <w:sz w:val="18"/>
          <w:szCs w:val="18"/>
        </w:rPr>
        <w:t xml:space="preserve"> </w:t>
      </w:r>
    </w:p>
    <w:p w:rsidR="00792D1E" w:rsidRPr="000A1C8E" w:rsidRDefault="00792D1E" w:rsidP="00270612">
      <w:pPr>
        <w:pStyle w:val="AppendixFlushBulletedList"/>
        <w:tabs>
          <w:tab w:val="clear" w:pos="360"/>
          <w:tab w:val="num" w:pos="0"/>
        </w:tabs>
        <w:ind w:left="0" w:firstLine="0"/>
        <w:rPr>
          <w:rFonts w:ascii="Tahoma" w:hAnsi="Tahoma" w:cs="Tahoma"/>
        </w:rPr>
      </w:pPr>
    </w:p>
    <w:p w:rsidR="00270612" w:rsidRPr="000A1C8E" w:rsidRDefault="00270612" w:rsidP="00270612">
      <w:pPr>
        <w:pStyle w:val="AppendixFlushBulletedList"/>
        <w:tabs>
          <w:tab w:val="clear" w:pos="360"/>
          <w:tab w:val="num" w:pos="0"/>
        </w:tabs>
        <w:ind w:left="0" w:firstLine="0"/>
        <w:rPr>
          <w:rFonts w:ascii="Tahoma" w:hAnsi="Tahoma" w:cs="Tahoma"/>
        </w:rPr>
      </w:pPr>
      <w:r w:rsidRPr="000A1C8E">
        <w:rPr>
          <w:rFonts w:ascii="Tahoma" w:hAnsi="Tahoma" w:cs="Tahoma"/>
          <w:color w:val="000000"/>
          <w:sz w:val="18"/>
          <w:szCs w:val="18"/>
        </w:rPr>
        <w:t xml:space="preserve">Visite o site </w:t>
      </w:r>
      <w:hyperlink r:id="rId28" w:history="1">
        <w:r w:rsidRPr="000A1C8E">
          <w:rPr>
            <w:rStyle w:val="Hyperlink"/>
            <w:rFonts w:ascii="Tahoma" w:hAnsi="Tahoma" w:cs="Tahoma"/>
            <w:color w:val="000000"/>
            <w:sz w:val="18"/>
            <w:szCs w:val="18"/>
          </w:rPr>
          <w:t>www.microsoft.com/technet/subscription</w:t>
        </w:r>
      </w:hyperlink>
      <w:r w:rsidRPr="000A1C8E">
        <w:rPr>
          <w:rFonts w:ascii="Tahoma" w:hAnsi="Tahoma" w:cs="Tahoma"/>
          <w:color w:val="000000"/>
          <w:sz w:val="18"/>
          <w:szCs w:val="18"/>
        </w:rPr>
        <w:t xml:space="preserve"> para obter mais informações sobre a disponibilidade por país/região. </w:t>
      </w:r>
    </w:p>
    <w:p w:rsidR="00270612" w:rsidRPr="000A1C8E" w:rsidRDefault="00270612" w:rsidP="00270612">
      <w:pPr>
        <w:pStyle w:val="AppendixFlushBulletedList"/>
        <w:tabs>
          <w:tab w:val="clear" w:pos="360"/>
          <w:tab w:val="num" w:pos="0"/>
        </w:tabs>
        <w:ind w:left="0" w:firstLine="0"/>
        <w:rPr>
          <w:rFonts w:ascii="Tahoma" w:hAnsi="Tahoma" w:cs="Tahoma"/>
        </w:rPr>
      </w:pPr>
      <w:r w:rsidRPr="000A1C8E">
        <w:rPr>
          <w:rFonts w:ascii="Tahoma" w:hAnsi="Tahoma" w:cs="Tahoma"/>
          <w:color w:val="000000"/>
          <w:sz w:val="18"/>
          <w:szCs w:val="18"/>
        </w:rPr>
        <w:t>Os direitos de uso de software, software de pré-lançamento e de avaliação do TechNet Plus Direct pelos clientes se encerram no término de suas coberturas do Software Assurance.</w:t>
      </w:r>
    </w:p>
    <w:p w:rsidR="00023FE7" w:rsidRPr="000A1C8E" w:rsidRDefault="00023FE7">
      <w:pPr>
        <w:pStyle w:val="Heading3"/>
        <w:tabs>
          <w:tab w:val="num" w:pos="0"/>
        </w:tabs>
        <w:rPr>
          <w:rFonts w:ascii="Tahoma" w:hAnsi="Tahoma" w:cs="Tahoma"/>
        </w:rPr>
      </w:pPr>
    </w:p>
    <w:p w:rsidR="00ED7B01" w:rsidRPr="000A1C8E" w:rsidRDefault="00ED7B01" w:rsidP="00ED7B01">
      <w:pPr>
        <w:rPr>
          <w:rFonts w:cs="Tahoma"/>
        </w:rPr>
      </w:pPr>
    </w:p>
    <w:p w:rsidR="00ED7B01" w:rsidRPr="000A1C8E" w:rsidRDefault="00ED7B01" w:rsidP="00ED7B01">
      <w:pPr>
        <w:rPr>
          <w:rFonts w:cs="Tahoma"/>
        </w:rPr>
      </w:pPr>
    </w:p>
    <w:p w:rsidR="00ED7B01" w:rsidRPr="000A1C8E" w:rsidRDefault="00ED7B01" w:rsidP="00ED7B01">
      <w:pPr>
        <w:rPr>
          <w:rFonts w:cs="Tahoma"/>
        </w:rPr>
      </w:pPr>
    </w:p>
    <w:p w:rsidR="00ED7B01" w:rsidRPr="000A1C8E" w:rsidRDefault="00ED7B01" w:rsidP="00ED7B01">
      <w:pPr>
        <w:rPr>
          <w:rFonts w:cs="Tahoma"/>
        </w:rPr>
      </w:pPr>
    </w:p>
    <w:p w:rsidR="00ED7B01" w:rsidRPr="000A1C8E" w:rsidRDefault="00ED7B01" w:rsidP="00ED7B01">
      <w:pPr>
        <w:rPr>
          <w:rFonts w:cs="Tahoma"/>
        </w:rPr>
      </w:pPr>
    </w:p>
    <w:p w:rsidR="00ED7B01" w:rsidRPr="000A1C8E" w:rsidRDefault="00ED7B01" w:rsidP="00ED7B01">
      <w:pPr>
        <w:rPr>
          <w:rFonts w:cs="Tahoma"/>
        </w:rPr>
      </w:pPr>
    </w:p>
    <w:p w:rsidR="00ED7B01" w:rsidRPr="000A1C8E" w:rsidRDefault="00ED7B01" w:rsidP="00ED7B01">
      <w:pPr>
        <w:rPr>
          <w:rFonts w:cs="Tahoma"/>
        </w:rPr>
      </w:pPr>
    </w:p>
    <w:p w:rsidR="00ED7B01" w:rsidRPr="000A1C8E" w:rsidRDefault="00ED7B01" w:rsidP="00ED7B01">
      <w:pPr>
        <w:rPr>
          <w:rFonts w:cs="Tahoma"/>
        </w:rPr>
      </w:pPr>
    </w:p>
    <w:p w:rsidR="00ED7B01" w:rsidRDefault="00ED7B01" w:rsidP="00ED7B01">
      <w:pPr>
        <w:rPr>
          <w:rFonts w:cs="Tahoma"/>
        </w:rPr>
      </w:pPr>
    </w:p>
    <w:p w:rsidR="00BC0F51" w:rsidRPr="000A1C8E" w:rsidRDefault="00BC0F51" w:rsidP="00ED7B01">
      <w:pPr>
        <w:rPr>
          <w:rFonts w:cs="Tahoma"/>
        </w:rPr>
      </w:pPr>
    </w:p>
    <w:p w:rsidR="004D4D43" w:rsidRPr="000A1C8E" w:rsidRDefault="004D4D43" w:rsidP="004D4D43">
      <w:pPr>
        <w:pStyle w:val="Heading3"/>
        <w:tabs>
          <w:tab w:val="num" w:pos="0"/>
        </w:tabs>
        <w:rPr>
          <w:rFonts w:ascii="Tahoma" w:hAnsi="Tahoma" w:cs="Tahoma"/>
        </w:rPr>
      </w:pPr>
      <w:bookmarkStart w:id="760" w:name="_Toc336338242"/>
      <w:bookmarkStart w:id="761" w:name="_Toc361829326"/>
      <w:r w:rsidRPr="000A1C8E">
        <w:rPr>
          <w:rFonts w:ascii="Tahoma" w:hAnsi="Tahoma" w:cs="Tahoma"/>
          <w:sz w:val="24"/>
        </w:rPr>
        <w:lastRenderedPageBreak/>
        <w:t>Mobilidade de Licença por meio do Software Assurance.</w:t>
      </w:r>
      <w:bookmarkEnd w:id="760"/>
      <w:bookmarkEnd w:id="761"/>
    </w:p>
    <w:p w:rsidR="004D4D43" w:rsidRPr="000A1C8E" w:rsidRDefault="004D4D43" w:rsidP="0007218F">
      <w:pPr>
        <w:pStyle w:val="Heading3"/>
        <w:tabs>
          <w:tab w:val="num" w:pos="0"/>
        </w:tabs>
        <w:rPr>
          <w:rFonts w:ascii="Tahoma" w:hAnsi="Tahoma" w:cs="Tahoma"/>
        </w:rPr>
      </w:pPr>
    </w:p>
    <w:p w:rsidR="004D4D43" w:rsidRPr="000A1C8E" w:rsidRDefault="004D4D43" w:rsidP="002171C3">
      <w:pPr>
        <w:rPr>
          <w:rFonts w:cs="Tahoma"/>
        </w:rPr>
      </w:pPr>
      <w:bookmarkStart w:id="762" w:name="_Toc294048012"/>
      <w:bookmarkStart w:id="763" w:name="_Toc294048569"/>
      <w:bookmarkStart w:id="764" w:name="_Toc294092640"/>
      <w:bookmarkStart w:id="765" w:name="_Toc295819320"/>
      <w:bookmarkStart w:id="766" w:name="_Toc298795971"/>
      <w:bookmarkStart w:id="767" w:name="_Toc299369847"/>
      <w:bookmarkStart w:id="768" w:name="_Toc300391558"/>
      <w:bookmarkStart w:id="769" w:name="_Toc301939835"/>
      <w:bookmarkStart w:id="770" w:name="_Toc304801232"/>
      <w:bookmarkStart w:id="771" w:name="_Toc312399280"/>
      <w:bookmarkStart w:id="772" w:name="_Toc315289087"/>
      <w:bookmarkStart w:id="773" w:name="_Toc317591243"/>
      <w:bookmarkStart w:id="774" w:name="_Toc325313196"/>
      <w:bookmarkStart w:id="775" w:name="_Toc325609219"/>
      <w:r w:rsidRPr="000A1C8E">
        <w:rPr>
          <w:rFonts w:cs="Tahoma"/>
        </w:rPr>
        <w:t>A Mobilidade de Licença por meio do Software Assurance permite mover-se entre determinadas licenças nas instalações cobertas por Software Assurance para servidores compartilhados por terceiros.</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4D4D43" w:rsidRPr="000A1C8E" w:rsidRDefault="004D4D43" w:rsidP="002171C3">
      <w:pPr>
        <w:rPr>
          <w:rFonts w:cs="Tahoma"/>
        </w:rPr>
      </w:pPr>
    </w:p>
    <w:p w:rsidR="004D4D43" w:rsidRPr="000A1C8E" w:rsidRDefault="004D4D43" w:rsidP="002171C3">
      <w:pPr>
        <w:rPr>
          <w:rFonts w:cs="Tahoma"/>
        </w:rPr>
      </w:pPr>
      <w:bookmarkStart w:id="776" w:name="_Toc294048013"/>
      <w:bookmarkStart w:id="777" w:name="_Toc294048570"/>
      <w:bookmarkStart w:id="778" w:name="_Toc294092641"/>
      <w:bookmarkStart w:id="779" w:name="_Toc295819321"/>
      <w:bookmarkStart w:id="780" w:name="_Toc298795972"/>
      <w:bookmarkStart w:id="781" w:name="_Toc299369848"/>
      <w:bookmarkStart w:id="782" w:name="_Toc300391559"/>
      <w:bookmarkStart w:id="783" w:name="_Toc301939836"/>
      <w:bookmarkStart w:id="784" w:name="_Toc304801233"/>
      <w:bookmarkStart w:id="785" w:name="_Toc307350402"/>
      <w:bookmarkStart w:id="786" w:name="_Toc308429813"/>
      <w:bookmarkStart w:id="787" w:name="_Toc312399281"/>
      <w:bookmarkStart w:id="788" w:name="_Toc315289088"/>
      <w:bookmarkStart w:id="789" w:name="_Toc317591244"/>
      <w:bookmarkStart w:id="790" w:name="_Toc323034197"/>
      <w:bookmarkStart w:id="791" w:name="_Toc325313197"/>
      <w:bookmarkStart w:id="792" w:name="_Toc325609220"/>
      <w:r w:rsidRPr="000A1C8E">
        <w:rPr>
          <w:rFonts w:cs="Tahoma"/>
        </w:rPr>
        <w:t>Todos os Produtos qualificados no momento para “Mobilidade de Licenças nos Farms de Servidores”, conforme definidos nos Direitos de Uso do Produto (PUR) e cobertos por Software Assurance, estão qualificados para a Mobilidade de Licença por meio do Software Assurance. Além disso, os seguintes Produtos também estão qualificados para Mobilidade de Licenças por meio de Software Assurance:</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4D4D43" w:rsidRPr="000A1C8E" w:rsidRDefault="004D4D43" w:rsidP="00F86E06">
      <w:pPr>
        <w:rPr>
          <w:rFonts w:cs="Tahoma"/>
        </w:rPr>
      </w:pPr>
    </w:p>
    <w:p w:rsidR="004D4D43" w:rsidRPr="000A1C8E" w:rsidRDefault="004D4D43" w:rsidP="00346F4B">
      <w:pPr>
        <w:numPr>
          <w:ilvl w:val="0"/>
          <w:numId w:val="74"/>
        </w:numPr>
        <w:spacing w:after="60"/>
        <w:ind w:left="1440"/>
        <w:rPr>
          <w:rFonts w:cs="Tahoma"/>
        </w:rPr>
      </w:pPr>
      <w:bookmarkStart w:id="793" w:name="_Toc294048014"/>
      <w:bookmarkStart w:id="794" w:name="_Toc294048571"/>
      <w:bookmarkStart w:id="795" w:name="_Toc294092642"/>
      <w:bookmarkStart w:id="796" w:name="_Toc295819322"/>
      <w:bookmarkStart w:id="797" w:name="_Toc298795973"/>
      <w:bookmarkStart w:id="798" w:name="_Toc299369849"/>
      <w:bookmarkStart w:id="799" w:name="_Toc300391560"/>
      <w:bookmarkStart w:id="800" w:name="_Toc301939837"/>
      <w:bookmarkStart w:id="801" w:name="_Toc304801234"/>
      <w:bookmarkStart w:id="802" w:name="_Toc307350403"/>
      <w:bookmarkStart w:id="803" w:name="_Toc308429814"/>
      <w:bookmarkStart w:id="804" w:name="_Toc312399282"/>
      <w:bookmarkStart w:id="805" w:name="_Toc315289089"/>
      <w:bookmarkStart w:id="806" w:name="_Toc317591245"/>
      <w:bookmarkStart w:id="807" w:name="_Toc323034198"/>
      <w:bookmarkStart w:id="808" w:name="_Toc325313198"/>
      <w:bookmarkStart w:id="809" w:name="_Toc325609221"/>
      <w:r w:rsidRPr="000A1C8E">
        <w:rPr>
          <w:rFonts w:cs="Tahoma"/>
        </w:rPr>
        <w:t>SQL Server Standard – Por Processador e Servidor/CAL (licenças do servidor e processador somente) com Software Assurance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rsidR="004D4D43" w:rsidRPr="000A1C8E" w:rsidRDefault="004D4D43" w:rsidP="00346F4B">
      <w:pPr>
        <w:numPr>
          <w:ilvl w:val="0"/>
          <w:numId w:val="74"/>
        </w:numPr>
        <w:spacing w:after="60"/>
        <w:ind w:left="1440"/>
        <w:rPr>
          <w:rFonts w:cs="Tahoma"/>
        </w:rPr>
      </w:pPr>
      <w:bookmarkStart w:id="810" w:name="_Toc294048015"/>
      <w:bookmarkStart w:id="811" w:name="_Toc294048572"/>
      <w:bookmarkStart w:id="812" w:name="_Toc294092643"/>
      <w:bookmarkStart w:id="813" w:name="_Toc295819323"/>
      <w:bookmarkStart w:id="814" w:name="_Toc298795974"/>
      <w:bookmarkStart w:id="815" w:name="_Toc299369850"/>
      <w:bookmarkStart w:id="816" w:name="_Toc300391561"/>
      <w:bookmarkStart w:id="817" w:name="_Toc301939838"/>
      <w:bookmarkStart w:id="818" w:name="_Toc304801235"/>
      <w:bookmarkStart w:id="819" w:name="_Toc307350404"/>
      <w:bookmarkStart w:id="820" w:name="_Toc308429815"/>
      <w:bookmarkStart w:id="821" w:name="_Toc312399283"/>
      <w:bookmarkStart w:id="822" w:name="_Toc315289090"/>
      <w:bookmarkStart w:id="823" w:name="_Toc317591246"/>
      <w:bookmarkStart w:id="824" w:name="_Toc323034199"/>
      <w:bookmarkStart w:id="825" w:name="_Toc325313199"/>
      <w:bookmarkStart w:id="826" w:name="_Toc325609222"/>
      <w:r w:rsidRPr="000A1C8E">
        <w:rPr>
          <w:rFonts w:cs="Tahoma"/>
        </w:rPr>
        <w:t>System Center – todas as Licenças de Gerenciamento do Servidor (MLs), inclusive SMSE e SMSD com Software Assurance</w:t>
      </w:r>
      <w:bookmarkEnd w:id="810"/>
      <w:bookmarkEnd w:id="811"/>
      <w:bookmarkEnd w:id="812"/>
      <w:bookmarkEnd w:id="813"/>
      <w:bookmarkEnd w:id="814"/>
      <w:bookmarkEnd w:id="815"/>
      <w:bookmarkEnd w:id="816"/>
      <w:bookmarkEnd w:id="817"/>
      <w:bookmarkEnd w:id="818"/>
      <w:bookmarkEnd w:id="819"/>
      <w:bookmarkEnd w:id="820"/>
      <w:bookmarkEnd w:id="821"/>
      <w:bookmarkEnd w:id="822"/>
      <w:r w:rsidRPr="000A1C8E">
        <w:rPr>
          <w:rFonts w:cs="Tahoma"/>
        </w:rPr>
        <w:t xml:space="preserve"> e System Center 2012 Standard e Datacenter com Software Assurance</w:t>
      </w:r>
      <w:bookmarkEnd w:id="823"/>
      <w:bookmarkEnd w:id="824"/>
      <w:bookmarkEnd w:id="825"/>
      <w:bookmarkEnd w:id="826"/>
    </w:p>
    <w:p w:rsidR="00973A93" w:rsidRPr="000A1C8E" w:rsidRDefault="00973A93">
      <w:pPr>
        <w:rPr>
          <w:rFonts w:cs="Tahoma"/>
        </w:rPr>
      </w:pPr>
      <w:bookmarkStart w:id="827" w:name="_Toc294048016"/>
      <w:bookmarkStart w:id="828" w:name="_Toc294048573"/>
      <w:bookmarkStart w:id="829" w:name="_Toc294092644"/>
      <w:bookmarkStart w:id="830" w:name="_Toc295819324"/>
      <w:bookmarkStart w:id="831" w:name="_Toc298795975"/>
      <w:bookmarkStart w:id="832" w:name="_Toc299369851"/>
      <w:bookmarkStart w:id="833" w:name="_Toc300391562"/>
      <w:bookmarkStart w:id="834" w:name="_Toc301939839"/>
      <w:bookmarkStart w:id="835" w:name="_Toc304801236"/>
      <w:bookmarkStart w:id="836" w:name="_Toc307350405"/>
      <w:bookmarkStart w:id="837" w:name="_Toc308429816"/>
      <w:bookmarkStart w:id="838" w:name="_Toc312399284"/>
      <w:bookmarkStart w:id="839" w:name="_Toc315289091"/>
      <w:bookmarkStart w:id="840" w:name="_Toc317591247"/>
      <w:bookmarkStart w:id="841" w:name="_Toc323034200"/>
      <w:bookmarkStart w:id="842" w:name="_Toc325313200"/>
      <w:bookmarkStart w:id="843" w:name="_Toc325609223"/>
    </w:p>
    <w:p w:rsidR="004D4D43" w:rsidRPr="000A1C8E" w:rsidRDefault="004D4D43" w:rsidP="002171C3">
      <w:pPr>
        <w:rPr>
          <w:rFonts w:cs="Tahoma"/>
        </w:rPr>
      </w:pPr>
      <w:r w:rsidRPr="000A1C8E">
        <w:rPr>
          <w:rFonts w:cs="Tahoma"/>
        </w:rPr>
        <w:t>Para usar a Mobilidade de Licenças por meio do Software Assurance, os clientes devem:</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0A1C8E" w:rsidRDefault="004D4D43" w:rsidP="00F86E06">
      <w:pPr>
        <w:rPr>
          <w:rFonts w:cs="Tahoma"/>
        </w:rPr>
      </w:pPr>
    </w:p>
    <w:p w:rsidR="004D4D43" w:rsidRPr="000A1C8E" w:rsidRDefault="004D4D43" w:rsidP="00346F4B">
      <w:pPr>
        <w:numPr>
          <w:ilvl w:val="0"/>
          <w:numId w:val="63"/>
        </w:numPr>
        <w:spacing w:after="60"/>
        <w:ind w:left="1440"/>
        <w:rPr>
          <w:rFonts w:cs="Tahoma"/>
        </w:rPr>
      </w:pPr>
      <w:bookmarkStart w:id="844" w:name="_Toc294048017"/>
      <w:bookmarkStart w:id="845" w:name="_Toc294048574"/>
      <w:bookmarkStart w:id="846" w:name="_Toc294092645"/>
      <w:bookmarkStart w:id="847" w:name="_Toc295819325"/>
      <w:bookmarkStart w:id="848" w:name="_Toc298795976"/>
      <w:bookmarkStart w:id="849" w:name="_Toc299369852"/>
      <w:bookmarkStart w:id="850" w:name="_Toc300391563"/>
      <w:bookmarkStart w:id="851" w:name="_Toc301939840"/>
      <w:bookmarkStart w:id="852" w:name="_Toc304801237"/>
      <w:bookmarkStart w:id="853" w:name="_Toc307350406"/>
      <w:bookmarkStart w:id="854" w:name="_Toc308429817"/>
      <w:bookmarkStart w:id="855" w:name="_Toc312399285"/>
      <w:bookmarkStart w:id="856" w:name="_Toc315289092"/>
      <w:bookmarkStart w:id="857" w:name="_Toc317591248"/>
      <w:bookmarkStart w:id="858" w:name="_Toc323034201"/>
      <w:bookmarkStart w:id="859" w:name="_Toc325313201"/>
      <w:bookmarkStart w:id="860" w:name="_Toc325609224"/>
      <w:r w:rsidRPr="000A1C8E">
        <w:rPr>
          <w:rFonts w:cs="Tahoma"/>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0A1C8E" w:rsidRDefault="004D4D43" w:rsidP="00346F4B">
      <w:pPr>
        <w:numPr>
          <w:ilvl w:val="0"/>
          <w:numId w:val="63"/>
        </w:numPr>
        <w:spacing w:after="60"/>
        <w:ind w:left="1440"/>
        <w:rPr>
          <w:rFonts w:cs="Tahoma"/>
        </w:rPr>
      </w:pPr>
      <w:bookmarkStart w:id="861" w:name="_Toc294048018"/>
      <w:bookmarkStart w:id="862" w:name="_Toc294048575"/>
      <w:bookmarkStart w:id="863" w:name="_Toc294092646"/>
      <w:bookmarkStart w:id="864" w:name="_Toc295819326"/>
      <w:bookmarkStart w:id="865" w:name="_Toc298795977"/>
      <w:bookmarkStart w:id="866" w:name="_Toc299369853"/>
      <w:bookmarkStart w:id="867" w:name="_Toc300391564"/>
      <w:bookmarkStart w:id="868" w:name="_Toc301939841"/>
      <w:bookmarkStart w:id="869" w:name="_Toc304801238"/>
      <w:bookmarkStart w:id="870" w:name="_Toc307350407"/>
      <w:bookmarkStart w:id="871" w:name="_Toc308429818"/>
      <w:bookmarkStart w:id="872" w:name="_Toc312399286"/>
      <w:bookmarkStart w:id="873" w:name="_Toc315289093"/>
      <w:bookmarkStart w:id="874" w:name="_Toc317591249"/>
      <w:bookmarkStart w:id="875" w:name="_Toc323034202"/>
      <w:bookmarkStart w:id="876" w:name="_Toc325313202"/>
      <w:bookmarkStart w:id="877" w:name="_Toc325609225"/>
      <w:r w:rsidRPr="000A1C8E">
        <w:rPr>
          <w:rFonts w:cs="Tahoma"/>
        </w:rPr>
        <w:t>Qualquer atualização de Licença adquirida por meio do Software Assurance substitui a Licença subjacente. Uma lista de Mobilidade de Licenças qualificada por meio de Parceiros do Software Assurance está disponível no site http://www.microsoft.com/licensing/software-assurance/license-mobility e</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0A1C8E" w:rsidRDefault="004D4D43" w:rsidP="00346F4B">
      <w:pPr>
        <w:numPr>
          <w:ilvl w:val="0"/>
          <w:numId w:val="63"/>
        </w:numPr>
        <w:spacing w:after="60"/>
        <w:ind w:left="1440"/>
        <w:rPr>
          <w:rFonts w:cs="Tahoma"/>
        </w:rPr>
      </w:pPr>
      <w:bookmarkStart w:id="878" w:name="_Toc294048019"/>
      <w:bookmarkStart w:id="879" w:name="_Toc294048576"/>
      <w:bookmarkStart w:id="880" w:name="_Toc294092647"/>
      <w:bookmarkStart w:id="881" w:name="_Toc295819327"/>
      <w:bookmarkStart w:id="882" w:name="_Toc298795978"/>
      <w:bookmarkStart w:id="883" w:name="_Toc299369854"/>
      <w:bookmarkStart w:id="884" w:name="_Toc300391565"/>
      <w:bookmarkStart w:id="885" w:name="_Toc301939842"/>
      <w:bookmarkStart w:id="886" w:name="_Toc304801239"/>
      <w:bookmarkStart w:id="887" w:name="_Toc307350408"/>
      <w:bookmarkStart w:id="888" w:name="_Toc308429819"/>
      <w:bookmarkStart w:id="889" w:name="_Toc312399287"/>
      <w:bookmarkStart w:id="890" w:name="_Toc315289094"/>
      <w:bookmarkStart w:id="891" w:name="_Toc317591250"/>
      <w:bookmarkStart w:id="892" w:name="_Toc323034203"/>
      <w:bookmarkStart w:id="893" w:name="_Toc325313203"/>
      <w:bookmarkStart w:id="894" w:name="_Toc325609226"/>
      <w:r w:rsidRPr="000A1C8E">
        <w:rPr>
          <w:rFonts w:cs="Tahoma"/>
        </w:rPr>
        <w:t>Completar e enviar o formulário de Validação de Mobilidade de Licenças com cada Parceiro de Mobilidade de Licenças por meio do Software Assurance que executará o software licenciado dos clientes nos servidores compartilhados dos parceiros.</w:t>
      </w:r>
      <w:r w:rsidR="00DC6D8B" w:rsidRPr="000A1C8E">
        <w:rPr>
          <w:rFonts w:cs="Tahoma"/>
        </w:rPr>
        <w:t xml:space="preserve"> </w:t>
      </w:r>
      <w:r w:rsidRPr="000A1C8E">
        <w:rPr>
          <w:rFonts w:cs="Tahoma"/>
        </w:rPr>
        <w:t>O formulário de Validação de Mobilidade de Licenças estará disponível para os clientes pelo Parceiro Qualificado da Mobilidade de Licenças por meio de Software Assurance.</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rsidR="004D4D43" w:rsidRPr="000A1C8E" w:rsidRDefault="004D4D43" w:rsidP="002171C3">
      <w:pPr>
        <w:rPr>
          <w:rFonts w:cs="Tahoma"/>
        </w:rPr>
      </w:pPr>
    </w:p>
    <w:p w:rsidR="004D4D43" w:rsidRPr="000A1C8E" w:rsidRDefault="004D4D43" w:rsidP="002171C3">
      <w:pPr>
        <w:rPr>
          <w:rFonts w:cs="Tahoma"/>
        </w:rPr>
      </w:pPr>
      <w:bookmarkStart w:id="895" w:name="_Toc294048020"/>
      <w:bookmarkStart w:id="896" w:name="_Toc294048577"/>
      <w:bookmarkStart w:id="897" w:name="_Toc294092648"/>
      <w:bookmarkStart w:id="898" w:name="_Toc295819328"/>
      <w:bookmarkStart w:id="899" w:name="_Toc298795979"/>
      <w:bookmarkStart w:id="900" w:name="_Toc299369855"/>
      <w:bookmarkStart w:id="901" w:name="_Toc300391566"/>
      <w:bookmarkStart w:id="902" w:name="_Toc301939843"/>
      <w:bookmarkStart w:id="903" w:name="_Toc304801240"/>
      <w:bookmarkStart w:id="904" w:name="_Toc307350409"/>
      <w:bookmarkStart w:id="905" w:name="_Toc308429820"/>
      <w:bookmarkStart w:id="906" w:name="_Toc312399288"/>
      <w:bookmarkStart w:id="907" w:name="_Toc317591251"/>
      <w:bookmarkStart w:id="908" w:name="_Toc323034204"/>
      <w:bookmarkStart w:id="909" w:name="_Toc325313204"/>
      <w:bookmarkStart w:id="910" w:name="_Toc325609227"/>
      <w:r w:rsidRPr="000A1C8E">
        <w:rPr>
          <w:rFonts w:cs="Tahoma"/>
        </w:rPr>
        <w:t>Os direitos dos clientes de executar o software licenciado e gerenciar OSEs em servidores compartilhados por terceiros expiram com a cobertura do Software Assurance naquelas licenças ou em seu acesso correspondente ou licenças de gerenciamento.</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rsidR="004D4D43" w:rsidRPr="000A1C8E" w:rsidRDefault="004D4D43" w:rsidP="0007218F">
      <w:pPr>
        <w:rPr>
          <w:rFonts w:cs="Tahoma"/>
        </w:rPr>
      </w:pPr>
    </w:p>
    <w:p w:rsidR="00023FE7" w:rsidRPr="000A1C8E" w:rsidRDefault="00023FE7" w:rsidP="00D824E9">
      <w:pPr>
        <w:pStyle w:val="Heading3"/>
        <w:keepNext/>
        <w:tabs>
          <w:tab w:val="num" w:pos="0"/>
        </w:tabs>
        <w:rPr>
          <w:rFonts w:ascii="Tahoma" w:hAnsi="Tahoma" w:cs="Tahoma"/>
        </w:rPr>
      </w:pPr>
      <w:bookmarkStart w:id="911" w:name="_Toc336338243"/>
      <w:bookmarkStart w:id="912" w:name="_Toc361829327"/>
      <w:r w:rsidRPr="000A1C8E">
        <w:rPr>
          <w:rFonts w:ascii="Tahoma" w:hAnsi="Tahoma" w:cs="Tahoma"/>
          <w:sz w:val="24"/>
        </w:rPr>
        <w:t>Windows Thin PC</w:t>
      </w:r>
      <w:bookmarkEnd w:id="911"/>
      <w:bookmarkEnd w:id="912"/>
    </w:p>
    <w:p w:rsidR="00023FE7" w:rsidRPr="000A1C8E" w:rsidRDefault="00023FE7" w:rsidP="0007218F">
      <w:pPr>
        <w:pStyle w:val="Heading3"/>
        <w:rPr>
          <w:rFonts w:ascii="Tahoma" w:hAnsi="Tahoma" w:cs="Tahoma"/>
        </w:rPr>
      </w:pPr>
    </w:p>
    <w:p w:rsidR="0008414D" w:rsidRPr="000A1C8E" w:rsidRDefault="0008414D" w:rsidP="00ED7B01">
      <w:pPr>
        <w:rPr>
          <w:rFonts w:cs="Tahoma"/>
        </w:rPr>
      </w:pPr>
      <w:r w:rsidRPr="000A1C8E">
        <w:rPr>
          <w:rFonts w:eastAsia="Calibri" w:cs="Tahoma"/>
          <w:szCs w:val="20"/>
        </w:rPr>
        <w:t xml:space="preserve">Os clientes de Licenciamento por Volume com cobertura do Software Assurance ativa para o sistema operacional Windows Desktop ou licenças ativas para VDA ou Windows Intune </w:t>
      </w:r>
      <w:r w:rsidRPr="000A1C8E">
        <w:rPr>
          <w:rFonts w:cs="Tahoma"/>
          <w:szCs w:val="18"/>
        </w:rPr>
        <w:t xml:space="preserve">(Por Dispositivo) </w:t>
      </w:r>
      <w:r w:rsidRPr="000A1C8E">
        <w:rPr>
          <w:rFonts w:eastAsia="Calibri" w:cs="Tahoma"/>
          <w:szCs w:val="20"/>
        </w:rPr>
        <w:t>estão qualificados para o</w:t>
      </w:r>
      <w:r w:rsidR="00ED7B01" w:rsidRPr="000A1C8E">
        <w:rPr>
          <w:rFonts w:eastAsia="Calibri" w:cs="Tahoma"/>
          <w:szCs w:val="20"/>
        </w:rPr>
        <w:t> </w:t>
      </w:r>
      <w:r w:rsidRPr="000A1C8E">
        <w:rPr>
          <w:rFonts w:eastAsia="Calibri" w:cs="Tahoma"/>
          <w:szCs w:val="20"/>
        </w:rPr>
        <w:t>benefício.</w:t>
      </w:r>
      <w:r w:rsidR="00DC6D8B" w:rsidRPr="000A1C8E">
        <w:rPr>
          <w:rFonts w:eastAsia="Calibri" w:cs="Tahoma"/>
          <w:szCs w:val="20"/>
        </w:rPr>
        <w:t xml:space="preserve"> </w:t>
      </w:r>
      <w:r w:rsidRPr="000A1C8E">
        <w:rPr>
          <w:rFonts w:eastAsia="Calibri" w:cs="Tahoma"/>
          <w:szCs w:val="20"/>
        </w:rPr>
        <w:t xml:space="preserve">Os clientes que acessam esse benefício </w:t>
      </w:r>
      <w:r w:rsidRPr="000A1C8E">
        <w:rPr>
          <w:rFonts w:eastAsia="Calibri" w:cs="Tahoma"/>
          <w:color w:val="000000"/>
          <w:szCs w:val="20"/>
        </w:rPr>
        <w:t xml:space="preserve">de acordo com o </w:t>
      </w:r>
      <w:r w:rsidRPr="000A1C8E">
        <w:rPr>
          <w:rFonts w:eastAsia="Calibri" w:cs="Tahoma"/>
          <w:szCs w:val="20"/>
        </w:rPr>
        <w:t>VDA devem ter um sistema operacional qualificado</w:t>
      </w:r>
      <w:r w:rsidRPr="000A1C8E">
        <w:rPr>
          <w:rFonts w:eastAsia="Calibri" w:cs="Tahoma"/>
          <w:color w:val="1F497D"/>
          <w:szCs w:val="20"/>
        </w:rPr>
        <w:t xml:space="preserve"> </w:t>
      </w:r>
      <w:r w:rsidRPr="000A1C8E">
        <w:rPr>
          <w:rFonts w:eastAsia="Calibri" w:cs="Tahoma"/>
          <w:color w:val="000000"/>
          <w:szCs w:val="20"/>
        </w:rPr>
        <w:t>instalado em seu dispositivo licenciado d</w:t>
      </w:r>
      <w:r w:rsidRPr="000A1C8E">
        <w:rPr>
          <w:rFonts w:eastAsia="Calibri" w:cs="Tahoma"/>
          <w:szCs w:val="20"/>
        </w:rPr>
        <w:t>e acordo com a tabela de Sistemas Operacionais Qualificados nas</w:t>
      </w:r>
      <w:r w:rsidR="00ED7B01" w:rsidRPr="000A1C8E">
        <w:rPr>
          <w:rFonts w:eastAsia="Calibri" w:cs="Tahoma"/>
          <w:szCs w:val="20"/>
        </w:rPr>
        <w:t> </w:t>
      </w:r>
      <w:r w:rsidRPr="000A1C8E">
        <w:rPr>
          <w:rFonts w:eastAsia="Calibri" w:cs="Tahoma"/>
          <w:color w:val="000000"/>
          <w:szCs w:val="20"/>
        </w:rPr>
        <w:t xml:space="preserve">Notas do Produto, </w:t>
      </w:r>
      <w:r w:rsidRPr="000A1C8E">
        <w:rPr>
          <w:rFonts w:eastAsia="Calibri" w:cs="Tahoma"/>
          <w:szCs w:val="20"/>
        </w:rPr>
        <w:t>seção Pool de Sistemas deste documento.</w:t>
      </w:r>
      <w:r w:rsidR="00DC6D8B" w:rsidRPr="000A1C8E">
        <w:rPr>
          <w:rFonts w:eastAsia="Calibri" w:cs="Tahoma"/>
          <w:szCs w:val="20"/>
        </w:rPr>
        <w:t xml:space="preserve"> </w:t>
      </w:r>
    </w:p>
    <w:p w:rsidR="0008414D" w:rsidRPr="000A1C8E" w:rsidRDefault="0008414D" w:rsidP="0007218F">
      <w:pPr>
        <w:rPr>
          <w:rFonts w:cs="Tahoma"/>
        </w:rPr>
      </w:pPr>
    </w:p>
    <w:p w:rsidR="0008414D" w:rsidRPr="000A1C8E" w:rsidRDefault="0008414D" w:rsidP="00E20B31">
      <w:pPr>
        <w:rPr>
          <w:rFonts w:cs="Tahoma"/>
        </w:rPr>
      </w:pPr>
      <w:r w:rsidRPr="000A1C8E">
        <w:rPr>
          <w:rFonts w:eastAsia="Calibri" w:cs="Tahoma"/>
          <w:szCs w:val="20"/>
        </w:rPr>
        <w:t>O Windows Thin PC é uma solução de sistema operacional com base no Windows de superfície menor desenvolvido para os clientes que gostariam de adaptar seus PCs com Windows 8 existentes</w:t>
      </w:r>
      <w:r w:rsidRPr="000A1C8E">
        <w:rPr>
          <w:rFonts w:eastAsia="Calibri" w:cs="Tahoma"/>
          <w:color w:val="1F497D"/>
          <w:szCs w:val="20"/>
        </w:rPr>
        <w:t xml:space="preserve"> </w:t>
      </w:r>
      <w:r w:rsidRPr="000A1C8E">
        <w:rPr>
          <w:rFonts w:eastAsia="Calibri" w:cs="Tahoma"/>
          <w:szCs w:val="20"/>
        </w:rPr>
        <w:t>para se conectar a um desktop centralizado sem ter que comprar novo hardware thin client.</w:t>
      </w:r>
      <w:r w:rsidR="00DC6D8B" w:rsidRPr="000A1C8E">
        <w:rPr>
          <w:rFonts w:eastAsia="Calibri" w:cs="Tahoma"/>
          <w:szCs w:val="20"/>
        </w:rPr>
        <w:t xml:space="preserve"> </w:t>
      </w:r>
      <w:r w:rsidRPr="000A1C8E">
        <w:rPr>
          <w:rFonts w:eastAsia="Calibri" w:cs="Tahoma"/>
          <w:szCs w:val="20"/>
        </w:rPr>
        <w:t>Os clientes qualificados podem usar o Windows Thin PC</w:t>
      </w:r>
      <w:r w:rsidR="00E20B31" w:rsidRPr="000A1C8E">
        <w:rPr>
          <w:rFonts w:eastAsia="Calibri" w:cs="Tahoma"/>
          <w:szCs w:val="20"/>
        </w:rPr>
        <w:t> </w:t>
      </w:r>
      <w:r w:rsidRPr="000A1C8E">
        <w:rPr>
          <w:rFonts w:eastAsia="Calibri" w:cs="Tahoma"/>
          <w:szCs w:val="20"/>
        </w:rPr>
        <w:t xml:space="preserve">no lugar de instâncias do sistema operacional Windows Desktop que têm permissão para serem usados sob a cobertura do Windows Software Assurance, Windows Intune </w:t>
      </w:r>
      <w:r w:rsidRPr="000A1C8E">
        <w:rPr>
          <w:rFonts w:cs="Tahoma"/>
          <w:szCs w:val="18"/>
        </w:rPr>
        <w:t>(Por Dispositivo)</w:t>
      </w:r>
      <w:r w:rsidRPr="000A1C8E">
        <w:rPr>
          <w:rFonts w:eastAsia="Calibri" w:cs="Tahoma"/>
          <w:color w:val="000000"/>
          <w:szCs w:val="20"/>
        </w:rPr>
        <w:t xml:space="preserve"> ou licenças do Windows </w:t>
      </w:r>
      <w:r w:rsidRPr="000A1C8E">
        <w:rPr>
          <w:rFonts w:eastAsia="Calibri" w:cs="Tahoma"/>
          <w:szCs w:val="20"/>
        </w:rPr>
        <w:t>VDA.</w:t>
      </w:r>
      <w:r w:rsidR="00DC6D8B" w:rsidRPr="000A1C8E">
        <w:rPr>
          <w:rFonts w:eastAsia="Calibri" w:cs="Tahoma"/>
          <w:szCs w:val="20"/>
        </w:rPr>
        <w:t xml:space="preserve"> </w:t>
      </w:r>
      <w:r w:rsidRPr="000A1C8E">
        <w:rPr>
          <w:rFonts w:eastAsia="Calibri" w:cs="Tahoma"/>
          <w:szCs w:val="20"/>
        </w:rPr>
        <w:t>O uso do Windows Thin PC pelos clientes está sujeito aos termos e condições de seus contratos de licença.</w:t>
      </w:r>
    </w:p>
    <w:p w:rsidR="00023FE7" w:rsidRPr="000A1C8E" w:rsidRDefault="00023FE7" w:rsidP="0007218F">
      <w:pPr>
        <w:rPr>
          <w:rFonts w:cs="Tahoma"/>
        </w:rPr>
      </w:pPr>
    </w:p>
    <w:p w:rsidR="00ED7B01" w:rsidRPr="000A1C8E" w:rsidRDefault="00ED7B01" w:rsidP="0007218F">
      <w:pPr>
        <w:rPr>
          <w:rFonts w:cs="Tahoma"/>
        </w:rPr>
      </w:pPr>
    </w:p>
    <w:p w:rsidR="00ED7B01" w:rsidRPr="000A1C8E" w:rsidRDefault="00ED7B01" w:rsidP="0007218F">
      <w:pPr>
        <w:rPr>
          <w:rFonts w:cs="Tahoma"/>
        </w:rPr>
      </w:pPr>
    </w:p>
    <w:p w:rsidR="00ED7B01" w:rsidRPr="000A1C8E" w:rsidRDefault="00ED7B01" w:rsidP="0007218F">
      <w:pPr>
        <w:rPr>
          <w:rFonts w:cs="Tahoma"/>
        </w:rPr>
      </w:pPr>
    </w:p>
    <w:p w:rsidR="00ED7B01" w:rsidRPr="000A1C8E" w:rsidRDefault="00ED7B01" w:rsidP="0007218F">
      <w:pPr>
        <w:rPr>
          <w:rFonts w:cs="Tahoma"/>
        </w:rPr>
      </w:pPr>
    </w:p>
    <w:p w:rsidR="00ED7B01" w:rsidRPr="000A1C8E" w:rsidRDefault="00ED7B01" w:rsidP="0007218F">
      <w:pPr>
        <w:rPr>
          <w:rFonts w:cs="Tahoma"/>
        </w:rPr>
      </w:pPr>
    </w:p>
    <w:p w:rsidR="00ED7B01" w:rsidRPr="000A1C8E" w:rsidRDefault="00ED7B01" w:rsidP="0007218F">
      <w:pPr>
        <w:rPr>
          <w:rFonts w:cs="Tahoma"/>
        </w:rPr>
      </w:pPr>
    </w:p>
    <w:p w:rsidR="00F30075" w:rsidRPr="000A1C8E" w:rsidRDefault="00F30075" w:rsidP="0007218F">
      <w:pPr>
        <w:outlineLvl w:val="2"/>
        <w:rPr>
          <w:rFonts w:cs="Tahoma"/>
        </w:rPr>
      </w:pPr>
      <w:bookmarkStart w:id="913" w:name="_Toc291204568"/>
      <w:r w:rsidRPr="000A1C8E">
        <w:rPr>
          <w:rFonts w:cs="Tahoma"/>
          <w:b/>
          <w:sz w:val="24"/>
          <w:szCs w:val="20"/>
        </w:rPr>
        <w:lastRenderedPageBreak/>
        <w:t>Suporte Estendido a Hotfix</w:t>
      </w:r>
      <w:bookmarkEnd w:id="913"/>
    </w:p>
    <w:p w:rsidR="00F30075" w:rsidRPr="000A1C8E" w:rsidRDefault="00F30075" w:rsidP="0007218F">
      <w:pPr>
        <w:outlineLvl w:val="2"/>
        <w:rPr>
          <w:rFonts w:cs="Tahoma"/>
        </w:rPr>
      </w:pPr>
    </w:p>
    <w:p w:rsidR="00F30075" w:rsidRPr="000A1C8E" w:rsidRDefault="00F30075" w:rsidP="00F30075">
      <w:pPr>
        <w:rPr>
          <w:rFonts w:cs="Tahoma"/>
        </w:rPr>
      </w:pPr>
      <w:r w:rsidRPr="000A1C8E">
        <w:rPr>
          <w:rFonts w:cs="Tahoma"/>
        </w:rPr>
        <w:t>O Suporte Estendido a Hotfix está disponível para os clientes a seguir:</w:t>
      </w:r>
    </w:p>
    <w:p w:rsidR="0007218F" w:rsidRPr="000A1C8E" w:rsidRDefault="0007218F" w:rsidP="00F30075">
      <w:pPr>
        <w:rPr>
          <w:rFonts w:cs="Tahoma"/>
        </w:rPr>
      </w:pPr>
    </w:p>
    <w:p w:rsidR="00F30075" w:rsidRPr="000A1C8E" w:rsidRDefault="00F30075" w:rsidP="00346F4B">
      <w:pPr>
        <w:numPr>
          <w:ilvl w:val="0"/>
          <w:numId w:val="48"/>
        </w:numPr>
        <w:spacing w:after="60"/>
        <w:ind w:left="1440"/>
        <w:contextualSpacing/>
        <w:jc w:val="both"/>
        <w:rPr>
          <w:rFonts w:cs="Tahoma"/>
        </w:rPr>
      </w:pPr>
      <w:r w:rsidRPr="000A1C8E">
        <w:rPr>
          <w:rFonts w:eastAsia="Calibri" w:cs="Tahoma"/>
          <w:szCs w:val="18"/>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F30075" w:rsidRPr="000A1C8E" w:rsidRDefault="00F30075" w:rsidP="00346F4B">
      <w:pPr>
        <w:numPr>
          <w:ilvl w:val="0"/>
          <w:numId w:val="48"/>
        </w:numPr>
        <w:spacing w:after="60"/>
        <w:ind w:left="1440"/>
        <w:jc w:val="both"/>
        <w:rPr>
          <w:rFonts w:cs="Tahoma"/>
        </w:rPr>
      </w:pPr>
      <w:r w:rsidRPr="000A1C8E">
        <w:rPr>
          <w:rFonts w:cs="Tahoma"/>
          <w:szCs w:val="18"/>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 Hotfix para sistema operacional de desktop Windows</w:t>
      </w:r>
    </w:p>
    <w:p w:rsidR="00F30075" w:rsidRPr="000A1C8E" w:rsidRDefault="00F30075" w:rsidP="0033459E">
      <w:pPr>
        <w:numPr>
          <w:ilvl w:val="0"/>
          <w:numId w:val="48"/>
        </w:numPr>
        <w:spacing w:after="60"/>
        <w:ind w:left="1440"/>
        <w:jc w:val="both"/>
        <w:rPr>
          <w:rFonts w:cs="Tahoma"/>
        </w:rPr>
      </w:pPr>
      <w:r w:rsidRPr="000A1C8E">
        <w:rPr>
          <w:rFonts w:cs="Tahoma"/>
          <w:szCs w:val="18"/>
        </w:rPr>
        <w:t>Os clientes com assinaturas ativas do Windows Intune (Por Dispositivo) estão qualificados para o</w:t>
      </w:r>
      <w:r w:rsidR="0033459E" w:rsidRPr="000A1C8E">
        <w:rPr>
          <w:rFonts w:cs="Tahoma"/>
          <w:szCs w:val="18"/>
        </w:rPr>
        <w:t> </w:t>
      </w:r>
      <w:r w:rsidRPr="000A1C8E">
        <w:rPr>
          <w:rFonts w:cs="Tahoma"/>
          <w:szCs w:val="18"/>
        </w:rPr>
        <w:t>Suporte Estendido a Hotfix do sistema operacional de desktop Windows</w:t>
      </w:r>
    </w:p>
    <w:p w:rsidR="0007218F" w:rsidRPr="000A1C8E" w:rsidRDefault="007627B7" w:rsidP="0033459E">
      <w:pPr>
        <w:numPr>
          <w:ilvl w:val="0"/>
          <w:numId w:val="48"/>
        </w:numPr>
        <w:spacing w:after="60"/>
        <w:ind w:left="1440"/>
        <w:contextualSpacing/>
        <w:rPr>
          <w:rFonts w:cs="Tahoma"/>
        </w:rPr>
      </w:pPr>
      <w:r w:rsidRPr="000A1C8E">
        <w:rPr>
          <w:rFonts w:eastAsia="Calibri" w:cs="Tahoma"/>
          <w:szCs w:val="18"/>
        </w:rPr>
        <w:t>Os clientes (que não forem do Academic) com Software Assurance em pelo menos um produto de</w:t>
      </w:r>
      <w:r w:rsidR="0033459E" w:rsidRPr="000A1C8E">
        <w:rPr>
          <w:rFonts w:eastAsia="Calibri" w:cs="Tahoma"/>
          <w:szCs w:val="18"/>
        </w:rPr>
        <w:t> </w:t>
      </w:r>
      <w:r w:rsidRPr="000A1C8E">
        <w:rPr>
          <w:rFonts w:eastAsia="Calibri" w:cs="Tahoma"/>
          <w:szCs w:val="18"/>
        </w:rPr>
        <w:t>servidor estão qualificados para o Suporte Estendido a Hotfix para produtos de Servidor.</w:t>
      </w:r>
      <w:r w:rsidR="00DC6D8B" w:rsidRPr="000A1C8E">
        <w:rPr>
          <w:rFonts w:eastAsia="Calibri" w:cs="Tahoma"/>
          <w:szCs w:val="18"/>
        </w:rPr>
        <w:t xml:space="preserve"> </w:t>
      </w:r>
      <w:r w:rsidRPr="000A1C8E">
        <w:rPr>
          <w:rFonts w:cs="Tahoma"/>
          <w:szCs w:val="18"/>
        </w:rPr>
        <w:t>Os produtos de servidor a seguir têm cobertura:</w:t>
      </w:r>
    </w:p>
    <w:p w:rsidR="007627B7" w:rsidRPr="000A1C8E" w:rsidRDefault="007627B7" w:rsidP="00346F4B">
      <w:pPr>
        <w:numPr>
          <w:ilvl w:val="2"/>
          <w:numId w:val="48"/>
        </w:numPr>
        <w:spacing w:after="60"/>
        <w:ind w:left="1980"/>
        <w:contextualSpacing/>
        <w:rPr>
          <w:rFonts w:cs="Tahoma"/>
        </w:rPr>
      </w:pPr>
      <w:r w:rsidRPr="000A1C8E">
        <w:rPr>
          <w:rFonts w:cs="Tahoma"/>
          <w:iCs/>
          <w:color w:val="000000"/>
          <w:szCs w:val="18"/>
        </w:rPr>
        <w:t>Microsoft Exchange Server, Microsoft SQL Server, System Center 2012 e Windows Server.</w:t>
      </w:r>
    </w:p>
    <w:p w:rsidR="0007218F" w:rsidRPr="000A1C8E" w:rsidRDefault="0007218F" w:rsidP="0007218F">
      <w:pPr>
        <w:spacing w:after="200" w:line="276" w:lineRule="auto"/>
        <w:contextualSpacing/>
        <w:rPr>
          <w:rFonts w:cs="Tahoma"/>
          <w:sz w:val="14"/>
          <w:szCs w:val="14"/>
        </w:rPr>
      </w:pPr>
    </w:p>
    <w:p w:rsidR="00023FE7" w:rsidRPr="000A1C8E" w:rsidRDefault="00023FE7">
      <w:pPr>
        <w:rPr>
          <w:rFonts w:cs="Tahoma"/>
        </w:rPr>
      </w:pPr>
      <w:r w:rsidRPr="000A1C8E">
        <w:rPr>
          <w:rFonts w:cs="Tahoma"/>
          <w:szCs w:val="18"/>
        </w:rPr>
        <w:t>O Suporte Estendido a Hotfix é um benefício para versões de software mais antigas que fizeram a transição de Suporte Base para Suporte Estendido.</w:t>
      </w:r>
      <w:r w:rsidR="00DC6D8B" w:rsidRPr="000A1C8E">
        <w:rPr>
          <w:rFonts w:cs="Tahoma"/>
          <w:szCs w:val="18"/>
        </w:rPr>
        <w:t xml:space="preserve"> </w:t>
      </w:r>
      <w:r w:rsidRPr="000A1C8E">
        <w:rPr>
          <w:rFonts w:cs="Tahoma"/>
          <w:szCs w:val="18"/>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 período de 90 dias da transição de um produto para o Suporte Estendido.</w:t>
      </w:r>
      <w:r w:rsidR="00DC6D8B" w:rsidRPr="000A1C8E">
        <w:rPr>
          <w:rFonts w:cs="Tahoma"/>
          <w:szCs w:val="18"/>
        </w:rPr>
        <w:t xml:space="preserve"> </w:t>
      </w:r>
    </w:p>
    <w:p w:rsidR="00023FE7" w:rsidRPr="000A1C8E" w:rsidRDefault="00023FE7">
      <w:pPr>
        <w:rPr>
          <w:rFonts w:cs="Tahoma"/>
          <w:sz w:val="14"/>
          <w:szCs w:val="14"/>
        </w:rPr>
      </w:pPr>
    </w:p>
    <w:p w:rsidR="00023FE7" w:rsidRPr="000A1C8E" w:rsidRDefault="00023FE7" w:rsidP="00ED7B01">
      <w:pPr>
        <w:rPr>
          <w:rFonts w:cs="Tahoma"/>
        </w:rPr>
      </w:pPr>
      <w:r w:rsidRPr="000A1C8E">
        <w:rPr>
          <w:rStyle w:val="PageNumber"/>
          <w:rFonts w:cs="Tahoma"/>
          <w:szCs w:val="18"/>
        </w:rPr>
        <w:t>O</w:t>
      </w:r>
      <w:r w:rsidRPr="000A1C8E">
        <w:rPr>
          <w:rFonts w:cs="Tahoma"/>
          <w:szCs w:val="18"/>
        </w:rPr>
        <w:t>s clientes são responsáveis pelos valores de Hotfixes individuais.</w:t>
      </w:r>
      <w:r w:rsidR="00DC6D8B" w:rsidRPr="000A1C8E">
        <w:rPr>
          <w:rFonts w:cs="Tahoma"/>
          <w:szCs w:val="18"/>
        </w:rPr>
        <w:t xml:space="preserve"> </w:t>
      </w:r>
      <w:r w:rsidRPr="000A1C8E">
        <w:rPr>
          <w:rFonts w:cs="Tahoma"/>
          <w:szCs w:val="18"/>
        </w:rPr>
        <w:t>Um contrato de Suporte Premier ou Essential é</w:t>
      </w:r>
      <w:r w:rsidR="00ED7B01" w:rsidRPr="000A1C8E">
        <w:rPr>
          <w:rFonts w:cs="Tahoma"/>
          <w:szCs w:val="18"/>
        </w:rPr>
        <w:t> </w:t>
      </w:r>
      <w:r w:rsidRPr="000A1C8E">
        <w:rPr>
          <w:rFonts w:cs="Tahoma"/>
          <w:szCs w:val="18"/>
        </w:rPr>
        <w:t>uma pré-requisito para a qualificação.</w:t>
      </w:r>
    </w:p>
    <w:p w:rsidR="000429EF" w:rsidRPr="000A1C8E" w:rsidRDefault="000429EF">
      <w:pPr>
        <w:pStyle w:val="Heading3"/>
        <w:rPr>
          <w:rFonts w:ascii="Tahoma" w:hAnsi="Tahoma" w:cs="Tahoma"/>
          <w:sz w:val="16"/>
          <w:szCs w:val="16"/>
        </w:rPr>
      </w:pPr>
    </w:p>
    <w:p w:rsidR="00023FE7" w:rsidRPr="000A1C8E" w:rsidRDefault="00023FE7">
      <w:pPr>
        <w:pStyle w:val="Heading3"/>
        <w:rPr>
          <w:rFonts w:ascii="Tahoma" w:hAnsi="Tahoma" w:cs="Tahoma"/>
        </w:rPr>
      </w:pPr>
      <w:bookmarkStart w:id="914" w:name="_Toc336338244"/>
      <w:bookmarkStart w:id="915" w:name="_Toc361829328"/>
      <w:r w:rsidRPr="000A1C8E">
        <w:rPr>
          <w:rFonts w:ascii="Tahoma" w:hAnsi="Tahoma" w:cs="Tahoma"/>
          <w:sz w:val="24"/>
        </w:rPr>
        <w:t>Microsoft Desktop Optimization Pack para Software Assurance</w:t>
      </w:r>
      <w:bookmarkEnd w:id="914"/>
      <w:bookmarkEnd w:id="915"/>
    </w:p>
    <w:p w:rsidR="00023FE7" w:rsidRPr="000A1C8E" w:rsidRDefault="00023FE7">
      <w:pPr>
        <w:rPr>
          <w:rFonts w:cs="Tahoma"/>
        </w:rPr>
      </w:pPr>
    </w:p>
    <w:p w:rsidR="00F30075" w:rsidRPr="000A1C8E" w:rsidRDefault="00F30075" w:rsidP="00F30075">
      <w:pPr>
        <w:rPr>
          <w:rFonts w:cs="Tahoma"/>
        </w:rPr>
      </w:pPr>
      <w:r w:rsidRPr="000A1C8E">
        <w:rPr>
          <w:rFonts w:eastAsia="MS PGothic" w:cs="Tahoma"/>
          <w:szCs w:val="18"/>
        </w:rPr>
        <w:t>O Microsoft Desktop Optimization Pack for Software Assurance (MDOP) é uma compra opcional disponível apenas para os clientes que possuem o seguinte:</w:t>
      </w:r>
    </w:p>
    <w:p w:rsidR="00E762F8" w:rsidRPr="000A1C8E" w:rsidRDefault="00E762F8" w:rsidP="00F30075">
      <w:pPr>
        <w:rPr>
          <w:rFonts w:cs="Tahoma"/>
        </w:rPr>
      </w:pPr>
    </w:p>
    <w:p w:rsidR="00F30075" w:rsidRPr="000A1C8E" w:rsidRDefault="00F30075" w:rsidP="00346F4B">
      <w:pPr>
        <w:numPr>
          <w:ilvl w:val="0"/>
          <w:numId w:val="47"/>
        </w:numPr>
        <w:spacing w:after="60" w:line="276" w:lineRule="auto"/>
        <w:ind w:left="1440" w:hanging="274"/>
        <w:rPr>
          <w:rFonts w:cs="Tahoma"/>
        </w:rPr>
      </w:pPr>
      <w:r w:rsidRPr="000A1C8E">
        <w:rPr>
          <w:rFonts w:eastAsia="MS PGothic" w:cs="Tahoma"/>
          <w:szCs w:val="18"/>
        </w:rPr>
        <w:t>Software Assurance ativo para suas licenças do sistema operacional de desktop Windows</w:t>
      </w:r>
    </w:p>
    <w:p w:rsidR="00F30075" w:rsidRPr="000A1C8E" w:rsidRDefault="00F30075" w:rsidP="00346F4B">
      <w:pPr>
        <w:numPr>
          <w:ilvl w:val="0"/>
          <w:numId w:val="47"/>
        </w:numPr>
        <w:spacing w:after="60" w:line="276" w:lineRule="auto"/>
        <w:ind w:left="1440" w:hanging="274"/>
        <w:rPr>
          <w:rFonts w:cs="Tahoma"/>
        </w:rPr>
      </w:pPr>
      <w:r w:rsidRPr="000A1C8E">
        <w:rPr>
          <w:rFonts w:eastAsia="MS PGothic" w:cs="Tahoma"/>
          <w:szCs w:val="18"/>
        </w:rPr>
        <w:t>Assinaturas ativas do Windows Virtual Desktop Access ou</w:t>
      </w:r>
    </w:p>
    <w:p w:rsidR="00F30075" w:rsidRPr="000A1C8E" w:rsidRDefault="00F30075" w:rsidP="00346F4B">
      <w:pPr>
        <w:numPr>
          <w:ilvl w:val="0"/>
          <w:numId w:val="47"/>
        </w:numPr>
        <w:spacing w:after="60" w:line="276" w:lineRule="auto"/>
        <w:ind w:left="1440" w:hanging="274"/>
        <w:rPr>
          <w:rFonts w:cs="Tahoma"/>
        </w:rPr>
      </w:pPr>
      <w:r w:rsidRPr="000A1C8E">
        <w:rPr>
          <w:rFonts w:eastAsia="MS PGothic" w:cs="Tahoma"/>
          <w:szCs w:val="18"/>
        </w:rPr>
        <w:t xml:space="preserve">Assinaturas ativas do Windows Intune </w:t>
      </w:r>
      <w:r w:rsidRPr="000A1C8E">
        <w:rPr>
          <w:rFonts w:cs="Tahoma"/>
          <w:szCs w:val="18"/>
        </w:rPr>
        <w:t>(Por Dispositivo) ou</w:t>
      </w:r>
    </w:p>
    <w:p w:rsidR="00421D4A" w:rsidRPr="000A1C8E" w:rsidRDefault="00421D4A" w:rsidP="00346F4B">
      <w:pPr>
        <w:numPr>
          <w:ilvl w:val="0"/>
          <w:numId w:val="47"/>
        </w:numPr>
        <w:spacing w:after="200" w:line="276" w:lineRule="auto"/>
        <w:ind w:left="1440" w:hanging="270"/>
        <w:rPr>
          <w:rFonts w:cs="Tahoma"/>
        </w:rPr>
      </w:pPr>
      <w:r w:rsidRPr="000A1C8E">
        <w:rPr>
          <w:rFonts w:eastAsia="MS PGothic" w:cs="Tahoma"/>
          <w:color w:val="000000"/>
          <w:szCs w:val="18"/>
        </w:rPr>
        <w:t xml:space="preserve">Assinaturas ativas para </w:t>
      </w:r>
      <w:r w:rsidRPr="000A1C8E">
        <w:rPr>
          <w:rFonts w:eastAsia="MS PGothic" w:cs="Tahoma"/>
          <w:szCs w:val="18"/>
        </w:rPr>
        <w:t>Licença de Assinatura do Windows Companion</w:t>
      </w:r>
    </w:p>
    <w:p w:rsidR="00023FE7" w:rsidRPr="000A1C8E" w:rsidRDefault="008C0608">
      <w:pPr>
        <w:rPr>
          <w:rFonts w:cs="Tahoma"/>
          <w:sz w:val="14"/>
          <w:szCs w:val="14"/>
        </w:rPr>
      </w:pPr>
      <w:r w:rsidRPr="000A1C8E">
        <w:rPr>
          <w:rFonts w:eastAsia="MS PGothic" w:cs="Tahoma"/>
          <w:sz w:val="14"/>
          <w:szCs w:val="14"/>
        </w:rPr>
        <w:t xml:space="preserve"> </w:t>
      </w:r>
    </w:p>
    <w:p w:rsidR="00023FE7" w:rsidRPr="000A1C8E" w:rsidRDefault="00023FE7">
      <w:pPr>
        <w:rPr>
          <w:rFonts w:cs="Tahoma"/>
        </w:rPr>
      </w:pPr>
      <w:r w:rsidRPr="000A1C8E">
        <w:rPr>
          <w:rFonts w:eastAsia="MS PGothic" w:cs="Tahoma"/>
          <w:color w:val="000000"/>
          <w:szCs w:val="18"/>
        </w:rPr>
        <w:t>Para obter mais informações sobre esse produto, consulte as Notas do Produto na seção de pool de sistemas deste documento. O MDOP não está disponível para licenças do Sistema Operacional Windows Embedded.</w:t>
      </w:r>
    </w:p>
    <w:p w:rsidR="00023FE7" w:rsidRPr="000A1C8E" w:rsidRDefault="00023FE7">
      <w:pPr>
        <w:rPr>
          <w:rFonts w:cs="Tahoma"/>
        </w:rPr>
      </w:pPr>
    </w:p>
    <w:p w:rsidR="002D7B73" w:rsidRPr="000A1C8E" w:rsidRDefault="008C0608" w:rsidP="00AF1D88">
      <w:pPr>
        <w:keepNext/>
        <w:rPr>
          <w:rFonts w:cs="Tahoma"/>
        </w:rPr>
      </w:pPr>
      <w:r w:rsidRPr="000A1C8E">
        <w:rPr>
          <w:rFonts w:cs="Tahoma"/>
          <w:b/>
          <w:color w:val="000000"/>
          <w:sz w:val="24"/>
          <w:szCs w:val="18"/>
        </w:rPr>
        <w:t>Direitos de Virtualização para Desktops Windows Licenciados</w:t>
      </w:r>
    </w:p>
    <w:p w:rsidR="0043735F" w:rsidRPr="000A1C8E" w:rsidRDefault="0043735F" w:rsidP="008C0608">
      <w:pPr>
        <w:rPr>
          <w:rFonts w:cs="Tahoma"/>
          <w:sz w:val="16"/>
          <w:szCs w:val="16"/>
        </w:rPr>
      </w:pPr>
    </w:p>
    <w:p w:rsidR="008C0608" w:rsidRPr="000A1C8E" w:rsidRDefault="008C0608" w:rsidP="008C0608">
      <w:pPr>
        <w:rPr>
          <w:rFonts w:cs="Tahoma"/>
        </w:rPr>
      </w:pPr>
      <w:r w:rsidRPr="000A1C8E">
        <w:rPr>
          <w:rFonts w:cs="Tahoma"/>
          <w:color w:val="000000"/>
          <w:szCs w:val="18"/>
        </w:rPr>
        <w:t>Os clientes de Licenciamento por Volume possuem um pouco de flexibilidade na maneira como podem implantar o Windows 8 em suas organizações.</w:t>
      </w:r>
      <w:r w:rsidR="00DC6D8B" w:rsidRPr="000A1C8E">
        <w:rPr>
          <w:rFonts w:cs="Tahoma"/>
          <w:color w:val="000000"/>
          <w:szCs w:val="18"/>
        </w:rPr>
        <w:t xml:space="preserve"> </w:t>
      </w:r>
    </w:p>
    <w:p w:rsidR="008C0608" w:rsidRPr="000A1C8E" w:rsidRDefault="008C0608" w:rsidP="008C0608">
      <w:pPr>
        <w:jc w:val="both"/>
        <w:rPr>
          <w:rFonts w:cs="Tahoma"/>
        </w:rPr>
      </w:pPr>
      <w:r w:rsidRPr="000A1C8E">
        <w:rPr>
          <w:rFonts w:cs="Tahoma"/>
          <w:szCs w:val="18"/>
        </w:rPr>
        <w:t>Os clientes que tiverem um ou ambos dos seguintes produtos podem aproveitar os direitos de uso da virtualização:</w:t>
      </w:r>
    </w:p>
    <w:p w:rsidR="00BF1889" w:rsidRPr="000A1C8E" w:rsidRDefault="00BF1889" w:rsidP="008C0608">
      <w:pPr>
        <w:jc w:val="both"/>
        <w:rPr>
          <w:rFonts w:cs="Tahoma"/>
          <w:sz w:val="14"/>
          <w:szCs w:val="14"/>
        </w:rPr>
      </w:pPr>
    </w:p>
    <w:p w:rsidR="00F30075" w:rsidRPr="000A1C8E" w:rsidRDefault="00F30075" w:rsidP="00346F4B">
      <w:pPr>
        <w:numPr>
          <w:ilvl w:val="0"/>
          <w:numId w:val="39"/>
        </w:numPr>
        <w:spacing w:after="60" w:line="276" w:lineRule="auto"/>
        <w:ind w:left="1440"/>
        <w:rPr>
          <w:rFonts w:cs="Tahoma"/>
        </w:rPr>
      </w:pPr>
      <w:r w:rsidRPr="000A1C8E">
        <w:rPr>
          <w:rFonts w:eastAsia="MS PGothic" w:cs="Tahoma"/>
          <w:szCs w:val="18"/>
        </w:rPr>
        <w:t>Software Assurance ativo para suas licenças do sistema operacional de desktop Windows</w:t>
      </w:r>
    </w:p>
    <w:p w:rsidR="00AC246A" w:rsidRPr="000A1C8E" w:rsidRDefault="00F30075" w:rsidP="00346F4B">
      <w:pPr>
        <w:numPr>
          <w:ilvl w:val="0"/>
          <w:numId w:val="39"/>
        </w:numPr>
        <w:spacing w:after="60" w:line="276" w:lineRule="auto"/>
        <w:ind w:left="1440"/>
        <w:jc w:val="both"/>
        <w:rPr>
          <w:rFonts w:cs="Tahoma"/>
        </w:rPr>
      </w:pPr>
      <w:r w:rsidRPr="000A1C8E">
        <w:rPr>
          <w:rFonts w:cs="Tahoma"/>
          <w:szCs w:val="18"/>
        </w:rPr>
        <w:t>Benefício de Serviços Online fornecidos com compras do Windows Intune (Por Dispositivo)</w:t>
      </w:r>
    </w:p>
    <w:p w:rsidR="00F30075" w:rsidRPr="000A1C8E" w:rsidRDefault="00F30075" w:rsidP="00346F4B">
      <w:pPr>
        <w:numPr>
          <w:ilvl w:val="0"/>
          <w:numId w:val="39"/>
        </w:numPr>
        <w:spacing w:after="60" w:line="276" w:lineRule="auto"/>
        <w:ind w:left="1440"/>
        <w:jc w:val="both"/>
        <w:rPr>
          <w:rFonts w:cs="Tahoma"/>
        </w:rPr>
      </w:pPr>
      <w:r w:rsidRPr="000A1C8E">
        <w:rPr>
          <w:rFonts w:cs="Tahoma"/>
          <w:szCs w:val="18"/>
        </w:rPr>
        <w:t>Assinaturas ativas do Windows Intune (Por Dispositivo)</w:t>
      </w:r>
    </w:p>
    <w:p w:rsidR="00F30075" w:rsidRPr="000A1C8E" w:rsidRDefault="00F30075" w:rsidP="008C0608">
      <w:pPr>
        <w:rPr>
          <w:rFonts w:cs="Tahoma"/>
          <w:sz w:val="14"/>
          <w:szCs w:val="14"/>
        </w:rPr>
      </w:pPr>
    </w:p>
    <w:p w:rsidR="002D7B73" w:rsidRPr="000A1C8E" w:rsidRDefault="002D7B73" w:rsidP="008C0608">
      <w:pPr>
        <w:rPr>
          <w:rFonts w:cs="Tahoma"/>
        </w:rPr>
      </w:pPr>
      <w:r w:rsidRPr="000A1C8E">
        <w:rPr>
          <w:rFonts w:cs="Tahoma"/>
          <w:color w:val="000000"/>
          <w:szCs w:val="18"/>
        </w:rPr>
        <w:t>Esse direito de uso permite a execução do software em até quatro máquinas virtuais locais.</w:t>
      </w:r>
      <w:r w:rsidR="00DC6D8B" w:rsidRPr="000A1C8E">
        <w:rPr>
          <w:rFonts w:cs="Tahoma"/>
          <w:color w:val="000000"/>
          <w:szCs w:val="18"/>
        </w:rPr>
        <w:t xml:space="preserve"> </w:t>
      </w:r>
      <w:r w:rsidRPr="000A1C8E">
        <w:rPr>
          <w:rFonts w:cs="Tahoma"/>
          <w:color w:val="000000"/>
          <w:szCs w:val="18"/>
        </w:rPr>
        <w:t>Ao passo que o direito do cliente de usar o Windows 8 Enterprise pode ser mantido após o término de sua cobertura do Software Assurance, o Direito de Uso da Virtualização não pode.</w:t>
      </w:r>
      <w:r w:rsidR="00DC6D8B" w:rsidRPr="000A1C8E">
        <w:rPr>
          <w:rFonts w:cs="Tahoma"/>
          <w:color w:val="000000"/>
          <w:szCs w:val="18"/>
        </w:rPr>
        <w:t xml:space="preserve"> </w:t>
      </w:r>
      <w:r w:rsidRPr="000A1C8E">
        <w:rPr>
          <w:rFonts w:cs="Tahoma"/>
          <w:color w:val="000000"/>
          <w:szCs w:val="18"/>
        </w:rPr>
        <w:t>Para obter mais detalhes sobre direitos de uso, consulte o documento de Direitos de Uso do Produto.</w:t>
      </w:r>
    </w:p>
    <w:p w:rsidR="002D7B73" w:rsidRPr="000A1C8E" w:rsidRDefault="002D7B73" w:rsidP="002D7B73">
      <w:pPr>
        <w:pStyle w:val="Heading3"/>
        <w:rPr>
          <w:rFonts w:ascii="Tahoma" w:hAnsi="Tahoma" w:cs="Tahoma"/>
        </w:rPr>
      </w:pPr>
      <w:bookmarkStart w:id="916" w:name="_Toc257907651"/>
      <w:bookmarkStart w:id="917" w:name="_Toc361829329"/>
      <w:bookmarkStart w:id="918" w:name="_Toc336338245"/>
      <w:bookmarkStart w:id="919" w:name="_Toc233026785"/>
      <w:r w:rsidRPr="000A1C8E">
        <w:rPr>
          <w:rFonts w:ascii="Tahoma" w:hAnsi="Tahoma" w:cs="Tahoma"/>
          <w:color w:val="000000"/>
          <w:sz w:val="24"/>
        </w:rPr>
        <w:lastRenderedPageBreak/>
        <w:t>Direitos do Windows Virtual Desktop Access (VDA)</w:t>
      </w:r>
      <w:bookmarkEnd w:id="916"/>
      <w:bookmarkEnd w:id="917"/>
      <w:r w:rsidRPr="000A1C8E">
        <w:rPr>
          <w:rFonts w:ascii="Tahoma" w:hAnsi="Tahoma" w:cs="Tahoma"/>
          <w:color w:val="000000"/>
          <w:sz w:val="24"/>
        </w:rPr>
        <w:t xml:space="preserve"> </w:t>
      </w:r>
      <w:bookmarkEnd w:id="918"/>
    </w:p>
    <w:p w:rsidR="002D7B73" w:rsidRPr="000A1C8E" w:rsidRDefault="002D7B73" w:rsidP="002D7B73">
      <w:pPr>
        <w:rPr>
          <w:rFonts w:cs="Tahoma"/>
          <w:sz w:val="16"/>
          <w:szCs w:val="16"/>
        </w:rPr>
      </w:pPr>
    </w:p>
    <w:p w:rsidR="00EC5C9D" w:rsidRPr="000A1C8E" w:rsidRDefault="00EC5C9D" w:rsidP="000E0B3C">
      <w:pPr>
        <w:rPr>
          <w:rFonts w:cs="Tahoma"/>
        </w:rPr>
      </w:pPr>
      <w:r w:rsidRPr="000A1C8E">
        <w:rPr>
          <w:rFonts w:eastAsia="Calibri" w:cs="Tahoma"/>
          <w:color w:val="000000"/>
          <w:szCs w:val="18"/>
        </w:rPr>
        <w:t xml:space="preserve">Os direitos do Windows VDA estão disponíveis para os clientes com Software Assurance para sistema operacional Windows Desktop e clientes licenciados para Windows Intune </w:t>
      </w:r>
      <w:r w:rsidRPr="000A1C8E">
        <w:rPr>
          <w:rFonts w:cs="Tahoma"/>
          <w:szCs w:val="18"/>
        </w:rPr>
        <w:t>(Por Dispositivo)</w:t>
      </w:r>
      <w:r w:rsidRPr="000A1C8E">
        <w:rPr>
          <w:rFonts w:eastAsia="Calibri" w:cs="Tahoma"/>
          <w:color w:val="000000"/>
          <w:szCs w:val="18"/>
        </w:rPr>
        <w:t>.</w:t>
      </w:r>
      <w:r w:rsidR="00DC6D8B" w:rsidRPr="000A1C8E">
        <w:rPr>
          <w:rFonts w:eastAsia="Calibri" w:cs="Tahoma"/>
          <w:color w:val="000000"/>
          <w:szCs w:val="18"/>
        </w:rPr>
        <w:t xml:space="preserve"> </w:t>
      </w:r>
      <w:r w:rsidRPr="000A1C8E">
        <w:rPr>
          <w:rFonts w:eastAsia="Calibri" w:cs="Tahoma"/>
          <w:color w:val="000000"/>
          <w:szCs w:val="18"/>
        </w:rPr>
        <w:t>Eles também estão disponíveis como uma licença de assinatura separada. O Windows VDA beneficia clientes que desejam implantar o Windows usando dispositivos thin client (geralmente pré-instalados com um sistema operacional embutido). A licença de assinatura do</w:t>
      </w:r>
      <w:r w:rsidR="000E0B3C" w:rsidRPr="000A1C8E">
        <w:rPr>
          <w:rFonts w:eastAsia="Calibri" w:cs="Tahoma"/>
          <w:color w:val="000000"/>
          <w:szCs w:val="18"/>
        </w:rPr>
        <w:t> </w:t>
      </w:r>
      <w:r w:rsidRPr="000A1C8E">
        <w:rPr>
          <w:rFonts w:eastAsia="Calibri" w:cs="Tahoma"/>
          <w:color w:val="000000"/>
          <w:szCs w:val="18"/>
        </w:rPr>
        <w:t>VDA fornece aos clientes o direito de executar a versão mais recente do sistema operacional Windows Desktop disponibilizada durante o prazo de suas assinaturas.</w:t>
      </w:r>
    </w:p>
    <w:p w:rsidR="00EC5C9D" w:rsidRPr="000A1C8E" w:rsidRDefault="00EC5C9D" w:rsidP="00EC5C9D">
      <w:pPr>
        <w:rPr>
          <w:rFonts w:cs="Tahoma"/>
          <w:sz w:val="16"/>
          <w:szCs w:val="16"/>
        </w:rPr>
      </w:pPr>
    </w:p>
    <w:p w:rsidR="00EC5C9D" w:rsidRPr="000A1C8E" w:rsidRDefault="00EC5C9D" w:rsidP="00EC5C9D">
      <w:pPr>
        <w:rPr>
          <w:rFonts w:cs="Tahoma"/>
        </w:rPr>
      </w:pPr>
      <w:r w:rsidRPr="000A1C8E">
        <w:rPr>
          <w:rFonts w:eastAsia="Calibri" w:cs="Tahoma"/>
          <w:color w:val="000000"/>
          <w:szCs w:val="18"/>
        </w:rPr>
        <w:t>Para obter mais informações sobre VDA, consulte o documento de Direitos de Uso de Produto.</w:t>
      </w:r>
    </w:p>
    <w:bookmarkEnd w:id="919"/>
    <w:p w:rsidR="00023FE7" w:rsidRPr="000A1C8E" w:rsidRDefault="00023FE7">
      <w:pPr>
        <w:rPr>
          <w:rFonts w:cs="Tahoma"/>
          <w:sz w:val="16"/>
          <w:szCs w:val="16"/>
        </w:rPr>
      </w:pPr>
    </w:p>
    <w:p w:rsidR="00023FE7" w:rsidRPr="000A1C8E" w:rsidRDefault="00023FE7">
      <w:pPr>
        <w:rPr>
          <w:rFonts w:cs="Tahoma"/>
        </w:rPr>
      </w:pPr>
      <w:bookmarkStart w:id="920" w:name="_Toc336338246"/>
      <w:bookmarkStart w:id="921" w:name="_Toc361829330"/>
      <w:r w:rsidRPr="000A1C8E">
        <w:rPr>
          <w:rStyle w:val="Heading3Char"/>
          <w:rFonts w:ascii="Tahoma" w:hAnsi="Tahoma" w:cs="Tahoma"/>
          <w:sz w:val="24"/>
        </w:rPr>
        <w:t>Disponibilidade de Licenças Step-up</w:t>
      </w:r>
      <w:bookmarkEnd w:id="920"/>
      <w:bookmarkEnd w:id="921"/>
      <w:r w:rsidRPr="000A1C8E">
        <w:rPr>
          <w:rFonts w:cs="Tahoma"/>
          <w:b/>
          <w:sz w:val="24"/>
          <w:szCs w:val="20"/>
        </w:rPr>
        <w:t>*</w:t>
      </w:r>
    </w:p>
    <w:p w:rsidR="00023FE7" w:rsidRPr="000A1C8E" w:rsidRDefault="00023FE7">
      <w:pPr>
        <w:rPr>
          <w:rFonts w:cs="Tahoma"/>
          <w:sz w:val="16"/>
          <w:szCs w:val="16"/>
        </w:rPr>
      </w:pPr>
    </w:p>
    <w:p w:rsidR="00023FE7" w:rsidRPr="000A1C8E" w:rsidRDefault="00AD6AD6" w:rsidP="0033459E">
      <w:pPr>
        <w:rPr>
          <w:rFonts w:cs="Tahoma"/>
          <w:spacing w:val="-2"/>
        </w:rPr>
      </w:pPr>
      <w:r w:rsidRPr="000A1C8E">
        <w:rPr>
          <w:rFonts w:cs="Tahoma"/>
          <w:spacing w:val="-2"/>
          <w:szCs w:val="18"/>
        </w:rPr>
        <w:t>Os clientes podem migrar de uma edição de nível inferior para uma edição de nível superior de determinados produtos com uma Licença Step-up.</w:t>
      </w:r>
      <w:r w:rsidR="00DC6D8B" w:rsidRPr="000A1C8E">
        <w:rPr>
          <w:rFonts w:cs="Tahoma"/>
          <w:spacing w:val="-2"/>
          <w:szCs w:val="18"/>
        </w:rPr>
        <w:t xml:space="preserve"> </w:t>
      </w:r>
      <w:r w:rsidRPr="000A1C8E">
        <w:rPr>
          <w:rFonts w:cs="Tahoma"/>
          <w:spacing w:val="-2"/>
          <w:szCs w:val="18"/>
        </w:rPr>
        <w:t xml:space="preserve">Os clientes devem ter uma licença com Software Assurance ativo para o produto qualificado para </w:t>
      </w:r>
      <w:r w:rsidRPr="000A1C8E">
        <w:rPr>
          <w:rFonts w:cs="Tahoma"/>
          <w:color w:val="000000"/>
          <w:spacing w:val="-2"/>
          <w:szCs w:val="18"/>
        </w:rPr>
        <w:t>adquirir essa Licença Step-up.</w:t>
      </w:r>
      <w:r w:rsidR="00DC6D8B" w:rsidRPr="000A1C8E">
        <w:rPr>
          <w:rFonts w:cs="Tahoma"/>
          <w:color w:val="000000"/>
          <w:spacing w:val="-2"/>
          <w:szCs w:val="18"/>
        </w:rPr>
        <w:t xml:space="preserve"> </w:t>
      </w:r>
      <w:r w:rsidRPr="000A1C8E">
        <w:rPr>
          <w:rFonts w:cs="Tahoma"/>
          <w:color w:val="000000"/>
          <w:spacing w:val="-2"/>
          <w:szCs w:val="18"/>
        </w:rPr>
        <w:t>A Licença Step-up deve ser adquirida, e é válida apenas quando adquirida, sob os mesmos contrato e registro de Licenciamento por Volume (se houver), sob o qual a cobertura de Software Assurance do</w:t>
      </w:r>
      <w:r w:rsidR="0033459E" w:rsidRPr="000A1C8E">
        <w:rPr>
          <w:rFonts w:cs="Tahoma"/>
          <w:color w:val="000000"/>
          <w:spacing w:val="-2"/>
          <w:szCs w:val="18"/>
        </w:rPr>
        <w:t> </w:t>
      </w:r>
      <w:r w:rsidRPr="000A1C8E">
        <w:rPr>
          <w:rFonts w:cs="Tahoma"/>
          <w:color w:val="000000"/>
          <w:spacing w:val="-2"/>
          <w:szCs w:val="18"/>
        </w:rPr>
        <w:t>produto</w:t>
      </w:r>
      <w:r w:rsidRPr="000A1C8E">
        <w:rPr>
          <w:rFonts w:cs="Tahoma"/>
          <w:spacing w:val="-2"/>
          <w:szCs w:val="18"/>
        </w:rPr>
        <w:t xml:space="preserve"> qualificado foi originalmente adquirida.</w:t>
      </w:r>
      <w:r w:rsidR="00DC6D8B" w:rsidRPr="000A1C8E">
        <w:rPr>
          <w:rFonts w:cs="Tahoma"/>
          <w:spacing w:val="-2"/>
          <w:szCs w:val="18"/>
        </w:rPr>
        <w:t xml:space="preserve"> </w:t>
      </w:r>
      <w:r w:rsidRPr="000A1C8E">
        <w:rPr>
          <w:rFonts w:cs="Tahoma"/>
          <w:spacing w:val="-2"/>
          <w:szCs w:val="18"/>
        </w:rPr>
        <w:t>O direito de uso de software do cliente sob uma licença Step-up está</w:t>
      </w:r>
      <w:r w:rsidR="0033459E" w:rsidRPr="000A1C8E">
        <w:rPr>
          <w:rFonts w:cs="Tahoma"/>
          <w:spacing w:val="-2"/>
          <w:szCs w:val="18"/>
        </w:rPr>
        <w:t> </w:t>
      </w:r>
      <w:r w:rsidRPr="000A1C8E">
        <w:rPr>
          <w:rFonts w:cs="Tahoma"/>
          <w:spacing w:val="-2"/>
          <w:szCs w:val="18"/>
        </w:rPr>
        <w:t>condicionado à posse e manutenção de uma Licença do produto qualificado.</w:t>
      </w:r>
      <w:r w:rsidR="00DC6D8B" w:rsidRPr="000A1C8E">
        <w:rPr>
          <w:rFonts w:cs="Tahoma"/>
          <w:spacing w:val="-2"/>
          <w:szCs w:val="18"/>
        </w:rPr>
        <w:t xml:space="preserve"> </w:t>
      </w:r>
      <w:r w:rsidRPr="000A1C8E">
        <w:rPr>
          <w:rFonts w:cs="Tahoma"/>
          <w:spacing w:val="-2"/>
          <w:szCs w:val="18"/>
        </w:rPr>
        <w:t>Os clientes não podem transferir a Licença do produto qualificado separadamente da licença Step-up.</w:t>
      </w:r>
      <w:r w:rsidR="00DC6D8B" w:rsidRPr="000A1C8E">
        <w:rPr>
          <w:rFonts w:cs="Tahoma"/>
          <w:spacing w:val="-2"/>
          <w:szCs w:val="18"/>
        </w:rPr>
        <w:t xml:space="preserve"> </w:t>
      </w:r>
      <w:r w:rsidRPr="000A1C8E">
        <w:rPr>
          <w:rFonts w:cs="Tahoma"/>
          <w:spacing w:val="-2"/>
          <w:szCs w:val="18"/>
        </w:rPr>
        <w:t>Os direitos perpétuos do cliente sob a Licença Step-up substituem a licença básica do produto qualificado.</w:t>
      </w:r>
      <w:r w:rsidR="00DC6D8B" w:rsidRPr="000A1C8E">
        <w:rPr>
          <w:rFonts w:cs="Tahoma"/>
          <w:spacing w:val="-2"/>
          <w:szCs w:val="18"/>
        </w:rPr>
        <w:t xml:space="preserve"> </w:t>
      </w:r>
      <w:r w:rsidRPr="000A1C8E">
        <w:rPr>
          <w:rFonts w:cs="Tahoma"/>
          <w:spacing w:val="-2"/>
          <w:szCs w:val="18"/>
        </w:rPr>
        <w:t>Para obter mais detalhes, consulte o Resumo de Licenciamento por Volume da Licença Step-up para Enterprise Edition no site: http://</w:t>
      </w:r>
      <w:hyperlink r:id="rId29" w:history="1">
        <w:r w:rsidRPr="000A1C8E">
          <w:rPr>
            <w:rStyle w:val="Hyperlink"/>
            <w:rFonts w:cs="Tahoma"/>
            <w:spacing w:val="-2"/>
            <w:szCs w:val="18"/>
          </w:rPr>
          <w:t>www.microsoft.com/licensing</w:t>
        </w:r>
      </w:hyperlink>
      <w:r w:rsidRPr="000A1C8E">
        <w:rPr>
          <w:rFonts w:cs="Tahoma"/>
          <w:spacing w:val="-2"/>
          <w:szCs w:val="18"/>
        </w:rPr>
        <w:t xml:space="preserve"> </w:t>
      </w:r>
    </w:p>
    <w:p w:rsidR="00023FE7" w:rsidRPr="00C72F0A" w:rsidRDefault="00023FE7">
      <w:pPr>
        <w:rPr>
          <w:rFonts w:cs="Tahoma"/>
          <w:sz w:val="16"/>
          <w:szCs w:val="16"/>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0A1C8E" w:rsidTr="001E3F7D">
        <w:trPr>
          <w:tblHeader/>
        </w:trPr>
        <w:tc>
          <w:tcPr>
            <w:tcW w:w="4230" w:type="dxa"/>
            <w:shd w:val="clear" w:color="auto" w:fill="FABF8F"/>
            <w:tcMar>
              <w:top w:w="0" w:type="dxa"/>
              <w:left w:w="108" w:type="dxa"/>
              <w:bottom w:w="0" w:type="dxa"/>
              <w:right w:w="108" w:type="dxa"/>
            </w:tcMar>
            <w:hideMark/>
          </w:tcPr>
          <w:p w:rsidR="003573CD" w:rsidRPr="000A1C8E" w:rsidRDefault="003573CD" w:rsidP="00554A35">
            <w:pPr>
              <w:jc w:val="center"/>
              <w:rPr>
                <w:rFonts w:eastAsia="Calibri" w:cs="Tahoma"/>
                <w:b/>
                <w:sz w:val="20"/>
                <w:szCs w:val="20"/>
              </w:rPr>
            </w:pPr>
            <w:r w:rsidRPr="000A1C8E">
              <w:rPr>
                <w:rFonts w:cs="Tahoma"/>
                <w:b/>
                <w:sz w:val="20"/>
                <w:szCs w:val="20"/>
              </w:rPr>
              <w:t>Step-up de</w:t>
            </w:r>
          </w:p>
        </w:tc>
        <w:tc>
          <w:tcPr>
            <w:tcW w:w="4230" w:type="dxa"/>
            <w:shd w:val="clear" w:color="auto" w:fill="FABF8F"/>
            <w:tcMar>
              <w:top w:w="0" w:type="dxa"/>
              <w:left w:w="108" w:type="dxa"/>
              <w:bottom w:w="0" w:type="dxa"/>
              <w:right w:w="108" w:type="dxa"/>
            </w:tcMar>
            <w:hideMark/>
          </w:tcPr>
          <w:p w:rsidR="003573CD" w:rsidRPr="000A1C8E" w:rsidRDefault="003573CD" w:rsidP="00554A35">
            <w:pPr>
              <w:jc w:val="center"/>
              <w:rPr>
                <w:rFonts w:eastAsia="Calibri" w:cs="Tahoma"/>
                <w:b/>
                <w:sz w:val="20"/>
                <w:szCs w:val="20"/>
              </w:rPr>
            </w:pPr>
            <w:r w:rsidRPr="000A1C8E">
              <w:rPr>
                <w:rFonts w:cs="Tahoma"/>
                <w:b/>
                <w:sz w:val="20"/>
                <w:szCs w:val="20"/>
              </w:rPr>
              <w:t>Step-up para</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BizTalk</w:t>
            </w:r>
            <w:r w:rsidR="00C83286" w:rsidRPr="000A1C8E">
              <w:rPr>
                <w:rFonts w:cs="Tahoma"/>
                <w:szCs w:val="18"/>
                <w:vertAlign w:val="superscript"/>
              </w:rPr>
              <w:t>®</w:t>
            </w:r>
            <w:r w:rsidRPr="000A1C8E">
              <w:rPr>
                <w:rFonts w:cs="Tahoma"/>
                <w:szCs w:val="18"/>
              </w:rPr>
              <w:t xml:space="preserve"> Server Branch</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BizTalk</w:t>
            </w:r>
            <w:r w:rsidR="00C83286" w:rsidRPr="000A1C8E">
              <w:rPr>
                <w:rFonts w:cs="Tahoma"/>
                <w:szCs w:val="18"/>
                <w:vertAlign w:val="superscript"/>
              </w:rPr>
              <w:t>®</w:t>
            </w:r>
            <w:r w:rsidRPr="000A1C8E">
              <w:rPr>
                <w:rFonts w:cs="Tahoma"/>
                <w:szCs w:val="18"/>
              </w:rPr>
              <w:t xml:space="preserve"> Server Standard</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BizTalk</w:t>
            </w:r>
            <w:r w:rsidR="00C83286" w:rsidRPr="000A1C8E">
              <w:rPr>
                <w:rFonts w:cs="Tahoma"/>
                <w:szCs w:val="18"/>
                <w:vertAlign w:val="superscript"/>
              </w:rPr>
              <w:t>®</w:t>
            </w:r>
            <w:r w:rsidRPr="000A1C8E">
              <w:rPr>
                <w:rFonts w:cs="Tahoma"/>
                <w:szCs w:val="18"/>
              </w:rPr>
              <w:t xml:space="preserve"> Server Branch</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BizTalk</w:t>
            </w:r>
            <w:r w:rsidR="00C83286" w:rsidRPr="000A1C8E">
              <w:rPr>
                <w:rFonts w:cs="Tahoma"/>
                <w:szCs w:val="18"/>
                <w:vertAlign w:val="superscript"/>
              </w:rPr>
              <w:t>®</w:t>
            </w:r>
            <w:r w:rsidRPr="000A1C8E">
              <w:rPr>
                <w:rFonts w:cs="Tahoma"/>
                <w:szCs w:val="18"/>
              </w:rPr>
              <w:t xml:space="preserve"> Server Enterprise</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BizTalk</w:t>
            </w:r>
            <w:r w:rsidR="00C83286" w:rsidRPr="000A1C8E">
              <w:rPr>
                <w:rFonts w:cs="Tahoma"/>
                <w:szCs w:val="18"/>
                <w:vertAlign w:val="superscript"/>
              </w:rPr>
              <w:t>®</w:t>
            </w:r>
            <w:r w:rsidRPr="000A1C8E">
              <w:rPr>
                <w:rFonts w:cs="Tahoma"/>
                <w:szCs w:val="18"/>
              </w:rPr>
              <w:t xml:space="preserve"> Server Standard</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BizTalk</w:t>
            </w:r>
            <w:r w:rsidR="00C83286" w:rsidRPr="000A1C8E">
              <w:rPr>
                <w:rFonts w:cs="Tahoma"/>
                <w:szCs w:val="18"/>
                <w:vertAlign w:val="superscript"/>
              </w:rPr>
              <w:t>®</w:t>
            </w:r>
            <w:r w:rsidRPr="000A1C8E">
              <w:rPr>
                <w:rFonts w:cs="Tahoma"/>
                <w:szCs w:val="18"/>
              </w:rPr>
              <w:t xml:space="preserve"> Server Enterprise</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Commerce Server Standard</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Commerce Server Enterprise</w:t>
            </w:r>
          </w:p>
        </w:tc>
      </w:tr>
      <w:tr w:rsidR="003573CD" w:rsidRPr="000A1C8E" w:rsidTr="001E3F7D">
        <w:trPr>
          <w:trHeight w:val="238"/>
        </w:trPr>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Core CAL Suite</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Enterprise CAL Suite</w:t>
            </w:r>
          </w:p>
        </w:tc>
      </w:tr>
      <w:tr w:rsidR="00E87953" w:rsidRPr="000A1C8E" w:rsidTr="001E3F7D">
        <w:trPr>
          <w:trHeight w:val="247"/>
        </w:trPr>
        <w:tc>
          <w:tcPr>
            <w:tcW w:w="4230" w:type="dxa"/>
            <w:tcMar>
              <w:top w:w="0" w:type="dxa"/>
              <w:left w:w="108" w:type="dxa"/>
              <w:bottom w:w="0" w:type="dxa"/>
              <w:right w:w="108" w:type="dxa"/>
            </w:tcMar>
          </w:tcPr>
          <w:p w:rsidR="00E87953" w:rsidRPr="000A1C8E" w:rsidRDefault="00E87953" w:rsidP="000E0B3C">
            <w:pPr>
              <w:rPr>
                <w:rFonts w:cs="Tahoma"/>
                <w:color w:val="000000"/>
                <w:szCs w:val="18"/>
              </w:rPr>
            </w:pPr>
            <w:r w:rsidRPr="000A1C8E">
              <w:rPr>
                <w:rFonts w:cs="Tahoma"/>
                <w:color w:val="000000"/>
                <w:szCs w:val="18"/>
              </w:rPr>
              <w:t>Bridge do Pacote de CALs Principais para</w:t>
            </w:r>
            <w:r w:rsidR="000E0B3C" w:rsidRPr="000A1C8E">
              <w:rPr>
                <w:rFonts w:cs="Tahoma"/>
                <w:color w:val="000000"/>
                <w:szCs w:val="18"/>
              </w:rPr>
              <w:t> </w:t>
            </w:r>
            <w:r w:rsidRPr="000A1C8E">
              <w:rPr>
                <w:rFonts w:cs="Tahoma"/>
                <w:color w:val="000000"/>
                <w:szCs w:val="18"/>
              </w:rPr>
              <w:t>Office</w:t>
            </w:r>
            <w:r w:rsidR="000E0B3C" w:rsidRPr="000A1C8E">
              <w:rPr>
                <w:rFonts w:cs="Tahoma"/>
                <w:color w:val="000000"/>
                <w:szCs w:val="18"/>
              </w:rPr>
              <w:t> </w:t>
            </w:r>
            <w:r w:rsidRPr="000A1C8E">
              <w:rPr>
                <w:rFonts w:cs="Tahoma"/>
                <w:color w:val="000000"/>
                <w:szCs w:val="18"/>
              </w:rPr>
              <w:t>365</w:t>
            </w:r>
          </w:p>
        </w:tc>
        <w:tc>
          <w:tcPr>
            <w:tcW w:w="4230" w:type="dxa"/>
            <w:tcMar>
              <w:top w:w="0" w:type="dxa"/>
              <w:left w:w="108" w:type="dxa"/>
              <w:bottom w:w="0" w:type="dxa"/>
              <w:right w:w="108" w:type="dxa"/>
            </w:tcMar>
          </w:tcPr>
          <w:p w:rsidR="00E87953" w:rsidRPr="000A1C8E" w:rsidRDefault="00E87953" w:rsidP="00734CF4">
            <w:pPr>
              <w:rPr>
                <w:rFonts w:cs="Tahoma"/>
                <w:color w:val="000000"/>
                <w:szCs w:val="18"/>
              </w:rPr>
            </w:pPr>
            <w:r w:rsidRPr="000A1C8E">
              <w:rPr>
                <w:rFonts w:cs="Tahoma"/>
                <w:color w:val="000000"/>
                <w:szCs w:val="18"/>
              </w:rPr>
              <w:t>Bridge do Pacote de CALs Empresariais para Office 365</w:t>
            </w:r>
          </w:p>
        </w:tc>
      </w:tr>
      <w:tr w:rsidR="00E87953" w:rsidRPr="000A1C8E" w:rsidTr="001E3F7D">
        <w:trPr>
          <w:trHeight w:val="247"/>
        </w:trPr>
        <w:tc>
          <w:tcPr>
            <w:tcW w:w="4230" w:type="dxa"/>
            <w:tcMar>
              <w:top w:w="0" w:type="dxa"/>
              <w:left w:w="108" w:type="dxa"/>
              <w:bottom w:w="0" w:type="dxa"/>
              <w:right w:w="108" w:type="dxa"/>
            </w:tcMar>
          </w:tcPr>
          <w:p w:rsidR="00E87953" w:rsidRPr="000A1C8E" w:rsidRDefault="00E87953" w:rsidP="007C6582">
            <w:pPr>
              <w:rPr>
                <w:rFonts w:cs="Tahoma"/>
                <w:color w:val="000000"/>
                <w:szCs w:val="18"/>
              </w:rPr>
            </w:pPr>
            <w:r w:rsidRPr="000A1C8E">
              <w:rPr>
                <w:rFonts w:cs="Tahoma"/>
                <w:color w:val="000000"/>
                <w:szCs w:val="18"/>
              </w:rPr>
              <w:t>Bridge do Pacote de CALs Principais para Windows</w:t>
            </w:r>
            <w:r w:rsidR="00C83286" w:rsidRPr="000A1C8E">
              <w:rPr>
                <w:rFonts w:cs="Tahoma"/>
                <w:color w:val="000000"/>
                <w:szCs w:val="18"/>
                <w:vertAlign w:val="superscript"/>
              </w:rPr>
              <w:t>®</w:t>
            </w:r>
            <w:r w:rsidRPr="000A1C8E">
              <w:rPr>
                <w:rFonts w:cs="Tahoma"/>
                <w:color w:val="000000"/>
                <w:szCs w:val="18"/>
              </w:rPr>
              <w:t xml:space="preserve"> Intune</w:t>
            </w:r>
          </w:p>
        </w:tc>
        <w:tc>
          <w:tcPr>
            <w:tcW w:w="4230" w:type="dxa"/>
            <w:tcMar>
              <w:top w:w="0" w:type="dxa"/>
              <w:left w:w="108" w:type="dxa"/>
              <w:bottom w:w="0" w:type="dxa"/>
              <w:right w:w="108" w:type="dxa"/>
            </w:tcMar>
          </w:tcPr>
          <w:p w:rsidR="00E87953" w:rsidRPr="000A1C8E" w:rsidRDefault="00E87953" w:rsidP="007C6582">
            <w:pPr>
              <w:rPr>
                <w:rFonts w:cs="Tahoma"/>
                <w:color w:val="000000"/>
                <w:szCs w:val="18"/>
              </w:rPr>
            </w:pPr>
            <w:r w:rsidRPr="000A1C8E">
              <w:rPr>
                <w:rFonts w:cs="Tahoma"/>
                <w:color w:val="000000"/>
                <w:szCs w:val="18"/>
              </w:rPr>
              <w:t>Bridge do Pacote de CALs Empresariais para Windows</w:t>
            </w:r>
            <w:r w:rsidR="00C83286" w:rsidRPr="000A1C8E">
              <w:rPr>
                <w:rFonts w:cs="Tahoma"/>
                <w:color w:val="000000"/>
                <w:szCs w:val="18"/>
                <w:vertAlign w:val="superscript"/>
              </w:rPr>
              <w:t>®</w:t>
            </w:r>
            <w:r w:rsidRPr="000A1C8E">
              <w:rPr>
                <w:rFonts w:cs="Tahoma"/>
                <w:color w:val="000000"/>
                <w:szCs w:val="18"/>
              </w:rPr>
              <w:t xml:space="preserve"> Intune</w:t>
            </w:r>
          </w:p>
        </w:tc>
      </w:tr>
      <w:tr w:rsidR="000466E8" w:rsidRPr="000A1C8E" w:rsidTr="001E3F7D">
        <w:trPr>
          <w:trHeight w:val="247"/>
        </w:trPr>
        <w:tc>
          <w:tcPr>
            <w:tcW w:w="4230" w:type="dxa"/>
            <w:tcMar>
              <w:top w:w="0" w:type="dxa"/>
              <w:left w:w="108" w:type="dxa"/>
              <w:bottom w:w="0" w:type="dxa"/>
              <w:right w:w="108" w:type="dxa"/>
            </w:tcMar>
          </w:tcPr>
          <w:p w:rsidR="000466E8" w:rsidRPr="000A1C8E" w:rsidRDefault="0054507B" w:rsidP="000E0B3C">
            <w:pPr>
              <w:rPr>
                <w:rFonts w:cs="Tahoma"/>
                <w:color w:val="000000"/>
                <w:szCs w:val="18"/>
              </w:rPr>
            </w:pPr>
            <w:r w:rsidRPr="000A1C8E">
              <w:rPr>
                <w:rFonts w:cs="Tahoma"/>
                <w:color w:val="000000"/>
                <w:szCs w:val="18"/>
              </w:rPr>
              <w:t>Bridge do Pacote de CALs Principais para Office</w:t>
            </w:r>
            <w:r w:rsidR="000E0B3C" w:rsidRPr="000A1C8E">
              <w:rPr>
                <w:rFonts w:cs="Tahoma"/>
                <w:color w:val="000000"/>
                <w:szCs w:val="18"/>
              </w:rPr>
              <w:t> </w:t>
            </w:r>
            <w:r w:rsidRPr="000A1C8E">
              <w:rPr>
                <w:rFonts w:cs="Tahoma"/>
                <w:color w:val="000000"/>
                <w:szCs w:val="18"/>
              </w:rPr>
              <w:t>365 e Windows</w:t>
            </w:r>
            <w:r w:rsidR="00C83286" w:rsidRPr="000A1C8E">
              <w:rPr>
                <w:rFonts w:cs="Tahoma"/>
                <w:color w:val="000000"/>
                <w:szCs w:val="18"/>
                <w:vertAlign w:val="superscript"/>
              </w:rPr>
              <w:t>®</w:t>
            </w:r>
            <w:r w:rsidRPr="000A1C8E">
              <w:rPr>
                <w:rFonts w:cs="Tahoma"/>
                <w:color w:val="000000"/>
                <w:szCs w:val="18"/>
              </w:rPr>
              <w:t xml:space="preserve"> Intune</w:t>
            </w:r>
          </w:p>
        </w:tc>
        <w:tc>
          <w:tcPr>
            <w:tcW w:w="4230" w:type="dxa"/>
            <w:tcMar>
              <w:top w:w="0" w:type="dxa"/>
              <w:left w:w="108" w:type="dxa"/>
              <w:bottom w:w="0" w:type="dxa"/>
              <w:right w:w="108" w:type="dxa"/>
            </w:tcMar>
          </w:tcPr>
          <w:p w:rsidR="000466E8" w:rsidRPr="000A1C8E" w:rsidRDefault="00C3058D" w:rsidP="007C6582">
            <w:pPr>
              <w:rPr>
                <w:rFonts w:cs="Tahoma"/>
                <w:color w:val="000000"/>
                <w:szCs w:val="18"/>
              </w:rPr>
            </w:pPr>
            <w:r w:rsidRPr="000A1C8E">
              <w:rPr>
                <w:rFonts w:eastAsia="Calibri" w:cs="Tahoma"/>
                <w:szCs w:val="18"/>
              </w:rPr>
              <w:t>Bridge do Pacote de CALs Empresariais para Office 365 e Windows</w:t>
            </w:r>
            <w:r w:rsidR="00C83286" w:rsidRPr="000A1C8E">
              <w:rPr>
                <w:rFonts w:cs="Tahoma"/>
                <w:color w:val="000000"/>
                <w:szCs w:val="18"/>
                <w:vertAlign w:val="superscript"/>
              </w:rPr>
              <w:t>®</w:t>
            </w:r>
            <w:r w:rsidRPr="000A1C8E">
              <w:rPr>
                <w:rFonts w:cs="Tahoma"/>
                <w:color w:val="000000"/>
                <w:szCs w:val="18"/>
                <w:vertAlign w:val="superscript"/>
              </w:rPr>
              <w:t xml:space="preserve"> </w:t>
            </w:r>
            <w:r w:rsidRPr="000A1C8E">
              <w:rPr>
                <w:rFonts w:eastAsia="Calibri" w:cs="Tahoma"/>
                <w:szCs w:val="18"/>
              </w:rPr>
              <w:t>Intune</w:t>
            </w:r>
          </w:p>
        </w:tc>
      </w:tr>
      <w:tr w:rsidR="004C6855" w:rsidRPr="000A1C8E" w:rsidTr="001E3F7D">
        <w:trPr>
          <w:trHeight w:val="247"/>
        </w:trPr>
        <w:tc>
          <w:tcPr>
            <w:tcW w:w="4230" w:type="dxa"/>
            <w:tcMar>
              <w:top w:w="0" w:type="dxa"/>
              <w:left w:w="108" w:type="dxa"/>
              <w:bottom w:w="0" w:type="dxa"/>
              <w:right w:w="108" w:type="dxa"/>
            </w:tcMar>
            <w:hideMark/>
          </w:tcPr>
          <w:p w:rsidR="004C6855" w:rsidRPr="000A1C8E" w:rsidRDefault="004C6855" w:rsidP="00554A35">
            <w:pPr>
              <w:rPr>
                <w:rFonts w:cs="Tahoma"/>
                <w:szCs w:val="18"/>
              </w:rPr>
            </w:pPr>
            <w:r w:rsidRPr="000A1C8E">
              <w:rPr>
                <w:rFonts w:cs="Tahoma"/>
                <w:color w:val="000000"/>
                <w:szCs w:val="18"/>
              </w:rPr>
              <w:t>Core Infrastructure Server Suite Standard</w:t>
            </w:r>
          </w:p>
        </w:tc>
        <w:tc>
          <w:tcPr>
            <w:tcW w:w="4230" w:type="dxa"/>
            <w:tcMar>
              <w:top w:w="0" w:type="dxa"/>
              <w:left w:w="108" w:type="dxa"/>
              <w:bottom w:w="0" w:type="dxa"/>
              <w:right w:w="108" w:type="dxa"/>
            </w:tcMar>
            <w:hideMark/>
          </w:tcPr>
          <w:p w:rsidR="004C6855" w:rsidRPr="000A1C8E" w:rsidRDefault="004C6855" w:rsidP="00933674">
            <w:pPr>
              <w:rPr>
                <w:rFonts w:cs="Tahoma"/>
                <w:szCs w:val="18"/>
              </w:rPr>
            </w:pPr>
            <w:r w:rsidRPr="000A1C8E">
              <w:rPr>
                <w:rFonts w:cs="Tahoma"/>
                <w:color w:val="000000"/>
                <w:szCs w:val="18"/>
              </w:rPr>
              <w:t>Core Infrastructure Server Suite Datacenter</w:t>
            </w:r>
          </w:p>
        </w:tc>
      </w:tr>
      <w:tr w:rsidR="003573CD" w:rsidRPr="000A1C8E" w:rsidTr="001E3F7D">
        <w:tc>
          <w:tcPr>
            <w:tcW w:w="4230" w:type="dxa"/>
            <w:tcMar>
              <w:top w:w="0" w:type="dxa"/>
              <w:left w:w="108" w:type="dxa"/>
              <w:bottom w:w="0" w:type="dxa"/>
              <w:right w:w="108" w:type="dxa"/>
            </w:tcMar>
            <w:hideMark/>
          </w:tcPr>
          <w:p w:rsidR="003573CD" w:rsidRPr="000A1C8E" w:rsidRDefault="003573CD" w:rsidP="00394D2B">
            <w:pPr>
              <w:rPr>
                <w:rFonts w:eastAsia="Calibri" w:cs="Tahoma"/>
                <w:szCs w:val="18"/>
              </w:rPr>
            </w:pPr>
            <w:r w:rsidRPr="000A1C8E">
              <w:rPr>
                <w:rFonts w:cs="Tahoma"/>
                <w:szCs w:val="18"/>
              </w:rPr>
              <w:t>Desktop Educacional com Core CAL</w:t>
            </w:r>
          </w:p>
        </w:tc>
        <w:tc>
          <w:tcPr>
            <w:tcW w:w="4230" w:type="dxa"/>
            <w:tcMar>
              <w:top w:w="0" w:type="dxa"/>
              <w:left w:w="108" w:type="dxa"/>
              <w:bottom w:w="0" w:type="dxa"/>
              <w:right w:w="108" w:type="dxa"/>
            </w:tcMar>
            <w:hideMark/>
          </w:tcPr>
          <w:p w:rsidR="003573CD" w:rsidRPr="000A1C8E" w:rsidRDefault="003573CD" w:rsidP="00394D2B">
            <w:pPr>
              <w:rPr>
                <w:rFonts w:eastAsia="Calibri" w:cs="Tahoma"/>
                <w:szCs w:val="18"/>
              </w:rPr>
            </w:pPr>
            <w:r w:rsidRPr="000A1C8E">
              <w:rPr>
                <w:rFonts w:cs="Tahoma"/>
                <w:szCs w:val="18"/>
              </w:rPr>
              <w:t>Desktop Educacional com Pacote de CALs Empresariais</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Desktop School com Core CAL</w:t>
            </w:r>
          </w:p>
        </w:tc>
        <w:tc>
          <w:tcPr>
            <w:tcW w:w="4230" w:type="dxa"/>
            <w:tcMar>
              <w:top w:w="0" w:type="dxa"/>
              <w:left w:w="108" w:type="dxa"/>
              <w:bottom w:w="0" w:type="dxa"/>
              <w:right w:w="108" w:type="dxa"/>
            </w:tcMar>
            <w:hideMark/>
          </w:tcPr>
          <w:p w:rsidR="003573CD" w:rsidRPr="000A1C8E" w:rsidRDefault="00ED0F02" w:rsidP="00554A35">
            <w:pPr>
              <w:rPr>
                <w:rFonts w:eastAsia="Calibri" w:cs="Tahoma"/>
                <w:szCs w:val="18"/>
              </w:rPr>
            </w:pPr>
            <w:r w:rsidRPr="000A1C8E">
              <w:rPr>
                <w:rFonts w:cs="Tahoma"/>
                <w:szCs w:val="18"/>
              </w:rPr>
              <w:t>Desktop School com Pacote de CALs Empresariais</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lang w:val="fr-FR"/>
              </w:rPr>
            </w:pPr>
            <w:r w:rsidRPr="000A1C8E">
              <w:rPr>
                <w:rFonts w:cs="Tahoma"/>
                <w:szCs w:val="18"/>
              </w:rPr>
              <w:t>Exchange Server Standard</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Exchange Server Enterprise</w:t>
            </w:r>
          </w:p>
        </w:tc>
      </w:tr>
      <w:tr w:rsidR="004D4D43" w:rsidRPr="000A1C8E" w:rsidTr="001E3F7D">
        <w:tc>
          <w:tcPr>
            <w:tcW w:w="4230" w:type="dxa"/>
            <w:tcMar>
              <w:top w:w="0" w:type="dxa"/>
              <w:left w:w="108" w:type="dxa"/>
              <w:bottom w:w="0" w:type="dxa"/>
              <w:right w:w="108" w:type="dxa"/>
            </w:tcMar>
          </w:tcPr>
          <w:p w:rsidR="004D4D43" w:rsidRPr="000A1C8E" w:rsidRDefault="004D4D43" w:rsidP="00AB4C80">
            <w:pPr>
              <w:rPr>
                <w:rFonts w:cs="Tahoma"/>
                <w:szCs w:val="18"/>
              </w:rPr>
            </w:pPr>
            <w:r w:rsidRPr="000A1C8E">
              <w:rPr>
                <w:rFonts w:cs="Tahoma"/>
                <w:szCs w:val="18"/>
              </w:rPr>
              <w:t>Forefront TMG Standard</w:t>
            </w:r>
          </w:p>
        </w:tc>
        <w:tc>
          <w:tcPr>
            <w:tcW w:w="4230" w:type="dxa"/>
            <w:tcMar>
              <w:top w:w="0" w:type="dxa"/>
              <w:left w:w="108" w:type="dxa"/>
              <w:bottom w:w="0" w:type="dxa"/>
              <w:right w:w="108" w:type="dxa"/>
            </w:tcMar>
          </w:tcPr>
          <w:p w:rsidR="004D4D43" w:rsidRPr="000A1C8E" w:rsidRDefault="004D4D43" w:rsidP="00AB4C80">
            <w:pPr>
              <w:rPr>
                <w:rFonts w:cs="Tahoma"/>
                <w:szCs w:val="18"/>
              </w:rPr>
            </w:pPr>
            <w:r w:rsidRPr="000A1C8E">
              <w:rPr>
                <w:rFonts w:cs="Tahoma"/>
                <w:szCs w:val="18"/>
              </w:rPr>
              <w:t>Forefront TMG Enterprise</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Internet Security &amp; Acceleration (ISA) Enterprise Server</w:t>
            </w:r>
          </w:p>
        </w:tc>
      </w:tr>
      <w:tr w:rsidR="00781A60" w:rsidRPr="000A1C8E" w:rsidTr="001E3F7D">
        <w:tc>
          <w:tcPr>
            <w:tcW w:w="4230" w:type="dxa"/>
            <w:tcMar>
              <w:top w:w="0" w:type="dxa"/>
              <w:left w:w="108" w:type="dxa"/>
              <w:bottom w:w="0" w:type="dxa"/>
              <w:right w:w="108" w:type="dxa"/>
            </w:tcMar>
          </w:tcPr>
          <w:p w:rsidR="00781A60" w:rsidRPr="000A1C8E" w:rsidRDefault="00781A60" w:rsidP="00554A35">
            <w:pPr>
              <w:rPr>
                <w:rFonts w:cs="Tahoma"/>
                <w:szCs w:val="18"/>
              </w:rPr>
            </w:pPr>
            <w:r w:rsidRPr="000A1C8E">
              <w:rPr>
                <w:rFonts w:cs="Tahoma"/>
                <w:szCs w:val="18"/>
              </w:rPr>
              <w:t>Microsoft Dynamics CRM Workgroup Server 2011</w:t>
            </w:r>
          </w:p>
        </w:tc>
        <w:tc>
          <w:tcPr>
            <w:tcW w:w="4230" w:type="dxa"/>
            <w:tcMar>
              <w:top w:w="0" w:type="dxa"/>
              <w:left w:w="108" w:type="dxa"/>
              <w:bottom w:w="0" w:type="dxa"/>
              <w:right w:w="108" w:type="dxa"/>
            </w:tcMar>
          </w:tcPr>
          <w:p w:rsidR="00781A60" w:rsidRPr="000A1C8E" w:rsidRDefault="00781A60" w:rsidP="00554A35">
            <w:pPr>
              <w:rPr>
                <w:rFonts w:cs="Tahoma"/>
                <w:szCs w:val="18"/>
              </w:rPr>
            </w:pPr>
            <w:r w:rsidRPr="000A1C8E">
              <w:rPr>
                <w:rFonts w:cs="Tahoma"/>
                <w:szCs w:val="18"/>
              </w:rPr>
              <w:t>Microsoft Dynamics CRM Server 2011</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 xml:space="preserve">Office Standard </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lang w:val="fr-FR"/>
              </w:rPr>
            </w:pPr>
            <w:r w:rsidRPr="000A1C8E">
              <w:rPr>
                <w:rFonts w:cs="Tahoma"/>
                <w:szCs w:val="18"/>
              </w:rPr>
              <w:t xml:space="preserve">Office Professional Plus </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Desktop Profissional</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Desktop Empresarial</w:t>
            </w:r>
          </w:p>
        </w:tc>
      </w:tr>
      <w:tr w:rsidR="008925CF" w:rsidRPr="000A1C8E" w:rsidTr="001E3F7D">
        <w:tc>
          <w:tcPr>
            <w:tcW w:w="4230" w:type="dxa"/>
            <w:tcMar>
              <w:top w:w="0" w:type="dxa"/>
              <w:left w:w="108" w:type="dxa"/>
              <w:bottom w:w="0" w:type="dxa"/>
              <w:right w:w="108" w:type="dxa"/>
            </w:tcMar>
            <w:hideMark/>
          </w:tcPr>
          <w:p w:rsidR="008925CF" w:rsidRPr="000A1C8E" w:rsidRDefault="008925CF" w:rsidP="008925CF">
            <w:pPr>
              <w:rPr>
                <w:rFonts w:cs="Tahoma"/>
                <w:color w:val="000000"/>
                <w:szCs w:val="18"/>
              </w:rPr>
            </w:pPr>
            <w:r w:rsidRPr="000A1C8E">
              <w:rPr>
                <w:rFonts w:cs="Tahoma"/>
                <w:color w:val="000000"/>
                <w:szCs w:val="18"/>
              </w:rPr>
              <w:t>Professional Desktop com Microsoft</w:t>
            </w:r>
            <w:bookmarkStart w:id="922" w:name="_Toc236810936"/>
            <w:r w:rsidRPr="000A1C8E">
              <w:rPr>
                <w:rFonts w:cs="Tahoma"/>
                <w:color w:val="000000"/>
                <w:szCs w:val="18"/>
              </w:rPr>
              <w:t xml:space="preserve"> Desktop Optimization Pack </w:t>
            </w:r>
            <w:bookmarkEnd w:id="922"/>
          </w:p>
        </w:tc>
        <w:tc>
          <w:tcPr>
            <w:tcW w:w="4230" w:type="dxa"/>
            <w:tcMar>
              <w:top w:w="0" w:type="dxa"/>
              <w:left w:w="108" w:type="dxa"/>
              <w:bottom w:w="0" w:type="dxa"/>
              <w:right w:w="108" w:type="dxa"/>
            </w:tcMar>
            <w:hideMark/>
          </w:tcPr>
          <w:p w:rsidR="008925CF" w:rsidRPr="000A1C8E" w:rsidRDefault="008925CF" w:rsidP="00554A35">
            <w:pPr>
              <w:rPr>
                <w:rFonts w:cs="Tahoma"/>
                <w:color w:val="000000"/>
                <w:szCs w:val="18"/>
              </w:rPr>
            </w:pPr>
            <w:r w:rsidRPr="000A1C8E">
              <w:rPr>
                <w:rFonts w:cs="Tahoma"/>
                <w:color w:val="000000"/>
                <w:szCs w:val="18"/>
              </w:rPr>
              <w:t>Desktop Empresarial com Microsoft Desktop Optimization Pack</w:t>
            </w:r>
          </w:p>
        </w:tc>
      </w:tr>
      <w:tr w:rsidR="009F254F" w:rsidRPr="000A1C8E" w:rsidTr="001E3F7D">
        <w:tc>
          <w:tcPr>
            <w:tcW w:w="4230" w:type="dxa"/>
            <w:tcMar>
              <w:top w:w="0" w:type="dxa"/>
              <w:left w:w="108" w:type="dxa"/>
              <w:bottom w:w="0" w:type="dxa"/>
              <w:right w:w="108" w:type="dxa"/>
            </w:tcMar>
            <w:hideMark/>
          </w:tcPr>
          <w:p w:rsidR="009F254F" w:rsidRPr="000A1C8E" w:rsidRDefault="009F254F" w:rsidP="00CA4488">
            <w:pPr>
              <w:rPr>
                <w:rFonts w:eastAsia="Calibri" w:cs="Tahoma"/>
                <w:color w:val="000000"/>
                <w:szCs w:val="18"/>
              </w:rPr>
            </w:pPr>
            <w:r w:rsidRPr="000A1C8E">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0A1C8E" w:rsidRDefault="009F254F" w:rsidP="00CA4488">
            <w:pPr>
              <w:rPr>
                <w:rFonts w:eastAsia="Calibri" w:cs="Tahoma"/>
                <w:color w:val="000000"/>
                <w:szCs w:val="18"/>
              </w:rPr>
            </w:pPr>
            <w:r w:rsidRPr="000A1C8E">
              <w:rPr>
                <w:rFonts w:cs="Tahoma"/>
                <w:color w:val="000000"/>
                <w:szCs w:val="18"/>
              </w:rPr>
              <w:t xml:space="preserve">Project Professional </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color w:val="000000"/>
                <w:szCs w:val="18"/>
              </w:rPr>
            </w:pPr>
            <w:r w:rsidRPr="000A1C8E">
              <w:rPr>
                <w:rFonts w:cs="Tahoma"/>
                <w:color w:val="000000"/>
                <w:szCs w:val="18"/>
              </w:rPr>
              <w:t>SQL Server™ Standard Core</w:t>
            </w:r>
          </w:p>
        </w:tc>
        <w:tc>
          <w:tcPr>
            <w:tcW w:w="4230" w:type="dxa"/>
            <w:tcMar>
              <w:top w:w="0" w:type="dxa"/>
              <w:left w:w="108" w:type="dxa"/>
              <w:bottom w:w="0" w:type="dxa"/>
              <w:right w:w="108" w:type="dxa"/>
            </w:tcMar>
            <w:hideMark/>
          </w:tcPr>
          <w:p w:rsidR="003573CD" w:rsidRPr="000A1C8E" w:rsidRDefault="003573CD" w:rsidP="00554A35">
            <w:pPr>
              <w:rPr>
                <w:rFonts w:eastAsia="Calibri" w:cs="Tahoma"/>
                <w:color w:val="000000"/>
                <w:szCs w:val="18"/>
              </w:rPr>
            </w:pPr>
            <w:r w:rsidRPr="000A1C8E">
              <w:rPr>
                <w:rFonts w:cs="Tahoma"/>
                <w:color w:val="000000"/>
                <w:szCs w:val="18"/>
              </w:rPr>
              <w:t>SQL Server™ Enterprise Core</w:t>
            </w:r>
          </w:p>
        </w:tc>
      </w:tr>
      <w:tr w:rsidR="00270F92" w:rsidRPr="000A1C8E" w:rsidTr="001E3F7D">
        <w:tc>
          <w:tcPr>
            <w:tcW w:w="4230" w:type="dxa"/>
            <w:tcMar>
              <w:top w:w="0" w:type="dxa"/>
              <w:left w:w="108" w:type="dxa"/>
              <w:bottom w:w="0" w:type="dxa"/>
              <w:right w:w="108" w:type="dxa"/>
            </w:tcMar>
            <w:hideMark/>
          </w:tcPr>
          <w:p w:rsidR="00270F92" w:rsidRPr="000A1C8E" w:rsidRDefault="00BD3A67" w:rsidP="00270F92">
            <w:pPr>
              <w:rPr>
                <w:rFonts w:eastAsia="Calibri" w:cs="Tahoma"/>
                <w:szCs w:val="18"/>
              </w:rPr>
            </w:pPr>
            <w:r>
              <w:rPr>
                <w:rFonts w:cs="Tahoma"/>
                <w:szCs w:val="18"/>
              </w:rPr>
              <w:t>SQL Server</w:t>
            </w:r>
            <w:r w:rsidR="00270F92" w:rsidRPr="000A1C8E">
              <w:rPr>
                <w:rFonts w:cs="Tahoma"/>
                <w:szCs w:val="18"/>
              </w:rPr>
              <w:t xml:space="preserve">™ </w:t>
            </w:r>
            <w:r w:rsidR="00270F92" w:rsidRPr="000A1C8E">
              <w:rPr>
                <w:rFonts w:cs="Tahoma"/>
                <w:color w:val="000000"/>
                <w:szCs w:val="18"/>
              </w:rPr>
              <w:t>Standard</w:t>
            </w:r>
          </w:p>
        </w:tc>
        <w:tc>
          <w:tcPr>
            <w:tcW w:w="4230" w:type="dxa"/>
            <w:tcMar>
              <w:top w:w="0" w:type="dxa"/>
              <w:left w:w="108" w:type="dxa"/>
              <w:bottom w:w="0" w:type="dxa"/>
              <w:right w:w="108" w:type="dxa"/>
            </w:tcMar>
            <w:hideMark/>
          </w:tcPr>
          <w:p w:rsidR="00270F92" w:rsidRPr="000A1C8E" w:rsidRDefault="00270F92" w:rsidP="00BB516F">
            <w:pPr>
              <w:rPr>
                <w:rFonts w:eastAsia="Calibri" w:cs="Tahoma"/>
                <w:szCs w:val="18"/>
              </w:rPr>
            </w:pPr>
            <w:r w:rsidRPr="000A1C8E">
              <w:rPr>
                <w:rFonts w:cs="Tahoma"/>
                <w:szCs w:val="18"/>
              </w:rPr>
              <w:t>SQL Server™ Business Intelligence</w:t>
            </w:r>
          </w:p>
        </w:tc>
      </w:tr>
      <w:tr w:rsidR="003573CD" w:rsidRPr="000A1C8E" w:rsidTr="001E3F7D">
        <w:tc>
          <w:tcPr>
            <w:tcW w:w="4230" w:type="dxa"/>
            <w:tcMar>
              <w:top w:w="0" w:type="dxa"/>
              <w:left w:w="108" w:type="dxa"/>
              <w:bottom w:w="0" w:type="dxa"/>
              <w:right w:w="108" w:type="dxa"/>
            </w:tcMar>
            <w:hideMark/>
          </w:tcPr>
          <w:p w:rsidR="003573CD" w:rsidRPr="000A1C8E" w:rsidRDefault="00D04131" w:rsidP="00554A35">
            <w:pPr>
              <w:rPr>
                <w:rFonts w:eastAsia="Calibri" w:cs="Tahoma"/>
                <w:szCs w:val="18"/>
              </w:rPr>
            </w:pPr>
            <w:r w:rsidRPr="000A1C8E">
              <w:rPr>
                <w:rFonts w:cs="Tahoma"/>
                <w:szCs w:val="18"/>
              </w:rPr>
              <w:t>System Center 2012 Standard</w:t>
            </w:r>
          </w:p>
        </w:tc>
        <w:tc>
          <w:tcPr>
            <w:tcW w:w="4230" w:type="dxa"/>
            <w:tcMar>
              <w:top w:w="0" w:type="dxa"/>
              <w:left w:w="108" w:type="dxa"/>
              <w:bottom w:w="0" w:type="dxa"/>
              <w:right w:w="108" w:type="dxa"/>
            </w:tcMar>
            <w:hideMark/>
          </w:tcPr>
          <w:p w:rsidR="003573CD" w:rsidRPr="000A1C8E" w:rsidRDefault="00D04131" w:rsidP="00554A35">
            <w:pPr>
              <w:rPr>
                <w:rFonts w:eastAsia="Calibri" w:cs="Tahoma"/>
                <w:szCs w:val="18"/>
              </w:rPr>
            </w:pPr>
            <w:r w:rsidRPr="000A1C8E">
              <w:rPr>
                <w:rFonts w:cs="Tahoma"/>
                <w:szCs w:val="18"/>
              </w:rPr>
              <w:t>System Center 2012 Datacenter</w:t>
            </w:r>
          </w:p>
        </w:tc>
      </w:tr>
      <w:tr w:rsidR="009F254F" w:rsidRPr="000A1C8E" w:rsidTr="001E3F7D">
        <w:tc>
          <w:tcPr>
            <w:tcW w:w="4230" w:type="dxa"/>
            <w:tcMar>
              <w:top w:w="0" w:type="dxa"/>
              <w:left w:w="108" w:type="dxa"/>
              <w:bottom w:w="0" w:type="dxa"/>
              <w:right w:w="108" w:type="dxa"/>
            </w:tcMar>
            <w:hideMark/>
          </w:tcPr>
          <w:p w:rsidR="009F254F" w:rsidRPr="000A1C8E" w:rsidRDefault="009F254F" w:rsidP="00CA4488">
            <w:pPr>
              <w:rPr>
                <w:rFonts w:eastAsia="Calibri" w:cs="Tahoma"/>
                <w:color w:val="000000"/>
                <w:szCs w:val="18"/>
              </w:rPr>
            </w:pPr>
            <w:r w:rsidRPr="000A1C8E">
              <w:rPr>
                <w:rFonts w:cs="Tahoma"/>
                <w:color w:val="000000"/>
                <w:szCs w:val="18"/>
              </w:rPr>
              <w:t>Visio</w:t>
            </w:r>
            <w:r w:rsidR="00C83286" w:rsidRPr="000A1C8E">
              <w:rPr>
                <w:rFonts w:cs="Tahoma"/>
                <w:color w:val="000000"/>
                <w:szCs w:val="18"/>
                <w:vertAlign w:val="superscript"/>
              </w:rPr>
              <w:t>®</w:t>
            </w:r>
            <w:r w:rsidRPr="000A1C8E">
              <w:rPr>
                <w:rFonts w:cs="Tahoma"/>
                <w:color w:val="000000"/>
                <w:szCs w:val="18"/>
              </w:rPr>
              <w:t xml:space="preserve"> Standard</w:t>
            </w:r>
          </w:p>
        </w:tc>
        <w:tc>
          <w:tcPr>
            <w:tcW w:w="4230" w:type="dxa"/>
            <w:tcMar>
              <w:top w:w="0" w:type="dxa"/>
              <w:left w:w="108" w:type="dxa"/>
              <w:bottom w:w="0" w:type="dxa"/>
              <w:right w:w="108" w:type="dxa"/>
            </w:tcMar>
            <w:hideMark/>
          </w:tcPr>
          <w:p w:rsidR="009F254F" w:rsidRPr="000A1C8E" w:rsidRDefault="009F254F" w:rsidP="00CA4488">
            <w:pPr>
              <w:rPr>
                <w:rFonts w:eastAsia="Calibri" w:cs="Tahoma"/>
                <w:color w:val="000000"/>
                <w:szCs w:val="18"/>
              </w:rPr>
            </w:pPr>
            <w:r w:rsidRPr="000A1C8E">
              <w:rPr>
                <w:rFonts w:cs="Tahoma"/>
                <w:color w:val="000000"/>
                <w:szCs w:val="18"/>
              </w:rPr>
              <w:t>Visio</w:t>
            </w:r>
            <w:r w:rsidR="00C83286" w:rsidRPr="000A1C8E">
              <w:rPr>
                <w:rFonts w:cs="Tahoma"/>
                <w:color w:val="000000"/>
                <w:szCs w:val="18"/>
                <w:vertAlign w:val="superscript"/>
              </w:rPr>
              <w:t>®</w:t>
            </w:r>
            <w:r w:rsidRPr="000A1C8E">
              <w:rPr>
                <w:rFonts w:cs="Tahoma"/>
                <w:color w:val="000000"/>
                <w:szCs w:val="18"/>
              </w:rPr>
              <w:t xml:space="preserve"> Professional</w:t>
            </w:r>
          </w:p>
        </w:tc>
      </w:tr>
      <w:tr w:rsidR="009F254F" w:rsidRPr="000A1C8E" w:rsidTr="001E3F7D">
        <w:tc>
          <w:tcPr>
            <w:tcW w:w="4230" w:type="dxa"/>
            <w:tcMar>
              <w:top w:w="0" w:type="dxa"/>
              <w:left w:w="108" w:type="dxa"/>
              <w:bottom w:w="0" w:type="dxa"/>
              <w:right w:w="108" w:type="dxa"/>
            </w:tcMar>
            <w:hideMark/>
          </w:tcPr>
          <w:p w:rsidR="009F254F" w:rsidRPr="000A1C8E" w:rsidRDefault="009F254F" w:rsidP="00CA4488">
            <w:pPr>
              <w:rPr>
                <w:rFonts w:eastAsia="Calibri" w:cs="Tahoma"/>
                <w:color w:val="000000"/>
                <w:szCs w:val="18"/>
              </w:rPr>
            </w:pPr>
            <w:r w:rsidRPr="000A1C8E">
              <w:rPr>
                <w:rFonts w:cs="Tahoma"/>
                <w:color w:val="000000"/>
                <w:szCs w:val="18"/>
              </w:rPr>
              <w:t>Visual Studio Professional com MSDN</w:t>
            </w:r>
          </w:p>
        </w:tc>
        <w:tc>
          <w:tcPr>
            <w:tcW w:w="4230" w:type="dxa"/>
            <w:tcMar>
              <w:top w:w="0" w:type="dxa"/>
              <w:left w:w="108" w:type="dxa"/>
              <w:bottom w:w="0" w:type="dxa"/>
              <w:right w:w="108" w:type="dxa"/>
            </w:tcMar>
            <w:hideMark/>
          </w:tcPr>
          <w:p w:rsidR="009F254F" w:rsidRPr="000A1C8E" w:rsidRDefault="009F254F" w:rsidP="00CA4488">
            <w:pPr>
              <w:rPr>
                <w:rFonts w:eastAsia="Calibri" w:cs="Tahoma"/>
                <w:color w:val="000000"/>
                <w:szCs w:val="18"/>
              </w:rPr>
            </w:pPr>
            <w:r w:rsidRPr="000A1C8E">
              <w:rPr>
                <w:rFonts w:cs="Tahoma"/>
                <w:color w:val="000000"/>
                <w:szCs w:val="18"/>
              </w:rPr>
              <w:t>Visual Studio Premium com MSDN</w:t>
            </w:r>
          </w:p>
        </w:tc>
      </w:tr>
      <w:tr w:rsidR="009F254F" w:rsidRPr="000A1C8E" w:rsidTr="001E3F7D">
        <w:tc>
          <w:tcPr>
            <w:tcW w:w="4230" w:type="dxa"/>
            <w:tcMar>
              <w:top w:w="0" w:type="dxa"/>
              <w:left w:w="108" w:type="dxa"/>
              <w:bottom w:w="0" w:type="dxa"/>
              <w:right w:w="108" w:type="dxa"/>
            </w:tcMar>
            <w:hideMark/>
          </w:tcPr>
          <w:p w:rsidR="009F254F" w:rsidRPr="000A1C8E" w:rsidRDefault="009F254F" w:rsidP="00CA4488">
            <w:pPr>
              <w:rPr>
                <w:rFonts w:eastAsia="Calibri" w:cs="Tahoma"/>
                <w:szCs w:val="18"/>
              </w:rPr>
            </w:pPr>
            <w:r w:rsidRPr="000A1C8E">
              <w:rPr>
                <w:rFonts w:cs="Tahoma"/>
                <w:szCs w:val="18"/>
              </w:rPr>
              <w:t>Visual Studio Premium com MSDN</w:t>
            </w:r>
          </w:p>
        </w:tc>
        <w:tc>
          <w:tcPr>
            <w:tcW w:w="4230" w:type="dxa"/>
            <w:tcMar>
              <w:top w:w="0" w:type="dxa"/>
              <w:left w:w="108" w:type="dxa"/>
              <w:bottom w:w="0" w:type="dxa"/>
              <w:right w:w="108" w:type="dxa"/>
            </w:tcMar>
            <w:hideMark/>
          </w:tcPr>
          <w:p w:rsidR="009F254F" w:rsidRPr="000A1C8E" w:rsidRDefault="009F254F" w:rsidP="00CA4488">
            <w:pPr>
              <w:rPr>
                <w:rFonts w:eastAsia="Calibri" w:cs="Tahoma"/>
                <w:szCs w:val="18"/>
              </w:rPr>
            </w:pPr>
            <w:r w:rsidRPr="000A1C8E">
              <w:rPr>
                <w:rFonts w:cs="Tahoma"/>
                <w:szCs w:val="18"/>
              </w:rPr>
              <w:t>Visual Studio Ultimate com MSDN</w:t>
            </w:r>
          </w:p>
        </w:tc>
      </w:tr>
      <w:tr w:rsidR="009F254F" w:rsidRPr="000A1C8E" w:rsidTr="001E3F7D">
        <w:tc>
          <w:tcPr>
            <w:tcW w:w="4230" w:type="dxa"/>
            <w:tcMar>
              <w:top w:w="0" w:type="dxa"/>
              <w:left w:w="108" w:type="dxa"/>
              <w:bottom w:w="0" w:type="dxa"/>
              <w:right w:w="108" w:type="dxa"/>
            </w:tcMar>
            <w:hideMark/>
          </w:tcPr>
          <w:p w:rsidR="009F254F" w:rsidRPr="000A1C8E" w:rsidRDefault="009F254F" w:rsidP="00CA4488">
            <w:pPr>
              <w:rPr>
                <w:rFonts w:eastAsia="Calibri" w:cs="Tahoma"/>
                <w:szCs w:val="18"/>
              </w:rPr>
            </w:pPr>
            <w:r w:rsidRPr="000A1C8E">
              <w:rPr>
                <w:rFonts w:cs="Tahoma"/>
                <w:szCs w:val="18"/>
              </w:rPr>
              <w:t>Visual Studio Test Professional com MSDN</w:t>
            </w:r>
          </w:p>
        </w:tc>
        <w:tc>
          <w:tcPr>
            <w:tcW w:w="4230" w:type="dxa"/>
            <w:tcMar>
              <w:top w:w="0" w:type="dxa"/>
              <w:left w:w="108" w:type="dxa"/>
              <w:bottom w:w="0" w:type="dxa"/>
              <w:right w:w="108" w:type="dxa"/>
            </w:tcMar>
            <w:hideMark/>
          </w:tcPr>
          <w:p w:rsidR="009F254F" w:rsidRPr="000A1C8E" w:rsidRDefault="009F254F" w:rsidP="007E710C">
            <w:pPr>
              <w:rPr>
                <w:rFonts w:eastAsia="Calibri" w:cs="Tahoma"/>
                <w:szCs w:val="18"/>
              </w:rPr>
            </w:pPr>
            <w:r w:rsidRPr="000A1C8E">
              <w:rPr>
                <w:rFonts w:cs="Tahoma"/>
                <w:szCs w:val="18"/>
              </w:rPr>
              <w:t>Visual Studio Premium com MSDN</w:t>
            </w:r>
          </w:p>
        </w:tc>
      </w:tr>
      <w:tr w:rsidR="003573CD" w:rsidRPr="000A1C8E" w:rsidTr="001E3F7D">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Windows</w:t>
            </w:r>
            <w:r w:rsidR="00C83286" w:rsidRPr="000A1C8E">
              <w:rPr>
                <w:rFonts w:cs="Tahoma"/>
                <w:szCs w:val="18"/>
                <w:vertAlign w:val="superscript"/>
              </w:rPr>
              <w:t>®</w:t>
            </w:r>
            <w:r w:rsidRPr="000A1C8E">
              <w:rPr>
                <w:rFonts w:cs="Tahoma"/>
                <w:szCs w:val="18"/>
              </w:rPr>
              <w:t xml:space="preserve"> Server™ Standard</w:t>
            </w:r>
          </w:p>
        </w:tc>
        <w:tc>
          <w:tcPr>
            <w:tcW w:w="4230" w:type="dxa"/>
            <w:tcMar>
              <w:top w:w="0" w:type="dxa"/>
              <w:left w:w="108" w:type="dxa"/>
              <w:bottom w:w="0" w:type="dxa"/>
              <w:right w:w="108" w:type="dxa"/>
            </w:tcMar>
            <w:hideMark/>
          </w:tcPr>
          <w:p w:rsidR="003573CD" w:rsidRPr="000A1C8E" w:rsidRDefault="003573CD" w:rsidP="00554A35">
            <w:pPr>
              <w:rPr>
                <w:rFonts w:eastAsia="Calibri" w:cs="Tahoma"/>
                <w:szCs w:val="18"/>
              </w:rPr>
            </w:pPr>
            <w:r w:rsidRPr="000A1C8E">
              <w:rPr>
                <w:rFonts w:cs="Tahoma"/>
                <w:szCs w:val="18"/>
              </w:rPr>
              <w:t>Windows</w:t>
            </w:r>
            <w:r w:rsidR="00C83286" w:rsidRPr="000A1C8E">
              <w:rPr>
                <w:rFonts w:cs="Tahoma"/>
                <w:szCs w:val="18"/>
                <w:vertAlign w:val="superscript"/>
              </w:rPr>
              <w:t>®</w:t>
            </w:r>
            <w:r w:rsidRPr="000A1C8E">
              <w:rPr>
                <w:rFonts w:cs="Tahoma"/>
                <w:szCs w:val="18"/>
              </w:rPr>
              <w:t xml:space="preserve"> Server™ Datacenter</w:t>
            </w:r>
          </w:p>
        </w:tc>
      </w:tr>
    </w:tbl>
    <w:p w:rsidR="003573CD" w:rsidRPr="00BD3A67" w:rsidRDefault="003573CD" w:rsidP="00AF1D88">
      <w:pPr>
        <w:pStyle w:val="AppendixBodyText"/>
        <w:rPr>
          <w:rFonts w:ascii="Tahoma" w:hAnsi="Tahoma" w:cs="Tahoma"/>
          <w:sz w:val="16"/>
          <w:szCs w:val="16"/>
        </w:rPr>
      </w:pPr>
      <w:r w:rsidRPr="00BD3A67">
        <w:rPr>
          <w:rFonts w:ascii="Tahoma" w:hAnsi="Tahoma" w:cs="Tahoma"/>
          <w:b/>
          <w:i/>
          <w:sz w:val="16"/>
          <w:szCs w:val="16"/>
        </w:rPr>
        <w:t>*Observação:</w:t>
      </w:r>
      <w:r w:rsidRPr="00BD3A67">
        <w:rPr>
          <w:rFonts w:ascii="Tahoma" w:hAnsi="Tahoma" w:cs="Tahoma"/>
          <w:i/>
          <w:sz w:val="16"/>
          <w:szCs w:val="16"/>
        </w:rPr>
        <w:t xml:space="preserve"> a lista de produtos para os quais as Licenças Step-up estão disponíveis está sujeita a alteração.</w:t>
      </w:r>
    </w:p>
    <w:p w:rsidR="00023FE7" w:rsidRPr="000A1C8E" w:rsidRDefault="00CA395A" w:rsidP="00B92A28">
      <w:pPr>
        <w:pStyle w:val="Heading1"/>
        <w:rPr>
          <w:rFonts w:cs="Tahoma"/>
        </w:rPr>
      </w:pPr>
      <w:bookmarkStart w:id="923" w:name="_Toc317591256"/>
      <w:bookmarkStart w:id="924" w:name="_Toc336338247"/>
      <w:bookmarkStart w:id="925" w:name="_Toc361829331"/>
      <w:r w:rsidRPr="000A1C8E">
        <w:rPr>
          <w:rFonts w:cs="Tahoma"/>
        </w:rPr>
        <w:lastRenderedPageBreak/>
        <w:t xml:space="preserve">SEÇÃO 8 </w:t>
      </w:r>
      <w:r w:rsidR="00B92A28" w:rsidRPr="007C5B54">
        <w:rPr>
          <w:noProof/>
        </w:rPr>
        <w:t>–</w:t>
      </w:r>
      <w:r w:rsidRPr="000A1C8E">
        <w:rPr>
          <w:rFonts w:cs="Tahoma"/>
        </w:rPr>
        <w:t xml:space="preserve"> ServiÇOS</w:t>
      </w:r>
      <w:bookmarkEnd w:id="923"/>
      <w:bookmarkEnd w:id="924"/>
      <w:bookmarkEnd w:id="925"/>
    </w:p>
    <w:p w:rsidR="00023FE7" w:rsidRPr="000A1C8E" w:rsidRDefault="00023FE7">
      <w:pPr>
        <w:rPr>
          <w:rFonts w:cs="Tahoma"/>
        </w:rPr>
      </w:pPr>
    </w:p>
    <w:p w:rsidR="00DD7F8E" w:rsidRPr="000A1C8E" w:rsidRDefault="00DD7F8E" w:rsidP="00607FE8">
      <w:pPr>
        <w:jc w:val="both"/>
        <w:rPr>
          <w:rFonts w:cs="Tahoma"/>
        </w:rPr>
      </w:pPr>
      <w:r w:rsidRPr="000A1C8E">
        <w:rPr>
          <w:rFonts w:eastAsia="Times New Roman" w:cs="Tahoma"/>
          <w:szCs w:val="20"/>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w:t>
      </w:r>
      <w:r w:rsidR="00DC6D8B" w:rsidRPr="000A1C8E">
        <w:rPr>
          <w:rFonts w:eastAsia="Times New Roman" w:cs="Tahoma"/>
          <w:szCs w:val="20"/>
        </w:rPr>
        <w:t xml:space="preserve"> </w:t>
      </w:r>
      <w:r w:rsidRPr="000A1C8E">
        <w:rPr>
          <w:rFonts w:cs="Tahoma"/>
          <w:color w:val="000000"/>
          <w:szCs w:val="18"/>
        </w:rPr>
        <w:t>Se o contrato de licença por volume ou os termos dos Serviços de nível master do cliente não contiverem a Propriedade dos Serviços e a linguagem da Licença, o Uso, a propriedade e os direitos de licença estabelecidos nos Termos e Condições de Serviços Adicionais a seguir serão aplicáveis.</w:t>
      </w:r>
      <w:r w:rsidR="00DC6D8B" w:rsidRPr="000A1C8E">
        <w:rPr>
          <w:rFonts w:cs="Tahoma"/>
          <w:color w:val="000000"/>
          <w:szCs w:val="18"/>
        </w:rPr>
        <w:t xml:space="preserve"> </w:t>
      </w:r>
      <w:r w:rsidRPr="000A1C8E">
        <w:rPr>
          <w:rFonts w:eastAsia="Times New Roman" w:cs="Tahoma"/>
          <w:szCs w:val="20"/>
        </w:rPr>
        <w:t>Se o cliente não tiver um contrato de Serviços de nível master com a Microsoft, todos os Termos e Condições de Serviços Adicionais a seguir serão aplicados.</w:t>
      </w:r>
    </w:p>
    <w:p w:rsidR="00DD7F8E" w:rsidRPr="000A1C8E" w:rsidRDefault="00DD7F8E" w:rsidP="00607FE8">
      <w:pPr>
        <w:jc w:val="both"/>
        <w:rPr>
          <w:rFonts w:cs="Tahoma"/>
        </w:rPr>
      </w:pPr>
    </w:p>
    <w:p w:rsidR="00DD7F8E" w:rsidRPr="000A1C8E" w:rsidRDefault="00DD7F8E" w:rsidP="00845EE4">
      <w:pPr>
        <w:spacing w:after="75"/>
        <w:rPr>
          <w:rFonts w:cs="Tahoma"/>
        </w:rPr>
      </w:pPr>
      <w:r w:rsidRPr="000A1C8E">
        <w:rPr>
          <w:rFonts w:eastAsia="Times New Roman" w:cs="Tahoma"/>
          <w:szCs w:val="20"/>
        </w:rPr>
        <w:t>Uma descrição detalhada de todos os Serviços dos quais os clientes podem adquirir o direito é fornecida na seção a</w:t>
      </w:r>
      <w:r w:rsidR="00845EE4" w:rsidRPr="000A1C8E">
        <w:rPr>
          <w:rFonts w:eastAsia="Times New Roman" w:cs="Tahoma"/>
          <w:szCs w:val="20"/>
        </w:rPr>
        <w:t> </w:t>
      </w:r>
      <w:r w:rsidRPr="000A1C8E">
        <w:rPr>
          <w:rFonts w:eastAsia="Times New Roman" w:cs="Tahoma"/>
          <w:szCs w:val="20"/>
        </w:rPr>
        <w:t xml:space="preserve">seguir. </w:t>
      </w:r>
    </w:p>
    <w:p w:rsidR="00DD7F8E" w:rsidRPr="000A1C8E" w:rsidRDefault="00DD7F8E" w:rsidP="0033459E">
      <w:pPr>
        <w:spacing w:after="75"/>
        <w:rPr>
          <w:rFonts w:cs="Tahoma"/>
        </w:rPr>
      </w:pPr>
      <w:r w:rsidRPr="000A1C8E">
        <w:rPr>
          <w:rFonts w:eastAsia="Times New Roman" w:cs="Tahoma"/>
          <w:szCs w:val="20"/>
        </w:rP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w:t>
      </w:r>
      <w:r w:rsidR="0033459E" w:rsidRPr="000A1C8E">
        <w:rPr>
          <w:rFonts w:eastAsia="Times New Roman" w:cs="Tahoma"/>
          <w:szCs w:val="20"/>
        </w:rPr>
        <w:t> </w:t>
      </w:r>
      <w:r w:rsidRPr="000A1C8E">
        <w:rPr>
          <w:rFonts w:eastAsia="Times New Roman" w:cs="Tahoma"/>
          <w:szCs w:val="20"/>
        </w:rPr>
        <w:t>disponibilidade regional de uma oferta específica.</w:t>
      </w:r>
    </w:p>
    <w:p w:rsidR="00F42FB8" w:rsidRPr="000A1C8E" w:rsidRDefault="00F42FB8" w:rsidP="00DD7F8E">
      <w:pPr>
        <w:rPr>
          <w:rFonts w:cs="Tahoma"/>
        </w:rPr>
      </w:pPr>
    </w:p>
    <w:p w:rsidR="00DD7F8E" w:rsidRPr="000A1C8E" w:rsidRDefault="00DD7F8E" w:rsidP="00DD7F8E">
      <w:pPr>
        <w:rPr>
          <w:rFonts w:cs="Tahoma"/>
          <w:sz w:val="24"/>
          <w:szCs w:val="24"/>
        </w:rPr>
      </w:pPr>
      <w:r w:rsidRPr="000A1C8E">
        <w:rPr>
          <w:rFonts w:cs="Tahoma"/>
          <w:b/>
          <w:sz w:val="24"/>
          <w:szCs w:val="24"/>
        </w:rPr>
        <w:t>Ofertas de Suporte do Microsoft Premier</w:t>
      </w:r>
    </w:p>
    <w:p w:rsidR="00DB2D1E" w:rsidRPr="000A1C8E"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0A1C8E" w:rsidTr="002A6416">
        <w:tc>
          <w:tcPr>
            <w:tcW w:w="3168" w:type="dxa"/>
            <w:shd w:val="clear" w:color="auto" w:fill="FABF8F"/>
            <w:vAlign w:val="center"/>
          </w:tcPr>
          <w:p w:rsidR="00DB2D1E" w:rsidRPr="000A1C8E" w:rsidRDefault="00DB2D1E" w:rsidP="00DE73D4">
            <w:pPr>
              <w:jc w:val="center"/>
              <w:rPr>
                <w:rFonts w:cs="Tahoma"/>
                <w:color w:val="000000"/>
                <w:szCs w:val="18"/>
              </w:rPr>
            </w:pPr>
            <w:r w:rsidRPr="000A1C8E">
              <w:rPr>
                <w:rFonts w:cs="Tahoma"/>
                <w:b/>
                <w:bCs/>
                <w:color w:val="000000"/>
                <w:sz w:val="20"/>
                <w:szCs w:val="18"/>
              </w:rPr>
              <w:t xml:space="preserve">Área </w:t>
            </w:r>
            <w:r w:rsidRPr="000A1C8E">
              <w:rPr>
                <w:rFonts w:cs="Tahoma"/>
                <w:b/>
                <w:bCs/>
                <w:color w:val="000000"/>
                <w:sz w:val="20"/>
                <w:szCs w:val="18"/>
                <w:vertAlign w:val="superscript"/>
              </w:rPr>
              <w:t>1</w:t>
            </w:r>
          </w:p>
        </w:tc>
        <w:tc>
          <w:tcPr>
            <w:tcW w:w="1580" w:type="dxa"/>
            <w:shd w:val="clear" w:color="auto" w:fill="FABF8F"/>
            <w:vAlign w:val="center"/>
          </w:tcPr>
          <w:p w:rsidR="00DB2D1E" w:rsidRPr="000A1C8E" w:rsidRDefault="00DB2D1E" w:rsidP="00DE73D4">
            <w:pPr>
              <w:jc w:val="center"/>
              <w:rPr>
                <w:rFonts w:cs="Tahoma"/>
                <w:color w:val="000000"/>
                <w:sz w:val="20"/>
                <w:szCs w:val="20"/>
              </w:rPr>
            </w:pPr>
            <w:r w:rsidRPr="000A1C8E">
              <w:rPr>
                <w:rFonts w:cs="Tahoma"/>
                <w:b/>
                <w:bCs/>
                <w:color w:val="000000"/>
                <w:sz w:val="20"/>
                <w:szCs w:val="20"/>
              </w:rPr>
              <w:t>Premier Core</w:t>
            </w:r>
          </w:p>
        </w:tc>
        <w:tc>
          <w:tcPr>
            <w:tcW w:w="1444" w:type="dxa"/>
            <w:shd w:val="clear" w:color="auto" w:fill="FABF8F"/>
          </w:tcPr>
          <w:p w:rsidR="00DB2D1E" w:rsidRPr="000A1C8E" w:rsidRDefault="00DB2D1E" w:rsidP="00DE73D4">
            <w:pPr>
              <w:jc w:val="center"/>
              <w:rPr>
                <w:rFonts w:cs="Tahoma"/>
                <w:b/>
                <w:bCs/>
                <w:color w:val="000000"/>
                <w:sz w:val="20"/>
                <w:szCs w:val="18"/>
              </w:rPr>
            </w:pPr>
            <w:r w:rsidRPr="000A1C8E">
              <w:rPr>
                <w:rFonts w:cs="Tahoma"/>
                <w:b/>
                <w:bCs/>
                <w:color w:val="000000"/>
                <w:sz w:val="20"/>
                <w:szCs w:val="18"/>
              </w:rPr>
              <w:t>Premier Foundation</w:t>
            </w:r>
          </w:p>
        </w:tc>
        <w:tc>
          <w:tcPr>
            <w:tcW w:w="1687" w:type="dxa"/>
            <w:shd w:val="clear" w:color="auto" w:fill="FABF8F"/>
            <w:vAlign w:val="center"/>
          </w:tcPr>
          <w:p w:rsidR="00DB2D1E" w:rsidRPr="000A1C8E" w:rsidRDefault="00DB2D1E" w:rsidP="00DE73D4">
            <w:pPr>
              <w:jc w:val="center"/>
              <w:rPr>
                <w:rFonts w:cs="Tahoma"/>
                <w:color w:val="000000"/>
                <w:szCs w:val="18"/>
              </w:rPr>
            </w:pPr>
            <w:r w:rsidRPr="000A1C8E">
              <w:rPr>
                <w:rFonts w:cs="Tahoma"/>
                <w:b/>
                <w:bCs/>
                <w:color w:val="000000"/>
                <w:sz w:val="20"/>
                <w:szCs w:val="18"/>
              </w:rPr>
              <w:t>Premier Standard</w:t>
            </w:r>
          </w:p>
        </w:tc>
        <w:tc>
          <w:tcPr>
            <w:tcW w:w="1589" w:type="dxa"/>
            <w:shd w:val="clear" w:color="auto" w:fill="FABF8F"/>
            <w:vAlign w:val="center"/>
          </w:tcPr>
          <w:p w:rsidR="00DB2D1E" w:rsidRPr="000A1C8E" w:rsidRDefault="00DB2D1E" w:rsidP="00DE73D4">
            <w:pPr>
              <w:jc w:val="center"/>
              <w:rPr>
                <w:rFonts w:cs="Tahoma"/>
                <w:color w:val="000000"/>
                <w:szCs w:val="18"/>
              </w:rPr>
            </w:pPr>
            <w:r w:rsidRPr="000A1C8E">
              <w:rPr>
                <w:rFonts w:cs="Tahoma"/>
                <w:b/>
                <w:bCs/>
                <w:color w:val="000000"/>
                <w:sz w:val="20"/>
                <w:szCs w:val="18"/>
              </w:rPr>
              <w:t>Premier Plus</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 xml:space="preserve">Gerenciamento de Conta de Suporte </w:t>
            </w:r>
          </w:p>
        </w:tc>
        <w:tc>
          <w:tcPr>
            <w:tcW w:w="1580"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444"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Criação de Perfil e Relatório de Conta</w:t>
            </w:r>
          </w:p>
        </w:tc>
        <w:tc>
          <w:tcPr>
            <w:tcW w:w="1580" w:type="dxa"/>
            <w:vAlign w:val="center"/>
          </w:tcPr>
          <w:p w:rsidR="00DB2D1E" w:rsidRPr="000A1C8E" w:rsidRDefault="00DB2D1E" w:rsidP="00DE73D4">
            <w:pPr>
              <w:jc w:val="center"/>
              <w:rPr>
                <w:rFonts w:cs="Tahoma"/>
                <w:color w:val="000000"/>
                <w:szCs w:val="18"/>
              </w:rPr>
            </w:pPr>
            <w:r w:rsidRPr="000A1C8E">
              <w:rPr>
                <w:rFonts w:cs="Tahoma"/>
                <w:color w:val="000000"/>
                <w:szCs w:val="18"/>
              </w:rPr>
              <w:t>Mensal</w:t>
            </w:r>
          </w:p>
        </w:tc>
        <w:tc>
          <w:tcPr>
            <w:tcW w:w="1444" w:type="dxa"/>
            <w:vAlign w:val="center"/>
          </w:tcPr>
          <w:p w:rsidR="00DB2D1E" w:rsidRPr="000A1C8E" w:rsidRDefault="00DB2D1E" w:rsidP="00DE73D4">
            <w:pPr>
              <w:jc w:val="center"/>
              <w:rPr>
                <w:rFonts w:cs="Tahoma"/>
                <w:color w:val="000000"/>
                <w:szCs w:val="18"/>
              </w:rPr>
            </w:pPr>
            <w:r w:rsidRPr="000A1C8E">
              <w:rPr>
                <w:rFonts w:cs="Tahoma"/>
                <w:color w:val="000000"/>
                <w:szCs w:val="18"/>
              </w:rPr>
              <w:t>Mensal</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Mensal</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Mensal</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Assistência de Suporte (horas alocadas anualmente)</w:t>
            </w:r>
          </w:p>
        </w:tc>
        <w:tc>
          <w:tcPr>
            <w:tcW w:w="1580" w:type="dxa"/>
            <w:vAlign w:val="center"/>
          </w:tcPr>
          <w:p w:rsidR="00DB2D1E" w:rsidRPr="000A1C8E" w:rsidRDefault="00DB2D1E" w:rsidP="00DE73D4">
            <w:pPr>
              <w:jc w:val="center"/>
              <w:rPr>
                <w:rFonts w:cs="Tahoma"/>
                <w:color w:val="000000"/>
                <w:szCs w:val="18"/>
              </w:rPr>
            </w:pPr>
            <w:r w:rsidRPr="000A1C8E">
              <w:rPr>
                <w:rFonts w:cs="Tahoma"/>
                <w:color w:val="000000"/>
                <w:szCs w:val="18"/>
              </w:rPr>
              <w:t>Até 10 horas</w:t>
            </w:r>
          </w:p>
        </w:tc>
        <w:tc>
          <w:tcPr>
            <w:tcW w:w="1444" w:type="dxa"/>
          </w:tcPr>
          <w:p w:rsidR="00DB2D1E" w:rsidRPr="000A1C8E" w:rsidRDefault="00DB2D1E" w:rsidP="00DE73D4">
            <w:pPr>
              <w:jc w:val="center"/>
              <w:rPr>
                <w:rFonts w:cs="Tahoma"/>
                <w:color w:val="000000"/>
                <w:szCs w:val="18"/>
              </w:rPr>
            </w:pPr>
            <w:r w:rsidRPr="000A1C8E">
              <w:rPr>
                <w:rFonts w:cs="Tahoma"/>
                <w:color w:val="000000"/>
                <w:szCs w:val="18"/>
              </w:rPr>
              <w:t>Até 10 horas</w:t>
            </w:r>
            <w:r w:rsidRPr="000A1C8E">
              <w:rPr>
                <w:rFonts w:cs="Tahoma"/>
                <w:color w:val="000000"/>
                <w:szCs w:val="18"/>
              </w:rPr>
              <w:br/>
              <w:t>+ 1 Verificação de Integridade</w:t>
            </w:r>
            <w:r w:rsidRPr="000A1C8E">
              <w:rPr>
                <w:rFonts w:cs="Tahoma"/>
                <w:color w:val="000000"/>
                <w:szCs w:val="18"/>
              </w:rPr>
              <w:br/>
              <w:t>+ 1 Workshop</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Até 120 horas</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Até 160 Horas</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Suporte para Resolução de Problemas - PRS (alocado anualmente)</w:t>
            </w:r>
          </w:p>
        </w:tc>
        <w:tc>
          <w:tcPr>
            <w:tcW w:w="1580" w:type="dxa"/>
            <w:vAlign w:val="center"/>
          </w:tcPr>
          <w:p w:rsidR="00DB2D1E" w:rsidRPr="000A1C8E" w:rsidRDefault="00DB2D1E" w:rsidP="00DE73D4">
            <w:pPr>
              <w:jc w:val="center"/>
              <w:rPr>
                <w:rFonts w:cs="Tahoma"/>
                <w:color w:val="000000"/>
                <w:szCs w:val="18"/>
              </w:rPr>
            </w:pPr>
            <w:r w:rsidRPr="000A1C8E">
              <w:rPr>
                <w:rFonts w:cs="Tahoma"/>
                <w:color w:val="000000"/>
                <w:szCs w:val="18"/>
              </w:rPr>
              <w:t>Até 40 horas</w:t>
            </w:r>
          </w:p>
        </w:tc>
        <w:tc>
          <w:tcPr>
            <w:tcW w:w="1444" w:type="dxa"/>
          </w:tcPr>
          <w:p w:rsidR="00DB2D1E" w:rsidRPr="000A1C8E" w:rsidRDefault="00DB2D1E" w:rsidP="00DE73D4">
            <w:pPr>
              <w:spacing w:before="120"/>
              <w:jc w:val="center"/>
              <w:rPr>
                <w:rFonts w:cs="Tahoma"/>
                <w:color w:val="000000"/>
                <w:szCs w:val="18"/>
              </w:rPr>
            </w:pPr>
            <w:r w:rsidRPr="000A1C8E">
              <w:rPr>
                <w:rFonts w:cs="Tahoma"/>
                <w:color w:val="000000"/>
                <w:szCs w:val="18"/>
              </w:rPr>
              <w:t>Até 30 horas</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Até 80 horas</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Até 140 Horas</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Gerenciamento de Escalonamento de Situação Crítica 24x7 (Severidade Nível 1)</w:t>
            </w:r>
          </w:p>
        </w:tc>
        <w:tc>
          <w:tcPr>
            <w:tcW w:w="1580"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444"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Suporte Rápido no Local</w:t>
            </w:r>
          </w:p>
        </w:tc>
        <w:tc>
          <w:tcPr>
            <w:tcW w:w="1580"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444"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Serviços de Informações Pró-ativos</w:t>
            </w:r>
          </w:p>
        </w:tc>
        <w:tc>
          <w:tcPr>
            <w:tcW w:w="1580"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444"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Microsoft Premier Online</w:t>
            </w:r>
          </w:p>
        </w:tc>
        <w:tc>
          <w:tcPr>
            <w:tcW w:w="1580"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444" w:type="dxa"/>
            <w:vAlign w:val="center"/>
          </w:tcPr>
          <w:p w:rsidR="00DB2D1E" w:rsidRPr="000A1C8E" w:rsidRDefault="00DB2D1E" w:rsidP="00DE73D4">
            <w:pPr>
              <w:jc w:val="center"/>
              <w:rPr>
                <w:rFonts w:cs="Tahoma"/>
                <w:color w:val="000000"/>
                <w:szCs w:val="18"/>
              </w:rPr>
            </w:pPr>
            <w:r w:rsidRPr="000A1C8E">
              <w:rPr>
                <w:rFonts w:ascii="MS UI Gothic" w:eastAsia="MS UI Gothic" w:hAnsi="MS UI Gothic" w:cs="MS UI Gothic" w:hint="eastAsia"/>
                <w:color w:val="000000"/>
                <w:szCs w:val="18"/>
              </w:rPr>
              <w:t>✓</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w:t>
            </w:r>
          </w:p>
        </w:tc>
      </w:tr>
      <w:tr w:rsidR="00DB2D1E" w:rsidRPr="000A1C8E" w:rsidTr="002A6416">
        <w:tc>
          <w:tcPr>
            <w:tcW w:w="3168" w:type="dxa"/>
            <w:vAlign w:val="center"/>
          </w:tcPr>
          <w:p w:rsidR="00DB2D1E" w:rsidRPr="000A1C8E" w:rsidRDefault="00DB2D1E" w:rsidP="00DE73D4">
            <w:pPr>
              <w:rPr>
                <w:rFonts w:cs="Tahoma"/>
                <w:color w:val="000000"/>
                <w:szCs w:val="18"/>
              </w:rPr>
            </w:pPr>
            <w:r w:rsidRPr="000A1C8E">
              <w:rPr>
                <w:rFonts w:cs="Tahoma"/>
                <w:color w:val="000000"/>
                <w:szCs w:val="18"/>
              </w:rPr>
              <w:t xml:space="preserve">Horas Complementares </w:t>
            </w:r>
          </w:p>
        </w:tc>
        <w:tc>
          <w:tcPr>
            <w:tcW w:w="1580" w:type="dxa"/>
            <w:vAlign w:val="center"/>
          </w:tcPr>
          <w:p w:rsidR="00DB2D1E" w:rsidRPr="000A1C8E" w:rsidRDefault="00DB2D1E" w:rsidP="00DE73D4">
            <w:pPr>
              <w:jc w:val="center"/>
              <w:rPr>
                <w:rFonts w:cs="Tahoma"/>
                <w:color w:val="000000"/>
                <w:szCs w:val="18"/>
              </w:rPr>
            </w:pPr>
            <w:r w:rsidRPr="000A1C8E">
              <w:rPr>
                <w:rFonts w:cs="Tahoma"/>
                <w:color w:val="000000"/>
                <w:szCs w:val="18"/>
              </w:rPr>
              <w:t>Pacotes de 20</w:t>
            </w:r>
          </w:p>
        </w:tc>
        <w:tc>
          <w:tcPr>
            <w:tcW w:w="1444" w:type="dxa"/>
            <w:vAlign w:val="center"/>
          </w:tcPr>
          <w:p w:rsidR="00DB2D1E" w:rsidRPr="000A1C8E" w:rsidRDefault="00DB2D1E" w:rsidP="00DE73D4">
            <w:pPr>
              <w:jc w:val="center"/>
              <w:rPr>
                <w:rFonts w:cs="Tahoma"/>
                <w:color w:val="000000"/>
                <w:szCs w:val="18"/>
              </w:rPr>
            </w:pPr>
            <w:r w:rsidRPr="000A1C8E">
              <w:rPr>
                <w:rFonts w:cs="Tahoma"/>
                <w:color w:val="000000"/>
                <w:szCs w:val="18"/>
              </w:rPr>
              <w:t>Pacotes de 20</w:t>
            </w:r>
          </w:p>
        </w:tc>
        <w:tc>
          <w:tcPr>
            <w:tcW w:w="1687" w:type="dxa"/>
            <w:vAlign w:val="center"/>
          </w:tcPr>
          <w:p w:rsidR="00DB2D1E" w:rsidRPr="000A1C8E" w:rsidRDefault="00DB2D1E" w:rsidP="00DE73D4">
            <w:pPr>
              <w:jc w:val="center"/>
              <w:rPr>
                <w:rFonts w:cs="Tahoma"/>
                <w:color w:val="000000"/>
                <w:szCs w:val="18"/>
              </w:rPr>
            </w:pPr>
            <w:r w:rsidRPr="000A1C8E">
              <w:rPr>
                <w:rFonts w:cs="Tahoma"/>
                <w:color w:val="000000"/>
                <w:szCs w:val="18"/>
              </w:rPr>
              <w:t>Pacotes de 20</w:t>
            </w:r>
          </w:p>
        </w:tc>
        <w:tc>
          <w:tcPr>
            <w:tcW w:w="1589" w:type="dxa"/>
            <w:vAlign w:val="center"/>
          </w:tcPr>
          <w:p w:rsidR="00DB2D1E" w:rsidRPr="000A1C8E" w:rsidRDefault="00DB2D1E" w:rsidP="00DE73D4">
            <w:pPr>
              <w:jc w:val="center"/>
              <w:rPr>
                <w:rFonts w:cs="Tahoma"/>
                <w:color w:val="000000"/>
                <w:szCs w:val="18"/>
              </w:rPr>
            </w:pPr>
            <w:r w:rsidRPr="000A1C8E">
              <w:rPr>
                <w:rFonts w:cs="Tahoma"/>
                <w:color w:val="000000"/>
                <w:szCs w:val="18"/>
              </w:rPr>
              <w:t>Pacotes de 20</w:t>
            </w:r>
          </w:p>
        </w:tc>
      </w:tr>
    </w:tbl>
    <w:p w:rsidR="00DB2D1E" w:rsidRPr="000A1C8E" w:rsidRDefault="00DB2D1E" w:rsidP="00DB2D1E">
      <w:pPr>
        <w:pStyle w:val="tableclose"/>
        <w:tabs>
          <w:tab w:val="left" w:pos="810"/>
        </w:tabs>
        <w:ind w:left="810" w:hanging="720"/>
        <w:rPr>
          <w:rFonts w:ascii="Tahoma" w:hAnsi="Tahoma" w:cs="Tahoma"/>
        </w:rPr>
      </w:pPr>
      <w:r w:rsidRPr="000A1C8E">
        <w:rPr>
          <w:rFonts w:ascii="Tahoma" w:hAnsi="Tahoma" w:cs="Tahoma"/>
          <w:i/>
          <w:color w:val="000000"/>
          <w:sz w:val="16"/>
          <w:szCs w:val="16"/>
          <w:vertAlign w:val="superscript"/>
        </w:rPr>
        <w:t xml:space="preserve"> 1</w:t>
      </w:r>
      <w:r w:rsidRPr="000A1C8E">
        <w:rPr>
          <w:rFonts w:ascii="Tahoma" w:hAnsi="Tahoma" w:cs="Tahoma"/>
          <w:i/>
          <w:color w:val="000000"/>
          <w:sz w:val="16"/>
          <w:szCs w:val="16"/>
        </w:rPr>
        <w:t xml:space="preserve"> O Horário Comercial é definido localmente.</w:t>
      </w:r>
    </w:p>
    <w:p w:rsidR="00DB2D1E" w:rsidRPr="000A1C8E" w:rsidRDefault="00DB2D1E" w:rsidP="00F42FB8">
      <w:pPr>
        <w:pStyle w:val="BodyText2"/>
        <w:spacing w:after="0" w:line="240" w:lineRule="auto"/>
        <w:rPr>
          <w:rFonts w:ascii="Tahoma" w:hAnsi="Tahoma" w:cs="Tahoma"/>
        </w:rPr>
      </w:pPr>
    </w:p>
    <w:p w:rsidR="00DB2D1E" w:rsidRPr="000A1C8E" w:rsidRDefault="00DB2D1E" w:rsidP="00CA52FE">
      <w:pPr>
        <w:pStyle w:val="BodyText2"/>
        <w:spacing w:after="0" w:line="240" w:lineRule="auto"/>
        <w:rPr>
          <w:rFonts w:ascii="Tahoma" w:hAnsi="Tahoma" w:cs="Tahoma"/>
          <w:spacing w:val="-2"/>
        </w:rPr>
      </w:pPr>
      <w:r w:rsidRPr="000A1C8E">
        <w:rPr>
          <w:rFonts w:ascii="Tahoma" w:hAnsi="Tahoma" w:cs="Tahoma"/>
          <w:b/>
          <w:bCs/>
          <w:color w:val="000000"/>
          <w:spacing w:val="-2"/>
          <w:sz w:val="18"/>
          <w:szCs w:val="18"/>
        </w:rPr>
        <w:t>O Gerenciamento de Conta de Suporte</w:t>
      </w:r>
      <w:r w:rsidRPr="000A1C8E">
        <w:rPr>
          <w:rFonts w:ascii="Tahoma" w:hAnsi="Tahoma" w:cs="Tahoma"/>
          <w:color w:val="000000"/>
          <w:spacing w:val="-2"/>
          <w:sz w:val="18"/>
          <w:szCs w:val="18"/>
        </w:rPr>
        <w:t xml:space="preserve"> ajuda a criar e manter os relacionamentos com a equipe de gerenciamento e de fornecimento de serviços do cliente, além de ajudar os clientes a organizar cada elemento de seus planos de serviços a fim de atender às necessidades comerciais. </w:t>
      </w:r>
    </w:p>
    <w:p w:rsidR="00CA52FE" w:rsidRPr="000A1C8E" w:rsidRDefault="00CA52FE" w:rsidP="00CA52FE">
      <w:pPr>
        <w:pStyle w:val="BodyText2"/>
        <w:spacing w:after="0" w:line="240" w:lineRule="auto"/>
        <w:rPr>
          <w:rFonts w:ascii="Tahoma" w:hAnsi="Tahoma" w:cs="Tahoma"/>
        </w:rPr>
      </w:pPr>
    </w:p>
    <w:p w:rsidR="00DB2D1E" w:rsidRPr="000A1C8E" w:rsidRDefault="00DB2D1E" w:rsidP="00845EE4">
      <w:pPr>
        <w:jc w:val="both"/>
        <w:rPr>
          <w:rFonts w:cs="Tahoma"/>
        </w:rPr>
      </w:pPr>
      <w:r w:rsidRPr="000A1C8E">
        <w:rPr>
          <w:rFonts w:cs="Tahoma"/>
          <w:b/>
          <w:bCs/>
          <w:color w:val="000000"/>
          <w:szCs w:val="18"/>
        </w:rPr>
        <w:t xml:space="preserve">A Assistência de Suporte </w:t>
      </w:r>
      <w:r w:rsidRPr="000A1C8E">
        <w:rPr>
          <w:rFonts w:cs="Tahoma"/>
          <w:color w:val="000000"/>
          <w:szCs w:val="18"/>
        </w:rPr>
        <w:t>fornece avisos e orientações a curto prazo (com base nos recursos da Microsoft disponíveis) sobre problemas não abordados pelo Suporte para Resolução de Problemas, incluindo assistência a</w:t>
      </w:r>
      <w:r w:rsidR="00845EE4" w:rsidRPr="000A1C8E">
        <w:rPr>
          <w:rFonts w:cs="Tahoma"/>
          <w:color w:val="000000"/>
          <w:szCs w:val="18"/>
        </w:rPr>
        <w:t> </w:t>
      </w:r>
      <w:r w:rsidRPr="000A1C8E">
        <w:rPr>
          <w:rFonts w:cs="Tahoma"/>
          <w:color w:val="000000"/>
          <w:szCs w:val="18"/>
        </w:rPr>
        <w:t>questões relacionadas a design, desenvolvimento e implantação.</w:t>
      </w:r>
    </w:p>
    <w:p w:rsidR="00CA52FE" w:rsidRPr="000A1C8E" w:rsidRDefault="00CA52FE" w:rsidP="00CA52FE">
      <w:pPr>
        <w:jc w:val="both"/>
        <w:rPr>
          <w:rFonts w:cs="Tahoma"/>
        </w:rPr>
      </w:pPr>
    </w:p>
    <w:p w:rsidR="00676723" w:rsidRPr="000A1C8E" w:rsidRDefault="00DB2D1E" w:rsidP="00CA52FE">
      <w:pPr>
        <w:rPr>
          <w:rFonts w:cs="Tahoma"/>
        </w:rPr>
      </w:pPr>
      <w:r w:rsidRPr="000A1C8E">
        <w:rPr>
          <w:rFonts w:cs="Tahoma"/>
          <w:b/>
          <w:bCs/>
          <w:color w:val="000000"/>
          <w:szCs w:val="18"/>
        </w:rPr>
        <w:t xml:space="preserve">O Suporte para Resolução de Problemas </w:t>
      </w:r>
      <w:r w:rsidRPr="000A1C8E">
        <w:rPr>
          <w:rFonts w:cs="Tahoma"/>
          <w:color w:val="000000"/>
          <w:szCs w:val="18"/>
        </w:rPr>
        <w:t>fornece assistência para problemas com sintomas específicos encontrados durante o uso de produtos da Microsoft, quando há uma probabilidade razoável de que o problema tenha sido causado por produtos da Microsoft.</w:t>
      </w:r>
    </w:p>
    <w:p w:rsidR="00676723" w:rsidRPr="000A1C8E" w:rsidRDefault="00676723">
      <w:pPr>
        <w:rPr>
          <w:rFonts w:cs="Tahoma"/>
        </w:rPr>
      </w:pPr>
      <w:r w:rsidRPr="000A1C8E">
        <w:rPr>
          <w:rFonts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0A1C8E"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0A1C8E" w:rsidRDefault="001C1727" w:rsidP="00DE73D4">
            <w:pPr>
              <w:pStyle w:val="tableclose"/>
              <w:spacing w:line="276" w:lineRule="auto"/>
              <w:rPr>
                <w:rFonts w:ascii="Tahoma" w:hAnsi="Tahoma" w:cs="Tahoma"/>
                <w:b/>
                <w:color w:val="000000"/>
              </w:rPr>
            </w:pPr>
            <w:r w:rsidRPr="000A1C8E">
              <w:rPr>
                <w:rFonts w:ascii="Tahoma" w:hAnsi="Tahoma" w:cs="Tahoma"/>
                <w:color w:val="000000"/>
                <w:sz w:val="6"/>
              </w:rPr>
              <w:lastRenderedPageBreak/>
              <w:br w:type="page"/>
            </w:r>
            <w:r w:rsidRPr="000A1C8E">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A1C8E" w:rsidRDefault="00DB2D1E" w:rsidP="00DE73D4">
            <w:pPr>
              <w:pStyle w:val="tableclose"/>
              <w:spacing w:line="276" w:lineRule="auto"/>
              <w:rPr>
                <w:rFonts w:ascii="Tahoma" w:hAnsi="Tahoma" w:cs="Tahoma"/>
                <w:b/>
                <w:color w:val="000000"/>
              </w:rPr>
            </w:pPr>
            <w:r w:rsidRPr="000A1C8E">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A1C8E" w:rsidRDefault="00DB2D1E" w:rsidP="00DE73D4">
            <w:pPr>
              <w:pStyle w:val="tableclose"/>
              <w:spacing w:line="276" w:lineRule="auto"/>
              <w:rPr>
                <w:rFonts w:ascii="Tahoma" w:hAnsi="Tahoma" w:cs="Tahoma"/>
                <w:b/>
                <w:color w:val="000000"/>
              </w:rPr>
            </w:pPr>
            <w:r w:rsidRPr="000A1C8E">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A1C8E" w:rsidRDefault="00DB2D1E" w:rsidP="00DE73D4">
            <w:pPr>
              <w:pStyle w:val="tableclose"/>
              <w:spacing w:line="276" w:lineRule="auto"/>
              <w:rPr>
                <w:rFonts w:ascii="Tahoma" w:hAnsi="Tahoma" w:cs="Tahoma"/>
                <w:b/>
                <w:color w:val="000000"/>
              </w:rPr>
            </w:pPr>
            <w:r w:rsidRPr="000A1C8E">
              <w:rPr>
                <w:rFonts w:ascii="Tahoma" w:hAnsi="Tahoma" w:cs="Tahoma"/>
                <w:b/>
                <w:color w:val="000000"/>
              </w:rPr>
              <w:t>Resposta Esperada do Cliente</w:t>
            </w:r>
          </w:p>
        </w:tc>
      </w:tr>
      <w:tr w:rsidR="00DB2D1E" w:rsidRPr="000A1C8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A1C8E" w:rsidRDefault="00DB2D1E" w:rsidP="00DE73D4">
            <w:pPr>
              <w:pStyle w:val="tableclose"/>
              <w:spacing w:line="276" w:lineRule="auto"/>
              <w:rPr>
                <w:rFonts w:ascii="Tahoma" w:hAnsi="Tahoma" w:cs="Tahoma"/>
                <w:color w:val="000000"/>
                <w:sz w:val="18"/>
                <w:szCs w:val="18"/>
              </w:rPr>
            </w:pPr>
            <w:r w:rsidRPr="000A1C8E">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0"/>
              </w:numPr>
              <w:spacing w:line="276" w:lineRule="auto"/>
              <w:rPr>
                <w:rFonts w:ascii="Tahoma" w:hAnsi="Tahoma" w:cs="Tahoma"/>
              </w:rPr>
            </w:pPr>
            <w:r w:rsidRPr="000A1C8E">
              <w:rPr>
                <w:rFonts w:ascii="Tahoma" w:hAnsi="Tahoma" w:cs="Tahoma"/>
                <w:color w:val="000000"/>
                <w:sz w:val="18"/>
                <w:szCs w:val="18"/>
              </w:rPr>
              <w:t xml:space="preserve">Impacto catastrófico nos negócios: </w:t>
            </w:r>
          </w:p>
          <w:p w:rsidR="00DB2D1E" w:rsidRPr="000A1C8E" w:rsidRDefault="00DB2D1E" w:rsidP="00845EE4">
            <w:pPr>
              <w:pStyle w:val="ListBullet3"/>
              <w:numPr>
                <w:ilvl w:val="0"/>
                <w:numId w:val="60"/>
              </w:numPr>
              <w:spacing w:line="276" w:lineRule="auto"/>
              <w:rPr>
                <w:rFonts w:ascii="Tahoma" w:hAnsi="Tahoma" w:cs="Tahoma"/>
              </w:rPr>
            </w:pPr>
            <w:r w:rsidRPr="000A1C8E">
              <w:rPr>
                <w:rFonts w:ascii="Tahoma" w:hAnsi="Tahoma" w:cs="Tahoma"/>
                <w:color w:val="000000"/>
                <w:sz w:val="18"/>
                <w:szCs w:val="18"/>
              </w:rPr>
              <w:t>Perda total de um processo comercial essencial (crítico) e não</w:t>
            </w:r>
            <w:r w:rsidR="00845EE4" w:rsidRPr="000A1C8E">
              <w:rPr>
                <w:rFonts w:ascii="Tahoma" w:hAnsi="Tahoma" w:cs="Tahoma"/>
                <w:color w:val="000000"/>
                <w:sz w:val="18"/>
                <w:szCs w:val="18"/>
              </w:rPr>
              <w:t> </w:t>
            </w:r>
            <w:r w:rsidRPr="000A1C8E">
              <w:rPr>
                <w:rFonts w:ascii="Tahoma" w:hAnsi="Tahoma" w:cs="Tahoma"/>
                <w:color w:val="000000"/>
                <w:sz w:val="18"/>
                <w:szCs w:val="18"/>
              </w:rPr>
              <w:t>é possível dar continuidade ao trabalho de maneira razoável</w:t>
            </w:r>
          </w:p>
          <w:p w:rsidR="00DB2D1E" w:rsidRPr="000A1C8E" w:rsidRDefault="00DB2D1E" w:rsidP="00346F4B">
            <w:pPr>
              <w:pStyle w:val="ListBullet3"/>
              <w:numPr>
                <w:ilvl w:val="0"/>
                <w:numId w:val="60"/>
              </w:numPr>
              <w:spacing w:line="276" w:lineRule="auto"/>
              <w:rPr>
                <w:rFonts w:ascii="Tahoma" w:hAnsi="Tahoma" w:cs="Tahoma"/>
                <w:color w:val="000000"/>
                <w:sz w:val="18"/>
                <w:szCs w:val="18"/>
              </w:rPr>
            </w:pPr>
            <w:r w:rsidRPr="000A1C8E">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Resposta à 1</w:t>
            </w:r>
            <w:r w:rsidRPr="000A1C8E">
              <w:rPr>
                <w:rFonts w:ascii="Tahoma" w:hAnsi="Tahoma" w:cs="Tahoma"/>
                <w:color w:val="000000"/>
                <w:sz w:val="18"/>
                <w:szCs w:val="18"/>
                <w:vertAlign w:val="superscript"/>
              </w:rPr>
              <w:t>ª</w:t>
            </w:r>
            <w:r w:rsidRPr="000A1C8E">
              <w:rPr>
                <w:rFonts w:ascii="Tahoma" w:hAnsi="Tahoma" w:cs="Tahoma"/>
                <w:color w:val="000000"/>
                <w:sz w:val="18"/>
                <w:szCs w:val="18"/>
              </w:rPr>
              <w:t xml:space="preserve"> chamada em 1 hora ou menos</w:t>
            </w:r>
          </w:p>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Nossos Recursos serão encaminhados para o local do cliente o mais rápido possível</w:t>
            </w:r>
          </w:p>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Esforço contínuo 24x7</w:t>
            </w:r>
          </w:p>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Escalonamento rápido na Microsoft para equipes do Produto</w:t>
            </w:r>
          </w:p>
          <w:p w:rsidR="00DB2D1E" w:rsidRPr="000A1C8E" w:rsidRDefault="00DB2D1E" w:rsidP="00346F4B">
            <w:pPr>
              <w:pStyle w:val="ListBullet3"/>
              <w:numPr>
                <w:ilvl w:val="0"/>
                <w:numId w:val="61"/>
              </w:numPr>
              <w:spacing w:line="276" w:lineRule="auto"/>
              <w:rPr>
                <w:rFonts w:ascii="Tahoma" w:hAnsi="Tahoma" w:cs="Tahoma"/>
                <w:color w:val="000000"/>
                <w:sz w:val="18"/>
                <w:szCs w:val="18"/>
              </w:rPr>
            </w:pPr>
            <w:r w:rsidRPr="000A1C8E">
              <w:rPr>
                <w:rFonts w:ascii="Tahoma" w:hAnsi="Tahoma" w:cs="Tahoma"/>
                <w:color w:val="000000"/>
                <w:sz w:val="18"/>
                <w:szCs w:val="18"/>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2"/>
              </w:numPr>
              <w:spacing w:line="276" w:lineRule="auto"/>
              <w:rPr>
                <w:rFonts w:ascii="Tahoma" w:hAnsi="Tahoma" w:cs="Tahoma"/>
              </w:rPr>
            </w:pPr>
            <w:r w:rsidRPr="000A1C8E">
              <w:rPr>
                <w:rFonts w:ascii="Tahoma" w:hAnsi="Tahoma" w:cs="Tahoma"/>
                <w:color w:val="000000"/>
                <w:sz w:val="18"/>
                <w:szCs w:val="18"/>
              </w:rPr>
              <w:t>Notificação aos Executivos Sêniores do</w:t>
            </w:r>
            <w:r w:rsidR="000A1C8E">
              <w:rPr>
                <w:rFonts w:ascii="Tahoma" w:hAnsi="Tahoma" w:cs="Tahoma"/>
                <w:color w:val="000000"/>
                <w:sz w:val="18"/>
                <w:szCs w:val="18"/>
              </w:rPr>
              <w:t xml:space="preserve"> </w:t>
            </w:r>
            <w:r w:rsidRPr="000A1C8E">
              <w:rPr>
                <w:rFonts w:ascii="Tahoma" w:hAnsi="Tahoma" w:cs="Tahoma"/>
                <w:color w:val="000000"/>
                <w:sz w:val="18"/>
                <w:szCs w:val="18"/>
              </w:rPr>
              <w:t xml:space="preserve">cliente </w:t>
            </w:r>
          </w:p>
          <w:p w:rsidR="00DB2D1E" w:rsidRPr="000A1C8E" w:rsidRDefault="00DB2D1E" w:rsidP="00346F4B">
            <w:pPr>
              <w:pStyle w:val="ListBullet3"/>
              <w:numPr>
                <w:ilvl w:val="0"/>
                <w:numId w:val="62"/>
              </w:numPr>
              <w:spacing w:line="276" w:lineRule="auto"/>
              <w:rPr>
                <w:rFonts w:ascii="Tahoma" w:hAnsi="Tahoma" w:cs="Tahoma"/>
              </w:rPr>
            </w:pPr>
            <w:r w:rsidRPr="000A1C8E">
              <w:rPr>
                <w:rFonts w:ascii="Tahoma" w:hAnsi="Tahoma" w:cs="Tahoma"/>
                <w:color w:val="000000"/>
                <w:sz w:val="18"/>
                <w:szCs w:val="18"/>
              </w:rPr>
              <w:t>Alocação de recursos adequados para manter os esforços contínuos em uma base 24x7</w:t>
            </w:r>
            <w:r w:rsidRPr="000A1C8E">
              <w:rPr>
                <w:rFonts w:ascii="Tahoma" w:hAnsi="Tahoma" w:cs="Tahoma"/>
                <w:color w:val="000000"/>
                <w:sz w:val="18"/>
                <w:szCs w:val="18"/>
                <w:vertAlign w:val="superscript"/>
              </w:rPr>
              <w:t>2</w:t>
            </w:r>
          </w:p>
          <w:p w:rsidR="00DB2D1E" w:rsidRPr="000A1C8E" w:rsidRDefault="00DB2D1E" w:rsidP="00346F4B">
            <w:pPr>
              <w:pStyle w:val="ListBullet3"/>
              <w:numPr>
                <w:ilvl w:val="0"/>
                <w:numId w:val="62"/>
              </w:numPr>
              <w:spacing w:line="276" w:lineRule="auto"/>
              <w:rPr>
                <w:rFonts w:ascii="Tahoma" w:hAnsi="Tahoma" w:cs="Tahoma"/>
                <w:color w:val="000000"/>
                <w:sz w:val="18"/>
                <w:szCs w:val="18"/>
              </w:rPr>
            </w:pPr>
            <w:r w:rsidRPr="000A1C8E">
              <w:rPr>
                <w:rFonts w:ascii="Tahoma" w:hAnsi="Tahoma" w:cs="Tahoma"/>
                <w:color w:val="000000"/>
                <w:sz w:val="18"/>
                <w:szCs w:val="18"/>
              </w:rPr>
              <w:t>Acesso e resposta rápidos da autoridade de controle de alterações</w:t>
            </w:r>
          </w:p>
        </w:tc>
      </w:tr>
      <w:tr w:rsidR="00DB2D1E" w:rsidRPr="000A1C8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A1C8E" w:rsidRDefault="00DB2D1E" w:rsidP="00DE73D4">
            <w:pPr>
              <w:pStyle w:val="tableclose"/>
              <w:spacing w:line="276" w:lineRule="auto"/>
              <w:rPr>
                <w:rFonts w:ascii="Tahoma" w:hAnsi="Tahoma" w:cs="Tahoma"/>
                <w:color w:val="000000"/>
                <w:sz w:val="18"/>
                <w:szCs w:val="18"/>
              </w:rPr>
            </w:pPr>
            <w:r w:rsidRPr="000A1C8E">
              <w:rPr>
                <w:rFonts w:ascii="Tahoma" w:hAnsi="Tahoma" w:cs="Tahoma"/>
                <w:color w:val="000000"/>
                <w:sz w:val="18"/>
                <w:szCs w:val="18"/>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0"/>
              </w:numPr>
              <w:spacing w:line="276" w:lineRule="auto"/>
              <w:rPr>
                <w:rFonts w:ascii="Tahoma" w:hAnsi="Tahoma" w:cs="Tahoma"/>
              </w:rPr>
            </w:pPr>
            <w:r w:rsidRPr="000A1C8E">
              <w:rPr>
                <w:rFonts w:ascii="Tahoma" w:hAnsi="Tahoma" w:cs="Tahoma"/>
                <w:color w:val="000000"/>
                <w:sz w:val="18"/>
                <w:szCs w:val="18"/>
              </w:rPr>
              <w:t xml:space="preserve">Impacto crítico nos negócios: </w:t>
            </w:r>
          </w:p>
          <w:p w:rsidR="00DB2D1E" w:rsidRPr="000A1C8E" w:rsidRDefault="00DB2D1E" w:rsidP="00346F4B">
            <w:pPr>
              <w:pStyle w:val="ListBullet3"/>
              <w:numPr>
                <w:ilvl w:val="0"/>
                <w:numId w:val="60"/>
              </w:numPr>
              <w:spacing w:line="276" w:lineRule="auto"/>
              <w:rPr>
                <w:rFonts w:ascii="Tahoma" w:hAnsi="Tahoma" w:cs="Tahoma"/>
              </w:rPr>
            </w:pPr>
            <w:r w:rsidRPr="000A1C8E">
              <w:rPr>
                <w:rFonts w:ascii="Tahoma" w:hAnsi="Tahoma" w:cs="Tahoma"/>
                <w:color w:val="000000"/>
                <w:sz w:val="18"/>
                <w:szCs w:val="18"/>
              </w:rPr>
              <w:t>Perda ou degradação significativa dos serviços</w:t>
            </w:r>
          </w:p>
          <w:p w:rsidR="00DB2D1E" w:rsidRPr="000A1C8E" w:rsidRDefault="00DB2D1E" w:rsidP="00346F4B">
            <w:pPr>
              <w:pStyle w:val="ListBullet3"/>
              <w:numPr>
                <w:ilvl w:val="0"/>
                <w:numId w:val="60"/>
              </w:numPr>
              <w:spacing w:line="276" w:lineRule="auto"/>
              <w:rPr>
                <w:rFonts w:ascii="Tahoma" w:hAnsi="Tahoma" w:cs="Tahoma"/>
                <w:color w:val="000000"/>
                <w:sz w:val="18"/>
                <w:szCs w:val="18"/>
              </w:rPr>
            </w:pPr>
            <w:r w:rsidRPr="000A1C8E">
              <w:rPr>
                <w:rFonts w:ascii="Tahoma" w:hAnsi="Tahoma" w:cs="Tahoma"/>
                <w:color w:val="000000"/>
                <w:sz w:val="18"/>
                <w:szCs w:val="18"/>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Resposta à 1</w:t>
            </w:r>
            <w:r w:rsidRPr="000A1C8E">
              <w:rPr>
                <w:rFonts w:ascii="Tahoma" w:hAnsi="Tahoma" w:cs="Tahoma"/>
                <w:color w:val="000000"/>
                <w:sz w:val="18"/>
                <w:szCs w:val="18"/>
                <w:vertAlign w:val="superscript"/>
              </w:rPr>
              <w:t>ª</w:t>
            </w:r>
            <w:r w:rsidRPr="000A1C8E">
              <w:rPr>
                <w:rFonts w:ascii="Tahoma" w:hAnsi="Tahoma" w:cs="Tahoma"/>
                <w:color w:val="000000"/>
                <w:sz w:val="18"/>
                <w:szCs w:val="18"/>
              </w:rPr>
              <w:t xml:space="preserve"> chamada em 1 hora ou menos</w:t>
            </w:r>
          </w:p>
          <w:p w:rsidR="00DB2D1E" w:rsidRPr="000A1C8E" w:rsidRDefault="00DB2D1E" w:rsidP="00845EE4">
            <w:pPr>
              <w:pStyle w:val="ListBullet3"/>
              <w:numPr>
                <w:ilvl w:val="0"/>
                <w:numId w:val="61"/>
              </w:numPr>
              <w:spacing w:line="276" w:lineRule="auto"/>
              <w:rPr>
                <w:rFonts w:ascii="Tahoma" w:hAnsi="Tahoma" w:cs="Tahoma"/>
              </w:rPr>
            </w:pPr>
            <w:r w:rsidRPr="000A1C8E">
              <w:rPr>
                <w:rFonts w:ascii="Tahoma" w:hAnsi="Tahoma" w:cs="Tahoma"/>
                <w:color w:val="000000"/>
                <w:sz w:val="18"/>
                <w:szCs w:val="18"/>
              </w:rPr>
              <w:t>Nossos Recursos serão encaminhados ao local do</w:t>
            </w:r>
            <w:r w:rsidR="00845EE4" w:rsidRPr="000A1C8E">
              <w:rPr>
                <w:rFonts w:ascii="Tahoma" w:hAnsi="Tahoma" w:cs="Tahoma"/>
                <w:color w:val="000000"/>
                <w:sz w:val="18"/>
                <w:szCs w:val="18"/>
              </w:rPr>
              <w:t> </w:t>
            </w:r>
            <w:r w:rsidRPr="000A1C8E">
              <w:rPr>
                <w:rFonts w:ascii="Tahoma" w:hAnsi="Tahoma" w:cs="Tahoma"/>
                <w:color w:val="000000"/>
                <w:sz w:val="18"/>
                <w:szCs w:val="18"/>
              </w:rPr>
              <w:t>cliente conforme a</w:t>
            </w:r>
            <w:r w:rsidR="00845EE4" w:rsidRPr="000A1C8E">
              <w:rPr>
                <w:rFonts w:ascii="Tahoma" w:hAnsi="Tahoma" w:cs="Tahoma"/>
                <w:color w:val="000000"/>
                <w:sz w:val="18"/>
                <w:szCs w:val="18"/>
              </w:rPr>
              <w:t> </w:t>
            </w:r>
            <w:r w:rsidRPr="000A1C8E">
              <w:rPr>
                <w:rFonts w:ascii="Tahoma" w:hAnsi="Tahoma" w:cs="Tahoma"/>
                <w:color w:val="000000"/>
                <w:sz w:val="18"/>
                <w:szCs w:val="18"/>
              </w:rPr>
              <w:t>necessidade</w:t>
            </w:r>
          </w:p>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Esforço contínuo 24x7</w:t>
            </w:r>
          </w:p>
          <w:p w:rsidR="00DB2D1E" w:rsidRPr="000A1C8E" w:rsidRDefault="00DB2D1E" w:rsidP="00346F4B">
            <w:pPr>
              <w:pStyle w:val="ListBullet3"/>
              <w:numPr>
                <w:ilvl w:val="0"/>
                <w:numId w:val="61"/>
              </w:numPr>
              <w:spacing w:line="276" w:lineRule="auto"/>
              <w:rPr>
                <w:rFonts w:ascii="Tahoma" w:hAnsi="Tahoma" w:cs="Tahoma"/>
                <w:color w:val="000000"/>
                <w:sz w:val="18"/>
                <w:szCs w:val="18"/>
              </w:rPr>
            </w:pPr>
            <w:r w:rsidRPr="000A1C8E">
              <w:rPr>
                <w:rFonts w:ascii="Tahoma" w:hAnsi="Tahoma" w:cs="Tahoma"/>
                <w:color w:val="000000"/>
                <w:sz w:val="18"/>
                <w:szCs w:val="18"/>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2"/>
              </w:numPr>
              <w:spacing w:line="276" w:lineRule="auto"/>
              <w:rPr>
                <w:rFonts w:ascii="Tahoma" w:hAnsi="Tahoma" w:cs="Tahoma"/>
              </w:rPr>
            </w:pPr>
            <w:r w:rsidRPr="000A1C8E">
              <w:rPr>
                <w:rFonts w:ascii="Tahoma" w:hAnsi="Tahoma" w:cs="Tahoma"/>
                <w:color w:val="000000"/>
                <w:sz w:val="18"/>
                <w:szCs w:val="18"/>
              </w:rPr>
              <w:t>Alocação de recursos adequados para manter os esforços contínuos em uma base 24x7</w:t>
            </w:r>
            <w:r w:rsidRPr="000A1C8E">
              <w:rPr>
                <w:rFonts w:ascii="Tahoma" w:hAnsi="Tahoma" w:cs="Tahoma"/>
                <w:color w:val="000000"/>
                <w:sz w:val="18"/>
                <w:szCs w:val="18"/>
                <w:vertAlign w:val="superscript"/>
              </w:rPr>
              <w:t>2</w:t>
            </w:r>
          </w:p>
          <w:p w:rsidR="00DB2D1E" w:rsidRPr="000A1C8E" w:rsidRDefault="00DB2D1E" w:rsidP="00346F4B">
            <w:pPr>
              <w:pStyle w:val="ListBullet3"/>
              <w:numPr>
                <w:ilvl w:val="0"/>
                <w:numId w:val="62"/>
              </w:numPr>
              <w:spacing w:line="276" w:lineRule="auto"/>
              <w:rPr>
                <w:rFonts w:ascii="Tahoma" w:hAnsi="Tahoma" w:cs="Tahoma"/>
              </w:rPr>
            </w:pPr>
            <w:r w:rsidRPr="000A1C8E">
              <w:rPr>
                <w:rFonts w:ascii="Tahoma" w:hAnsi="Tahoma" w:cs="Tahoma"/>
                <w:color w:val="000000"/>
                <w:sz w:val="18"/>
                <w:szCs w:val="18"/>
              </w:rPr>
              <w:t>Acesso e resposta rápidos da autoridade de controle de alterações</w:t>
            </w:r>
          </w:p>
          <w:p w:rsidR="00DB2D1E" w:rsidRPr="000A1C8E" w:rsidRDefault="00DB2D1E" w:rsidP="00346F4B">
            <w:pPr>
              <w:pStyle w:val="ListBullet3"/>
              <w:numPr>
                <w:ilvl w:val="0"/>
                <w:numId w:val="62"/>
              </w:numPr>
              <w:spacing w:line="276" w:lineRule="auto"/>
              <w:rPr>
                <w:rFonts w:ascii="Tahoma" w:hAnsi="Tahoma" w:cs="Tahoma"/>
                <w:color w:val="000000"/>
                <w:sz w:val="18"/>
                <w:szCs w:val="18"/>
              </w:rPr>
            </w:pPr>
            <w:r w:rsidRPr="000A1C8E">
              <w:rPr>
                <w:rFonts w:ascii="Tahoma" w:hAnsi="Tahoma" w:cs="Tahoma"/>
                <w:color w:val="000000"/>
                <w:sz w:val="18"/>
                <w:szCs w:val="18"/>
              </w:rPr>
              <w:t>Notificação à gerência</w:t>
            </w:r>
          </w:p>
        </w:tc>
      </w:tr>
      <w:tr w:rsidR="00DB2D1E" w:rsidRPr="000A1C8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A1C8E" w:rsidRDefault="00DB2D1E" w:rsidP="00262D78">
            <w:pPr>
              <w:pStyle w:val="tableclose"/>
              <w:spacing w:line="276" w:lineRule="auto"/>
              <w:rPr>
                <w:rFonts w:ascii="Tahoma" w:hAnsi="Tahoma" w:cs="Tahoma"/>
                <w:color w:val="000000"/>
                <w:sz w:val="18"/>
                <w:szCs w:val="18"/>
              </w:rPr>
            </w:pPr>
            <w:r w:rsidRPr="000A1C8E">
              <w:rPr>
                <w:rFonts w:ascii="Tahoma" w:hAnsi="Tahoma" w:cs="Tahoma"/>
                <w:color w:val="000000"/>
                <w:sz w:val="18"/>
                <w:szCs w:val="18"/>
              </w:rPr>
              <w:t>B Solicitação por telefone ou pela</w:t>
            </w:r>
            <w:r w:rsidR="00262D78" w:rsidRPr="000A1C8E">
              <w:rPr>
                <w:rFonts w:ascii="Tahoma" w:hAnsi="Tahoma" w:cs="Tahoma"/>
                <w:color w:val="000000"/>
                <w:sz w:val="18"/>
                <w:szCs w:val="18"/>
              </w:rPr>
              <w:t> </w:t>
            </w:r>
            <w:r w:rsidRPr="000A1C8E">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0"/>
              </w:numPr>
              <w:spacing w:line="276" w:lineRule="auto"/>
              <w:rPr>
                <w:rFonts w:ascii="Tahoma" w:hAnsi="Tahoma" w:cs="Tahoma"/>
              </w:rPr>
            </w:pPr>
            <w:r w:rsidRPr="000A1C8E">
              <w:rPr>
                <w:rFonts w:ascii="Tahoma" w:hAnsi="Tahoma" w:cs="Tahoma"/>
                <w:color w:val="000000"/>
                <w:sz w:val="18"/>
                <w:szCs w:val="18"/>
              </w:rPr>
              <w:t xml:space="preserve">Impacto moderado nos negócios: </w:t>
            </w:r>
          </w:p>
          <w:p w:rsidR="00DB2D1E" w:rsidRPr="000A1C8E" w:rsidRDefault="00DB2D1E" w:rsidP="00346F4B">
            <w:pPr>
              <w:pStyle w:val="ListBullet3"/>
              <w:numPr>
                <w:ilvl w:val="0"/>
                <w:numId w:val="60"/>
              </w:numPr>
              <w:spacing w:line="276" w:lineRule="auto"/>
              <w:rPr>
                <w:rFonts w:ascii="Tahoma" w:hAnsi="Tahoma" w:cs="Tahoma"/>
              </w:rPr>
            </w:pPr>
            <w:r w:rsidRPr="000A1C8E">
              <w:rPr>
                <w:rFonts w:ascii="Tahoma" w:hAnsi="Tahoma" w:cs="Tahoma"/>
                <w:color w:val="000000"/>
                <w:sz w:val="18"/>
                <w:szCs w:val="18"/>
              </w:rPr>
              <w:t>Perda ou degradação moderada dos serviços, mas o trabalho pode razoavelmente continuar de maneira prejudicada</w:t>
            </w:r>
          </w:p>
          <w:p w:rsidR="00DB2D1E" w:rsidRPr="000A1C8E" w:rsidRDefault="00DB2D1E" w:rsidP="00346F4B">
            <w:pPr>
              <w:pStyle w:val="ListBullet3"/>
              <w:numPr>
                <w:ilvl w:val="0"/>
                <w:numId w:val="60"/>
              </w:numPr>
              <w:spacing w:line="276" w:lineRule="auto"/>
              <w:rPr>
                <w:rFonts w:ascii="Tahoma" w:hAnsi="Tahoma" w:cs="Tahoma"/>
                <w:color w:val="000000"/>
                <w:sz w:val="18"/>
                <w:szCs w:val="18"/>
              </w:rPr>
            </w:pPr>
            <w:r w:rsidRPr="000A1C8E">
              <w:rPr>
                <w:rFonts w:ascii="Tahoma" w:hAnsi="Tahoma" w:cs="Tahoma"/>
                <w:color w:val="000000"/>
                <w:sz w:val="18"/>
                <w:szCs w:val="18"/>
              </w:rPr>
              <w:t>Necessita de atenção dentro de 2 Horas Comerciais</w:t>
            </w:r>
            <w:r w:rsidRPr="000A1C8E">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Resposta à 1</w:t>
            </w:r>
            <w:r w:rsidRPr="000A1C8E">
              <w:rPr>
                <w:rFonts w:ascii="Tahoma" w:hAnsi="Tahoma" w:cs="Tahoma"/>
                <w:color w:val="000000"/>
                <w:sz w:val="18"/>
                <w:szCs w:val="18"/>
                <w:vertAlign w:val="superscript"/>
              </w:rPr>
              <w:t>ª</w:t>
            </w:r>
            <w:r w:rsidRPr="000A1C8E">
              <w:rPr>
                <w:rFonts w:ascii="Tahoma" w:hAnsi="Tahoma" w:cs="Tahoma"/>
                <w:color w:val="000000"/>
                <w:sz w:val="18"/>
                <w:szCs w:val="18"/>
              </w:rPr>
              <w:t xml:space="preserve"> chamada em 2 horas ou menos</w:t>
            </w:r>
          </w:p>
          <w:p w:rsidR="00DB2D1E" w:rsidRPr="000A1C8E" w:rsidRDefault="00DB2D1E" w:rsidP="00262D78">
            <w:pPr>
              <w:pStyle w:val="ListBullet3"/>
              <w:numPr>
                <w:ilvl w:val="0"/>
                <w:numId w:val="61"/>
              </w:numPr>
              <w:spacing w:line="276" w:lineRule="auto"/>
              <w:rPr>
                <w:rFonts w:ascii="Tahoma" w:hAnsi="Tahoma" w:cs="Tahoma"/>
              </w:rPr>
            </w:pPr>
            <w:r w:rsidRPr="000A1C8E">
              <w:rPr>
                <w:rFonts w:ascii="Tahoma" w:hAnsi="Tahoma" w:cs="Tahoma"/>
                <w:color w:val="000000"/>
                <w:sz w:val="18"/>
                <w:szCs w:val="18"/>
              </w:rPr>
              <w:t>Esforço apenas durante o</w:t>
            </w:r>
            <w:r w:rsidR="00262D78" w:rsidRPr="000A1C8E">
              <w:rPr>
                <w:rFonts w:ascii="Tahoma" w:hAnsi="Tahoma" w:cs="Tahoma"/>
                <w:color w:val="000000"/>
                <w:sz w:val="18"/>
                <w:szCs w:val="18"/>
              </w:rPr>
              <w:t> </w:t>
            </w:r>
            <w:r w:rsidRPr="000A1C8E">
              <w:rPr>
                <w:rFonts w:ascii="Tahoma" w:hAnsi="Tahoma" w:cs="Tahoma"/>
                <w:color w:val="000000"/>
                <w:sz w:val="18"/>
                <w:szCs w:val="18"/>
              </w:rPr>
              <w:t>Horário Comercial</w:t>
            </w:r>
            <w:r w:rsidRPr="000A1C8E">
              <w:rPr>
                <w:rFonts w:ascii="Tahoma" w:hAnsi="Tahoma" w:cs="Tahoma"/>
                <w:color w:val="000000"/>
                <w:sz w:val="18"/>
                <w:szCs w:val="18"/>
                <w:vertAlign w:val="superscript"/>
              </w:rPr>
              <w:t>1</w:t>
            </w:r>
            <w:r w:rsidRPr="000A1C8E">
              <w:rPr>
                <w:rFonts w:ascii="Tahoma" w:hAnsi="Tahoma" w:cs="Tahoma"/>
                <w:color w:val="000000"/>
                <w:sz w:val="18"/>
                <w:szCs w:val="18"/>
              </w:rPr>
              <w:t xml:space="preserve"> </w:t>
            </w:r>
          </w:p>
          <w:p w:rsidR="00DB2D1E" w:rsidRPr="000A1C8E"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2"/>
              </w:numPr>
              <w:spacing w:line="276" w:lineRule="auto"/>
              <w:rPr>
                <w:rFonts w:ascii="Tahoma" w:hAnsi="Tahoma" w:cs="Tahoma"/>
              </w:rPr>
            </w:pPr>
            <w:r w:rsidRPr="000A1C8E">
              <w:rPr>
                <w:rFonts w:ascii="Tahoma" w:hAnsi="Tahoma" w:cs="Tahoma"/>
                <w:color w:val="000000"/>
                <w:sz w:val="18"/>
                <w:szCs w:val="18"/>
              </w:rPr>
              <w:t>Alocação de recursos adequados para manter esforços contínuos no Horário Comercial</w:t>
            </w:r>
            <w:r w:rsidRPr="000A1C8E">
              <w:rPr>
                <w:rFonts w:ascii="Tahoma" w:hAnsi="Tahoma" w:cs="Tahoma"/>
                <w:color w:val="000000"/>
                <w:sz w:val="18"/>
                <w:szCs w:val="18"/>
                <w:vertAlign w:val="superscript"/>
              </w:rPr>
              <w:t>1</w:t>
            </w:r>
            <w:r w:rsidRPr="000A1C8E">
              <w:rPr>
                <w:rFonts w:ascii="Tahoma" w:hAnsi="Tahoma" w:cs="Tahoma"/>
                <w:color w:val="000000"/>
                <w:sz w:val="18"/>
                <w:szCs w:val="18"/>
              </w:rPr>
              <w:t xml:space="preserve"> </w:t>
            </w:r>
          </w:p>
          <w:p w:rsidR="00DB2D1E" w:rsidRPr="000A1C8E" w:rsidRDefault="00DB2D1E" w:rsidP="00346F4B">
            <w:pPr>
              <w:pStyle w:val="ListBullet3"/>
              <w:numPr>
                <w:ilvl w:val="0"/>
                <w:numId w:val="62"/>
              </w:numPr>
              <w:spacing w:line="276" w:lineRule="auto"/>
              <w:rPr>
                <w:rFonts w:ascii="Tahoma" w:hAnsi="Tahoma" w:cs="Tahoma"/>
                <w:color w:val="000000"/>
                <w:sz w:val="18"/>
                <w:szCs w:val="18"/>
              </w:rPr>
            </w:pPr>
            <w:r w:rsidRPr="000A1C8E">
              <w:rPr>
                <w:rFonts w:ascii="Tahoma" w:hAnsi="Tahoma" w:cs="Tahoma"/>
                <w:color w:val="000000"/>
                <w:sz w:val="18"/>
                <w:szCs w:val="18"/>
              </w:rPr>
              <w:t>Acesso e resposta da autoridade de controle de alterações dentro de 4 Horas Comerciais</w:t>
            </w:r>
            <w:r w:rsidRPr="000A1C8E">
              <w:rPr>
                <w:rFonts w:ascii="Tahoma" w:hAnsi="Tahoma" w:cs="Tahoma"/>
                <w:color w:val="000000"/>
                <w:sz w:val="18"/>
                <w:szCs w:val="18"/>
                <w:vertAlign w:val="superscript"/>
              </w:rPr>
              <w:t>1</w:t>
            </w:r>
          </w:p>
        </w:tc>
      </w:tr>
      <w:tr w:rsidR="00DB2D1E" w:rsidRPr="000A1C8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A1C8E" w:rsidRDefault="00DB2D1E" w:rsidP="0033459E">
            <w:pPr>
              <w:pStyle w:val="tableclose"/>
              <w:spacing w:line="276" w:lineRule="auto"/>
              <w:rPr>
                <w:rFonts w:ascii="Tahoma" w:hAnsi="Tahoma" w:cs="Tahoma"/>
                <w:color w:val="000000"/>
                <w:sz w:val="18"/>
                <w:szCs w:val="18"/>
              </w:rPr>
            </w:pPr>
            <w:r w:rsidRPr="000A1C8E">
              <w:rPr>
                <w:rFonts w:ascii="Tahoma" w:hAnsi="Tahoma" w:cs="Tahoma"/>
                <w:color w:val="000000"/>
                <w:sz w:val="18"/>
                <w:szCs w:val="18"/>
              </w:rPr>
              <w:t>C Solicitação por</w:t>
            </w:r>
            <w:r w:rsidR="0033459E" w:rsidRPr="000A1C8E">
              <w:rPr>
                <w:rFonts w:ascii="Tahoma" w:hAnsi="Tahoma" w:cs="Tahoma"/>
                <w:color w:val="000000"/>
                <w:sz w:val="18"/>
                <w:szCs w:val="18"/>
              </w:rPr>
              <w:t> </w:t>
            </w:r>
            <w:r w:rsidRPr="000A1C8E">
              <w:rPr>
                <w:rFonts w:ascii="Tahoma" w:hAnsi="Tahoma" w:cs="Tahoma"/>
                <w:color w:val="000000"/>
                <w:sz w:val="18"/>
                <w:szCs w:val="18"/>
              </w:rPr>
              <w:t>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0"/>
              </w:numPr>
              <w:spacing w:line="276" w:lineRule="auto"/>
              <w:rPr>
                <w:rFonts w:ascii="Tahoma" w:hAnsi="Tahoma" w:cs="Tahoma"/>
              </w:rPr>
            </w:pPr>
            <w:r w:rsidRPr="000A1C8E">
              <w:rPr>
                <w:rFonts w:ascii="Tahoma" w:hAnsi="Tahoma" w:cs="Tahoma"/>
                <w:color w:val="000000"/>
                <w:sz w:val="18"/>
                <w:szCs w:val="18"/>
              </w:rPr>
              <w:t xml:space="preserve">Impacto mínimo nos negócios: </w:t>
            </w:r>
          </w:p>
          <w:p w:rsidR="00DB2D1E" w:rsidRPr="000A1C8E" w:rsidRDefault="00DB2D1E" w:rsidP="00346F4B">
            <w:pPr>
              <w:pStyle w:val="ListBullet3"/>
              <w:numPr>
                <w:ilvl w:val="0"/>
                <w:numId w:val="60"/>
              </w:numPr>
              <w:spacing w:line="276" w:lineRule="auto"/>
              <w:rPr>
                <w:rFonts w:ascii="Tahoma" w:hAnsi="Tahoma" w:cs="Tahoma"/>
              </w:rPr>
            </w:pPr>
            <w:r w:rsidRPr="000A1C8E">
              <w:rPr>
                <w:rFonts w:ascii="Tahoma" w:hAnsi="Tahoma" w:cs="Tahoma"/>
                <w:color w:val="000000"/>
                <w:sz w:val="18"/>
                <w:szCs w:val="18"/>
              </w:rPr>
              <w:t>Funcionamento de forma substancial, com poucos ou nenhum impedimento dos serviços</w:t>
            </w:r>
          </w:p>
          <w:p w:rsidR="00DB2D1E" w:rsidRPr="000A1C8E" w:rsidRDefault="00DB2D1E" w:rsidP="00346F4B">
            <w:pPr>
              <w:pStyle w:val="ListBullet3"/>
              <w:numPr>
                <w:ilvl w:val="0"/>
                <w:numId w:val="60"/>
              </w:numPr>
              <w:spacing w:line="276" w:lineRule="auto"/>
              <w:rPr>
                <w:rFonts w:ascii="Tahoma" w:hAnsi="Tahoma" w:cs="Tahoma"/>
                <w:color w:val="000000"/>
                <w:sz w:val="18"/>
                <w:szCs w:val="18"/>
              </w:rPr>
            </w:pPr>
            <w:r w:rsidRPr="000A1C8E">
              <w:rPr>
                <w:rFonts w:ascii="Tahoma" w:hAnsi="Tahoma" w:cs="Tahoma"/>
                <w:color w:val="000000"/>
                <w:sz w:val="18"/>
                <w:szCs w:val="18"/>
              </w:rPr>
              <w:t>Necessita de atenção dentro de 4 Horas Comerciais</w:t>
            </w:r>
            <w:r w:rsidRPr="000A1C8E">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Resposta à 1</w:t>
            </w:r>
            <w:r w:rsidRPr="000A1C8E">
              <w:rPr>
                <w:rFonts w:ascii="Tahoma" w:hAnsi="Tahoma" w:cs="Tahoma"/>
                <w:color w:val="000000"/>
                <w:sz w:val="18"/>
                <w:szCs w:val="18"/>
                <w:vertAlign w:val="superscript"/>
              </w:rPr>
              <w:t>ª</w:t>
            </w:r>
            <w:r w:rsidRPr="000A1C8E">
              <w:rPr>
                <w:rFonts w:ascii="Tahoma" w:hAnsi="Tahoma" w:cs="Tahoma"/>
                <w:color w:val="000000"/>
                <w:sz w:val="18"/>
                <w:szCs w:val="18"/>
              </w:rPr>
              <w:t xml:space="preserve"> chamada em 4 horas ou menos</w:t>
            </w:r>
          </w:p>
          <w:p w:rsidR="00DB2D1E" w:rsidRPr="000A1C8E" w:rsidRDefault="00DB2D1E" w:rsidP="00346F4B">
            <w:pPr>
              <w:pStyle w:val="ListBullet3"/>
              <w:numPr>
                <w:ilvl w:val="0"/>
                <w:numId w:val="61"/>
              </w:numPr>
              <w:spacing w:line="276" w:lineRule="auto"/>
              <w:rPr>
                <w:rFonts w:ascii="Tahoma" w:hAnsi="Tahoma" w:cs="Tahoma"/>
              </w:rPr>
            </w:pPr>
            <w:r w:rsidRPr="000A1C8E">
              <w:rPr>
                <w:rFonts w:ascii="Tahoma" w:hAnsi="Tahoma" w:cs="Tahoma"/>
                <w:color w:val="000000"/>
                <w:sz w:val="18"/>
                <w:szCs w:val="18"/>
              </w:rPr>
              <w:t>Esforço apenas durante o Horário Comercial</w:t>
            </w:r>
            <w:r w:rsidRPr="000A1C8E">
              <w:rPr>
                <w:rFonts w:ascii="Tahoma" w:hAnsi="Tahoma" w:cs="Tahoma"/>
                <w:color w:val="000000"/>
                <w:sz w:val="18"/>
                <w:szCs w:val="18"/>
                <w:vertAlign w:val="superscript"/>
              </w:rPr>
              <w:t>1</w:t>
            </w:r>
            <w:r w:rsidRPr="000A1C8E">
              <w:rPr>
                <w:rFonts w:ascii="Tahoma" w:hAnsi="Tahoma" w:cs="Tahoma"/>
                <w:color w:val="000000"/>
                <w:sz w:val="18"/>
                <w:szCs w:val="18"/>
              </w:rPr>
              <w:t xml:space="preserve"> </w:t>
            </w:r>
          </w:p>
          <w:p w:rsidR="00DB2D1E" w:rsidRPr="000A1C8E"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0A1C8E" w:rsidRDefault="00DB2D1E" w:rsidP="00EF5E27">
            <w:pPr>
              <w:pStyle w:val="ListBullet3"/>
              <w:numPr>
                <w:ilvl w:val="0"/>
                <w:numId w:val="62"/>
              </w:numPr>
              <w:spacing w:line="276" w:lineRule="auto"/>
              <w:rPr>
                <w:rFonts w:ascii="Tahoma" w:hAnsi="Tahoma" w:cs="Tahoma"/>
              </w:rPr>
            </w:pPr>
            <w:r w:rsidRPr="000A1C8E">
              <w:rPr>
                <w:rFonts w:ascii="Tahoma" w:hAnsi="Tahoma" w:cs="Tahoma"/>
                <w:color w:val="000000"/>
                <w:sz w:val="18"/>
                <w:szCs w:val="18"/>
              </w:rPr>
              <w:t>Informações de contato precisas sobre o proprietário do caso</w:t>
            </w:r>
            <w:r w:rsidR="00EF5E27">
              <w:rPr>
                <w:rFonts w:ascii="Tahoma" w:hAnsi="Tahoma" w:cs="Tahoma"/>
                <w:color w:val="000000"/>
                <w:sz w:val="18"/>
                <w:szCs w:val="18"/>
              </w:rPr>
              <w:t> </w:t>
            </w:r>
          </w:p>
          <w:p w:rsidR="00DB2D1E" w:rsidRPr="000A1C8E" w:rsidRDefault="00DB2D1E" w:rsidP="00EF5E27">
            <w:pPr>
              <w:pStyle w:val="ListBullet3"/>
              <w:numPr>
                <w:ilvl w:val="0"/>
                <w:numId w:val="62"/>
              </w:numPr>
              <w:spacing w:line="276" w:lineRule="auto"/>
              <w:rPr>
                <w:rFonts w:ascii="Tahoma" w:hAnsi="Tahoma" w:cs="Tahoma"/>
                <w:color w:val="000000"/>
                <w:sz w:val="18"/>
                <w:szCs w:val="18"/>
              </w:rPr>
            </w:pPr>
            <w:r w:rsidRPr="000A1C8E">
              <w:rPr>
                <w:rFonts w:ascii="Tahoma" w:hAnsi="Tahoma" w:cs="Tahoma"/>
                <w:color w:val="000000"/>
                <w:sz w:val="18"/>
                <w:szCs w:val="18"/>
              </w:rPr>
              <w:t>Resposta dentro de 24</w:t>
            </w:r>
            <w:r w:rsidR="00EF5E27">
              <w:rPr>
                <w:rFonts w:ascii="Tahoma" w:hAnsi="Tahoma" w:cs="Tahoma"/>
                <w:color w:val="000000"/>
                <w:sz w:val="18"/>
                <w:szCs w:val="18"/>
              </w:rPr>
              <w:t> </w:t>
            </w:r>
            <w:r w:rsidRPr="000A1C8E">
              <w:rPr>
                <w:rFonts w:ascii="Tahoma" w:hAnsi="Tahoma" w:cs="Tahoma"/>
                <w:color w:val="000000"/>
                <w:sz w:val="18"/>
                <w:szCs w:val="18"/>
              </w:rPr>
              <w:t>horas</w:t>
            </w:r>
          </w:p>
        </w:tc>
      </w:tr>
    </w:tbl>
    <w:p w:rsidR="00DB2D1E" w:rsidRPr="000A1C8E" w:rsidRDefault="00DB2D1E" w:rsidP="00DB2D1E">
      <w:pPr>
        <w:pStyle w:val="tableclose"/>
        <w:rPr>
          <w:rFonts w:ascii="Tahoma" w:hAnsi="Tahoma" w:cs="Tahoma"/>
        </w:rPr>
      </w:pPr>
      <w:r w:rsidRPr="000A1C8E">
        <w:rPr>
          <w:rFonts w:ascii="Tahoma" w:hAnsi="Tahoma" w:cs="Tahoma"/>
          <w:i/>
          <w:color w:val="000000"/>
          <w:sz w:val="16"/>
          <w:szCs w:val="16"/>
          <w:vertAlign w:val="superscript"/>
        </w:rPr>
        <w:t>1</w:t>
      </w:r>
      <w:r w:rsidRPr="000A1C8E">
        <w:rPr>
          <w:rFonts w:ascii="Tahoma" w:hAnsi="Tahoma" w:cs="Tahoma"/>
          <w:i/>
          <w:color w:val="000000"/>
          <w:sz w:val="16"/>
          <w:szCs w:val="16"/>
        </w:rPr>
        <w:t xml:space="preserve"> O Horário Comercial é definido localmente.</w:t>
      </w:r>
    </w:p>
    <w:p w:rsidR="00DB2D1E" w:rsidRPr="000A1C8E" w:rsidRDefault="00DB2D1E" w:rsidP="00F42FB8">
      <w:pPr>
        <w:pStyle w:val="tableclose"/>
        <w:rPr>
          <w:rFonts w:ascii="Tahoma" w:hAnsi="Tahoma" w:cs="Tahoma"/>
        </w:rPr>
      </w:pPr>
      <w:r w:rsidRPr="000A1C8E">
        <w:rPr>
          <w:rFonts w:ascii="Tahoma" w:hAnsi="Tahoma" w:cs="Tahoma"/>
          <w:i/>
          <w:color w:val="000000"/>
          <w:sz w:val="16"/>
          <w:szCs w:val="16"/>
          <w:vertAlign w:val="superscript"/>
        </w:rPr>
        <w:t>2</w:t>
      </w:r>
      <w:r w:rsidRPr="000A1C8E">
        <w:rPr>
          <w:rFonts w:ascii="Tahoma" w:hAnsi="Tahoma" w:cs="Tahoma"/>
          <w:i/>
          <w:color w:val="000000"/>
          <w:sz w:val="16"/>
          <w:szCs w:val="16"/>
        </w:rPr>
        <w:t xml:space="preserve"> Pode ser necessário reduzir o nível de severidade se o cliente não puder fornecer os recursos ou as respostas adequadas para darmos continuidade aos esforços de resolução do problema.</w:t>
      </w:r>
    </w:p>
    <w:p w:rsidR="00DB2D1E" w:rsidRPr="000A1C8E" w:rsidRDefault="00DB2D1E" w:rsidP="00F42FB8">
      <w:pPr>
        <w:rPr>
          <w:rFonts w:cs="Tahoma"/>
        </w:rPr>
      </w:pPr>
    </w:p>
    <w:p w:rsidR="00DB2D1E" w:rsidRPr="000A1C8E" w:rsidRDefault="00DB2D1E" w:rsidP="00DB2D1E">
      <w:pPr>
        <w:spacing w:after="120"/>
        <w:rPr>
          <w:rFonts w:cs="Tahoma"/>
        </w:rPr>
      </w:pPr>
      <w:r w:rsidRPr="000A1C8E">
        <w:rPr>
          <w:rFonts w:cs="Tahoma"/>
          <w:b/>
          <w:bCs/>
          <w:color w:val="000000"/>
          <w:szCs w:val="18"/>
        </w:rPr>
        <w:lastRenderedPageBreak/>
        <w:t>Os Serviços de Informações</w:t>
      </w:r>
      <w:r w:rsidRPr="000A1C8E">
        <w:rPr>
          <w:rFonts w:cs="Tahoma"/>
          <w:color w:val="000000"/>
          <w:szCs w:val="18"/>
        </w:rPr>
        <w:t xml:space="preserve"> incluem o acesso ao site Premier e a webcasts de suporte regularmente agendados conduzidos por gerentes de programas, desenvolvedores e profissionais da Microsoft, que fornecem informações importantes sobre a tecnologia da Microsoft.</w:t>
      </w:r>
    </w:p>
    <w:p w:rsidR="00DB2D1E" w:rsidRPr="000A1C8E" w:rsidRDefault="00DB2D1E" w:rsidP="00DB2D1E">
      <w:pPr>
        <w:rPr>
          <w:rFonts w:cs="Tahoma"/>
        </w:rPr>
      </w:pPr>
      <w:r w:rsidRPr="000A1C8E">
        <w:rPr>
          <w:rFonts w:cs="Tahoma"/>
          <w:b/>
          <w:bCs/>
          <w:color w:val="000000"/>
          <w:szCs w:val="18"/>
        </w:rPr>
        <w:t xml:space="preserve">As Horas Complementares </w:t>
      </w:r>
      <w:r w:rsidRPr="000A1C8E">
        <w:rPr>
          <w:rFonts w:cs="Tahoma"/>
          <w:color w:val="000000"/>
          <w:szCs w:val="18"/>
        </w:rPr>
        <w:t xml:space="preserve">podem ser usadas para a Assistência de Suporte ou o Suporte para Resolução de Problemas. </w:t>
      </w:r>
    </w:p>
    <w:p w:rsidR="00DB2D1E" w:rsidRPr="000A1C8E" w:rsidRDefault="00DB2D1E" w:rsidP="00DB2D1E">
      <w:pPr>
        <w:jc w:val="both"/>
        <w:rPr>
          <w:rFonts w:cs="Tahoma"/>
        </w:rPr>
      </w:pPr>
    </w:p>
    <w:p w:rsidR="00DC0853" w:rsidRPr="000A1C8E" w:rsidRDefault="00DC0853" w:rsidP="00DC0853">
      <w:pPr>
        <w:spacing w:after="60"/>
        <w:rPr>
          <w:rFonts w:cs="Tahoma"/>
        </w:rPr>
      </w:pPr>
      <w:r w:rsidRPr="000A1C8E">
        <w:rPr>
          <w:rFonts w:cs="Tahoma"/>
          <w:b/>
          <w:bCs/>
          <w:color w:val="000000"/>
          <w:szCs w:val="18"/>
        </w:rPr>
        <w:t>Regras Comerciais Associadas</w:t>
      </w:r>
    </w:p>
    <w:p w:rsidR="00DB2D1E" w:rsidRPr="000A1C8E" w:rsidRDefault="00DB2D1E" w:rsidP="00393517">
      <w:pPr>
        <w:rPr>
          <w:rFonts w:cs="Tahoma"/>
        </w:rPr>
      </w:pPr>
      <w:r w:rsidRPr="000A1C8E">
        <w:rPr>
          <w:rFonts w:cs="Tahoma"/>
          <w:color w:val="000000"/>
          <w:szCs w:val="18"/>
        </w:rPr>
        <w:t>Todos os Serviços oferecem suporte a Produtos da Microsoft lançados comercialmente e disponível de maneira geral (a menos que especificamente excluído do site Microsoft Premier Online ou do site de Ciclo de Vida de Suporte da Microsoft).</w:t>
      </w:r>
      <w:r w:rsidR="00DC6D8B" w:rsidRPr="000A1C8E">
        <w:rPr>
          <w:rFonts w:cs="Tahoma"/>
          <w:color w:val="000000"/>
          <w:szCs w:val="18"/>
        </w:rPr>
        <w:t xml:space="preserve"> </w:t>
      </w:r>
      <w:r w:rsidRPr="000A1C8E">
        <w:rPr>
          <w:rFonts w:cs="Tahoma"/>
          <w:color w:val="000000"/>
          <w:szCs w:val="18"/>
        </w:rPr>
        <w:t>Geralmente, os Serviços serão cobrados de acordo com as horas, serão fornecidos de maneira remota e em inglês (a menos que outro idioma esteja disponível).</w:t>
      </w:r>
      <w:r w:rsidR="00DC6D8B" w:rsidRPr="000A1C8E">
        <w:rPr>
          <w:rFonts w:cs="Tahoma"/>
          <w:color w:val="000000"/>
          <w:szCs w:val="18"/>
        </w:rPr>
        <w:t xml:space="preserve"> </w:t>
      </w:r>
      <w:r w:rsidRPr="000A1C8E">
        <w:rPr>
          <w:rFonts w:cs="Tahoma"/>
          <w:color w:val="000000"/>
          <w:szCs w:val="18"/>
        </w:rPr>
        <w:t>Os Serviços serão fornecidos no país no qual o contrato VL foi assinado. As visitas no local não são pagas com antecedência e estão sujeitas à disponibilidade do recurso.</w:t>
      </w:r>
      <w:r w:rsidR="00DC6D8B" w:rsidRPr="000A1C8E">
        <w:rPr>
          <w:rFonts w:cs="Tahoma"/>
          <w:color w:val="000000"/>
          <w:szCs w:val="18"/>
        </w:rPr>
        <w:t xml:space="preserve"> </w:t>
      </w:r>
      <w:r w:rsidRPr="000A1C8E">
        <w:rPr>
          <w:rFonts w:cs="Tahoma"/>
          <w:color w:val="000000"/>
          <w:szCs w:val="18"/>
        </w:rPr>
        <w:t>Todos</w:t>
      </w:r>
      <w:r w:rsidR="00393517" w:rsidRPr="000A1C8E">
        <w:rPr>
          <w:rFonts w:cs="Tahoma"/>
          <w:color w:val="000000"/>
          <w:szCs w:val="18"/>
        </w:rPr>
        <w:t> </w:t>
      </w:r>
      <w:r w:rsidRPr="000A1C8E">
        <w:rPr>
          <w:rFonts w:cs="Tahoma"/>
          <w:color w:val="000000"/>
          <w:szCs w:val="18"/>
        </w:rPr>
        <w:t>os Serviços que não forem consumidos em uma base anual serão perdidos.</w:t>
      </w:r>
      <w:r w:rsidR="00DC6D8B" w:rsidRPr="000A1C8E">
        <w:rPr>
          <w:rFonts w:cs="Tahoma"/>
          <w:color w:val="000000"/>
          <w:szCs w:val="18"/>
        </w:rPr>
        <w:t xml:space="preserve"> </w:t>
      </w:r>
      <w:r w:rsidRPr="000A1C8E">
        <w:rPr>
          <w:rFonts w:cs="Tahoma"/>
          <w:color w:val="000000"/>
          <w:szCs w:val="18"/>
        </w:rPr>
        <w:t>Mediante solicitação do cliente, nós podemos acessar o sistema dele por meio de conexão remota para analisar o problema.</w:t>
      </w:r>
      <w:r w:rsidR="00DC6D8B" w:rsidRPr="000A1C8E">
        <w:rPr>
          <w:rFonts w:cs="Tahoma"/>
          <w:color w:val="000000"/>
          <w:szCs w:val="18"/>
        </w:rPr>
        <w:t xml:space="preserve"> </w:t>
      </w:r>
      <w:r w:rsidRPr="000A1C8E">
        <w:rPr>
          <w:rFonts w:cs="Tahoma"/>
          <w:color w:val="000000"/>
          <w:szCs w:val="18"/>
        </w:rPr>
        <w:t>O cliente deve ter acesso à Internet para poder aproveitar os serviços com base na Internet.</w:t>
      </w:r>
    </w:p>
    <w:p w:rsidR="00DB2D1E" w:rsidRPr="000A1C8E" w:rsidRDefault="00DB2D1E" w:rsidP="00DB2D1E">
      <w:pPr>
        <w:jc w:val="both"/>
        <w:rPr>
          <w:rFonts w:cs="Tahoma"/>
        </w:rPr>
      </w:pPr>
    </w:p>
    <w:p w:rsidR="00596386" w:rsidRPr="000A1C8E" w:rsidRDefault="00596386" w:rsidP="00596386">
      <w:pPr>
        <w:rPr>
          <w:rFonts w:cs="Tahoma"/>
        </w:rPr>
      </w:pPr>
      <w:r w:rsidRPr="000A1C8E">
        <w:rPr>
          <w:rFonts w:cs="Tahoma"/>
          <w:b/>
          <w:sz w:val="24"/>
          <w:szCs w:val="24"/>
        </w:rPr>
        <w:t>Ofertas de Suporte do Microsoft Windows Azure</w:t>
      </w:r>
    </w:p>
    <w:p w:rsidR="00596386" w:rsidRPr="000A1C8E" w:rsidRDefault="00596386" w:rsidP="00596386">
      <w:pPr>
        <w:rPr>
          <w:rFonts w:cs="Tahoma"/>
        </w:rPr>
      </w:pPr>
    </w:p>
    <w:p w:rsidR="00596386" w:rsidRPr="000A1C8E" w:rsidRDefault="00596386" w:rsidP="00596386">
      <w:pPr>
        <w:jc w:val="both"/>
        <w:rPr>
          <w:rFonts w:cs="Tahoma"/>
        </w:rPr>
      </w:pPr>
      <w:r w:rsidRPr="000A1C8E">
        <w:rPr>
          <w:rFonts w:cs="Tahoma"/>
          <w:color w:val="000000"/>
          <w:szCs w:val="18"/>
        </w:rPr>
        <w:t xml:space="preserve">A menos que seja especificado de outra forma abaixo, os Serviços de suporte do Windows Azure estão disponíveis para o Windows Azure. </w:t>
      </w:r>
    </w:p>
    <w:p w:rsidR="00596386" w:rsidRPr="000A1C8E" w:rsidRDefault="00596386" w:rsidP="00596386">
      <w:pPr>
        <w:tabs>
          <w:tab w:val="left" w:pos="360"/>
        </w:tabs>
        <w:jc w:val="both"/>
        <w:rPr>
          <w:rFonts w:cs="Tahoma"/>
        </w:rPr>
      </w:pPr>
    </w:p>
    <w:p w:rsidR="00596386" w:rsidRPr="000A1C8E" w:rsidRDefault="00596386" w:rsidP="00596386">
      <w:pPr>
        <w:tabs>
          <w:tab w:val="left" w:pos="360"/>
        </w:tabs>
        <w:jc w:val="both"/>
        <w:rPr>
          <w:rFonts w:cs="Tahoma"/>
        </w:rPr>
      </w:pPr>
      <w:r w:rsidRPr="000A1C8E">
        <w:rPr>
          <w:rFonts w:cs="Tahoma"/>
          <w:szCs w:val="18"/>
        </w:rPr>
        <w:t>Os Serviços serão fornecidos pela equipe de Suporte do Windows Azure, que é composta pelos especialistas do Windows Azure que responderão às solicitações de suporte de um cliente para Windows Azure</w:t>
      </w:r>
      <w:r w:rsidRPr="000A1C8E">
        <w:rPr>
          <w:rFonts w:cs="Tahoma"/>
          <w:snapToGrid w:val="0"/>
          <w:szCs w:val="18"/>
        </w:rPr>
        <w:t xml:space="preserve">. Os clientes recebem uma experiência de suporte elevada com </w:t>
      </w:r>
      <w:r w:rsidRPr="000A1C8E">
        <w:rPr>
          <w:rFonts w:cs="Tahoma"/>
          <w:szCs w:val="18"/>
        </w:rPr>
        <w:t>suporte disponível 24 horas por dia, 7 dias por semana e apenas em inglês.</w:t>
      </w:r>
      <w:r w:rsidR="00DC6D8B" w:rsidRPr="000A1C8E">
        <w:rPr>
          <w:rFonts w:cs="Tahoma"/>
          <w:szCs w:val="18"/>
        </w:rPr>
        <w:t xml:space="preserve"> </w:t>
      </w:r>
      <w:r w:rsidRPr="000A1C8E">
        <w:rPr>
          <w:rFonts w:cs="Tahoma"/>
          <w:szCs w:val="18"/>
        </w:rPr>
        <w:t>O suporte a outros idiomas (</w:t>
      </w:r>
      <w:hyperlink r:id="rId30" w:history="1">
        <w:r w:rsidRPr="000A1C8E">
          <w:rPr>
            <w:rStyle w:val="Hyperlink"/>
            <w:rFonts w:cs="Tahoma"/>
            <w:szCs w:val="18"/>
          </w:rPr>
          <w:t>www.windowsazure.com/en-us/support/plans/</w:t>
        </w:r>
      </w:hyperlink>
      <w:r w:rsidRPr="000A1C8E">
        <w:rPr>
          <w:rFonts w:cs="Tahoma"/>
          <w:szCs w:val="18"/>
        </w:rPr>
        <w:t>) está disponível apenas durante o horário comercial.</w:t>
      </w:r>
      <w:r w:rsidR="00DC6D8B" w:rsidRPr="000A1C8E">
        <w:rPr>
          <w:rFonts w:cs="Tahoma"/>
          <w:szCs w:val="18"/>
        </w:rPr>
        <w:t xml:space="preserve"> </w:t>
      </w:r>
    </w:p>
    <w:p w:rsidR="00596386" w:rsidRPr="000A1C8E" w:rsidRDefault="00596386" w:rsidP="00596386">
      <w:pPr>
        <w:tabs>
          <w:tab w:val="left" w:pos="360"/>
        </w:tabs>
        <w:jc w:val="both"/>
        <w:rPr>
          <w:rFonts w:cs="Tahoma"/>
        </w:rPr>
      </w:pPr>
    </w:p>
    <w:p w:rsidR="00596386" w:rsidRPr="000A1C8E" w:rsidRDefault="00596386" w:rsidP="00596386">
      <w:pPr>
        <w:tabs>
          <w:tab w:val="left" w:pos="360"/>
        </w:tabs>
        <w:jc w:val="both"/>
        <w:rPr>
          <w:rFonts w:cs="Tahoma"/>
        </w:rPr>
      </w:pPr>
      <w:r w:rsidRPr="000A1C8E">
        <w:rPr>
          <w:rFonts w:cs="Tahoma"/>
          <w:szCs w:val="18"/>
        </w:rPr>
        <w:t>“Incidente” significa uma solicitação de suporte referente à falha ou interrupção e conserto (fix) assistida para um Problema Único de Suporte.</w:t>
      </w:r>
      <w:r w:rsidR="00DC6D8B" w:rsidRPr="000A1C8E">
        <w:rPr>
          <w:rFonts w:cs="Tahoma"/>
          <w:szCs w:val="18"/>
        </w:rPr>
        <w:t xml:space="preserve"> </w:t>
      </w:r>
      <w:r w:rsidRPr="000A1C8E">
        <w:rPr>
          <w:rFonts w:cs="Tahoma"/>
          <w:szCs w:val="18"/>
        </w:rPr>
        <w:t>“Problema Único de Suporte” significa um problema que não pode ser subdividido em problemas subordinados.</w:t>
      </w:r>
      <w:r w:rsidR="00DC6D8B" w:rsidRPr="000A1C8E">
        <w:rPr>
          <w:rFonts w:cs="Tahoma"/>
          <w:szCs w:val="18"/>
        </w:rPr>
        <w:t xml:space="preserve"> </w:t>
      </w:r>
      <w:r w:rsidRPr="000A1C8E">
        <w:rPr>
          <w:rFonts w:cs="Tahoma"/>
          <w:szCs w:val="18"/>
        </w:rPr>
        <w:t>Se o problema consistir em problemas subordinados, cada um será considerado um Incidente separado.</w:t>
      </w:r>
      <w:r w:rsidR="00DC6D8B" w:rsidRPr="000A1C8E">
        <w:rPr>
          <w:rFonts w:cs="Tahoma"/>
          <w:szCs w:val="18"/>
        </w:rPr>
        <w:t xml:space="preserve"> </w:t>
      </w:r>
      <w:r w:rsidRPr="000A1C8E">
        <w:rPr>
          <w:rFonts w:cs="Tahoma"/>
          <w:szCs w:val="18"/>
        </w:rPr>
        <w:t>Incidentes incluem o valor comercialmente razoável dos serviços necessários para solucionar o problema e auxiliar a resolver o problema de suporte.</w:t>
      </w:r>
      <w:r w:rsidR="00DC6D8B" w:rsidRPr="000A1C8E">
        <w:rPr>
          <w:rFonts w:cs="Tahoma"/>
          <w:szCs w:val="18"/>
        </w:rPr>
        <w:t xml:space="preserve"> </w:t>
      </w:r>
      <w:r w:rsidRPr="000A1C8E">
        <w:rPr>
          <w:rFonts w:cs="Tahoma"/>
          <w:szCs w:val="18"/>
        </w:rPr>
        <w:t xml:space="preserve">Incidentes podem ser enviados por meio do site de suporte online assistido em </w:t>
      </w:r>
      <w:hyperlink r:id="rId31" w:history="1">
        <w:r w:rsidRPr="000A1C8E">
          <w:rPr>
            <w:rStyle w:val="Hyperlink"/>
            <w:rFonts w:cs="Tahoma"/>
            <w:szCs w:val="18"/>
          </w:rPr>
          <w:t>www.windowsazure.com</w:t>
        </w:r>
      </w:hyperlink>
      <w:r w:rsidRPr="000A1C8E">
        <w:rPr>
          <w:rFonts w:cs="Tahoma"/>
          <w:szCs w:val="18"/>
        </w:rPr>
        <w:t>.</w:t>
      </w:r>
      <w:r w:rsidR="00DC6D8B" w:rsidRPr="000A1C8E">
        <w:rPr>
          <w:rFonts w:cs="Tahoma"/>
          <w:szCs w:val="18"/>
        </w:rPr>
        <w:t xml:space="preserve"> </w:t>
      </w:r>
    </w:p>
    <w:p w:rsidR="00596386" w:rsidRPr="000A1C8E" w:rsidRDefault="00596386" w:rsidP="00596386">
      <w:pPr>
        <w:tabs>
          <w:tab w:val="left" w:pos="360"/>
        </w:tabs>
        <w:jc w:val="both"/>
        <w:rPr>
          <w:rFonts w:cs="Tahoma"/>
        </w:rPr>
      </w:pPr>
    </w:p>
    <w:p w:rsidR="00596386" w:rsidRPr="000A1C8E" w:rsidRDefault="00596386" w:rsidP="00596386">
      <w:pPr>
        <w:tabs>
          <w:tab w:val="left" w:pos="360"/>
        </w:tabs>
        <w:jc w:val="both"/>
        <w:rPr>
          <w:rFonts w:cs="Tahoma"/>
        </w:rPr>
      </w:pPr>
      <w:r w:rsidRPr="000A1C8E">
        <w:rPr>
          <w:rFonts w:cs="Tahoma"/>
          <w:szCs w:val="18"/>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DC6D8B" w:rsidRPr="000A1C8E">
        <w:rPr>
          <w:rFonts w:cs="Tahoma"/>
          <w:szCs w:val="18"/>
        </w:rPr>
        <w:t xml:space="preserve"> </w:t>
      </w:r>
      <w:r w:rsidRPr="000A1C8E">
        <w:rPr>
          <w:rFonts w:cs="Tahoma"/>
          <w:szCs w:val="18"/>
        </w:rPr>
        <w:t>Esses serviços adicionais serão regidos pelos termos do contrato separado.</w:t>
      </w:r>
    </w:p>
    <w:p w:rsidR="00596386" w:rsidRPr="000A1C8E" w:rsidRDefault="00596386" w:rsidP="00596386">
      <w:pPr>
        <w:pStyle w:val="normal1"/>
        <w:jc w:val="both"/>
        <w:rPr>
          <w:rFonts w:ascii="Tahoma" w:hAnsi="Tahoma" w:cs="Tahoma"/>
        </w:rPr>
      </w:pPr>
    </w:p>
    <w:p w:rsidR="00596386" w:rsidRPr="000A1C8E" w:rsidRDefault="00596386" w:rsidP="00596386">
      <w:pPr>
        <w:widowControl w:val="0"/>
        <w:tabs>
          <w:tab w:val="left" w:pos="720"/>
          <w:tab w:val="left" w:pos="1170"/>
        </w:tabs>
        <w:rPr>
          <w:rFonts w:cs="Tahoma"/>
        </w:rPr>
      </w:pPr>
      <w:r w:rsidRPr="000A1C8E">
        <w:rPr>
          <w:rFonts w:cs="Tahoma"/>
          <w:b/>
          <w:bCs/>
          <w:sz w:val="24"/>
          <w:szCs w:val="18"/>
        </w:rPr>
        <w:t>Suporte Profissional Direto para Windows Azure</w:t>
      </w:r>
    </w:p>
    <w:p w:rsidR="001B7453" w:rsidRPr="000A1C8E" w:rsidRDefault="001B7453" w:rsidP="006E7D7A">
      <w:pPr>
        <w:tabs>
          <w:tab w:val="left" w:pos="360"/>
        </w:tabs>
        <w:jc w:val="both"/>
        <w:rPr>
          <w:rFonts w:cs="Tahoma"/>
        </w:rPr>
      </w:pPr>
    </w:p>
    <w:p w:rsidR="00596386" w:rsidRPr="000A1C8E" w:rsidRDefault="00596386" w:rsidP="00596386">
      <w:pPr>
        <w:tabs>
          <w:tab w:val="left" w:pos="360"/>
        </w:tabs>
        <w:jc w:val="both"/>
        <w:rPr>
          <w:rFonts w:cs="Tahoma"/>
        </w:rPr>
      </w:pPr>
      <w:r w:rsidRPr="000A1C8E">
        <w:rPr>
          <w:rFonts w:cs="Tahoma"/>
          <w:color w:val="000000"/>
          <w:szCs w:val="18"/>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DC6D8B" w:rsidRPr="000A1C8E">
        <w:rPr>
          <w:rFonts w:cs="Tahoma"/>
          <w:color w:val="000000"/>
          <w:szCs w:val="18"/>
        </w:rPr>
        <w:t xml:space="preserve"> </w:t>
      </w:r>
      <w:r w:rsidRPr="000A1C8E">
        <w:rPr>
          <w:rFonts w:cs="Tahoma"/>
          <w:color w:val="000000"/>
          <w:szCs w:val="18"/>
        </w:rPr>
        <w:t>A gravidade do incidente determinará os níveis de resposta na Microsoft, e o tempo estimado de resposta é definido na tabela a seguir.</w:t>
      </w:r>
      <w:r w:rsidR="00DC6D8B" w:rsidRPr="000A1C8E">
        <w:rPr>
          <w:rFonts w:cs="Tahoma"/>
          <w:color w:val="000000"/>
          <w:szCs w:val="18"/>
        </w:rPr>
        <w:t xml:space="preserve"> </w:t>
      </w:r>
      <w:r w:rsidRPr="000A1C8E">
        <w:rPr>
          <w:rFonts w:cs="Tahoma"/>
          <w:color w:val="000000"/>
          <w:szCs w:val="18"/>
        </w:rPr>
        <w:t>A capacidade de a Microsoft prestar os serviços ao cliente depende da inteira e pontual cooperação desta, bem como da precisão e da integridade das informações fornecidas ao cliente.</w:t>
      </w:r>
    </w:p>
    <w:p w:rsidR="000D747C" w:rsidRPr="000A1C8E" w:rsidRDefault="000D747C" w:rsidP="00596386">
      <w:pPr>
        <w:tabs>
          <w:tab w:val="left" w:pos="360"/>
        </w:tabs>
        <w:jc w:val="both"/>
        <w:rPr>
          <w:rFonts w:cs="Tahoma"/>
        </w:rPr>
      </w:pPr>
    </w:p>
    <w:p w:rsidR="00381B33" w:rsidRPr="000A1C8E" w:rsidRDefault="00381B33" w:rsidP="00DD7F8E">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0A1C8E" w:rsidTr="00746B5E">
        <w:trPr>
          <w:tblHeader/>
        </w:trPr>
        <w:tc>
          <w:tcPr>
            <w:tcW w:w="1347" w:type="dxa"/>
            <w:shd w:val="clear" w:color="auto" w:fill="FABF8F"/>
          </w:tcPr>
          <w:p w:rsidR="00596386" w:rsidRPr="000A1C8E" w:rsidRDefault="00596386" w:rsidP="0037031E">
            <w:pPr>
              <w:jc w:val="center"/>
              <w:rPr>
                <w:rFonts w:cs="Tahoma"/>
                <w:b/>
                <w:bCs/>
                <w:color w:val="000000"/>
                <w:sz w:val="20"/>
                <w:szCs w:val="18"/>
              </w:rPr>
            </w:pPr>
            <w:r w:rsidRPr="000A1C8E">
              <w:rPr>
                <w:rFonts w:cs="Tahoma"/>
                <w:b/>
                <w:bCs/>
                <w:color w:val="000000"/>
                <w:sz w:val="20"/>
                <w:szCs w:val="18"/>
              </w:rPr>
              <w:t>Severidade</w:t>
            </w:r>
          </w:p>
        </w:tc>
        <w:tc>
          <w:tcPr>
            <w:tcW w:w="1800" w:type="dxa"/>
            <w:shd w:val="clear" w:color="auto" w:fill="FABF8F"/>
          </w:tcPr>
          <w:p w:rsidR="00596386" w:rsidRPr="000A1C8E" w:rsidRDefault="00596386" w:rsidP="0037031E">
            <w:pPr>
              <w:jc w:val="center"/>
              <w:rPr>
                <w:rFonts w:cs="Tahoma"/>
                <w:b/>
                <w:bCs/>
                <w:color w:val="000000"/>
                <w:sz w:val="20"/>
                <w:szCs w:val="18"/>
              </w:rPr>
            </w:pPr>
            <w:r w:rsidRPr="000A1C8E">
              <w:rPr>
                <w:rFonts w:cs="Tahoma"/>
                <w:b/>
                <w:bCs/>
                <w:color w:val="000000"/>
                <w:sz w:val="20"/>
                <w:szCs w:val="18"/>
              </w:rPr>
              <w:t>Contato</w:t>
            </w:r>
          </w:p>
        </w:tc>
        <w:tc>
          <w:tcPr>
            <w:tcW w:w="3079" w:type="dxa"/>
            <w:shd w:val="clear" w:color="auto" w:fill="FABF8F"/>
          </w:tcPr>
          <w:p w:rsidR="00596386" w:rsidRPr="000A1C8E" w:rsidRDefault="00596386" w:rsidP="0037031E">
            <w:pPr>
              <w:jc w:val="center"/>
              <w:rPr>
                <w:rFonts w:cs="Tahoma"/>
                <w:b/>
                <w:bCs/>
                <w:color w:val="000000"/>
                <w:sz w:val="20"/>
                <w:szCs w:val="18"/>
              </w:rPr>
            </w:pPr>
            <w:r w:rsidRPr="000A1C8E">
              <w:rPr>
                <w:rFonts w:cs="Tahoma"/>
                <w:b/>
                <w:bCs/>
                <w:color w:val="000000"/>
                <w:sz w:val="20"/>
                <w:szCs w:val="18"/>
              </w:rPr>
              <w:t>Situação do Cliente</w:t>
            </w:r>
          </w:p>
        </w:tc>
        <w:tc>
          <w:tcPr>
            <w:tcW w:w="3314" w:type="dxa"/>
            <w:shd w:val="clear" w:color="auto" w:fill="FABF8F"/>
          </w:tcPr>
          <w:p w:rsidR="00596386" w:rsidRPr="000A1C8E" w:rsidRDefault="00596386" w:rsidP="0037031E">
            <w:pPr>
              <w:jc w:val="center"/>
              <w:rPr>
                <w:rFonts w:cs="Tahoma"/>
                <w:b/>
                <w:bCs/>
                <w:color w:val="000000"/>
                <w:sz w:val="20"/>
                <w:szCs w:val="18"/>
              </w:rPr>
            </w:pPr>
            <w:r w:rsidRPr="000A1C8E">
              <w:rPr>
                <w:rFonts w:cs="Tahoma"/>
                <w:b/>
                <w:bCs/>
                <w:color w:val="000000"/>
                <w:sz w:val="20"/>
                <w:szCs w:val="18"/>
              </w:rPr>
              <w:t>Resposta Esperada da Microsoft</w:t>
            </w:r>
          </w:p>
        </w:tc>
      </w:tr>
      <w:tr w:rsidR="00596386" w:rsidRPr="000A1C8E" w:rsidTr="002A6416">
        <w:tc>
          <w:tcPr>
            <w:tcW w:w="1347" w:type="dxa"/>
          </w:tcPr>
          <w:p w:rsidR="00596386" w:rsidRPr="000A1C8E" w:rsidRDefault="00596386" w:rsidP="00647923">
            <w:pPr>
              <w:spacing w:after="60" w:line="240" w:lineRule="atLeast"/>
              <w:jc w:val="center"/>
              <w:rPr>
                <w:rFonts w:cs="Tahoma"/>
                <w:szCs w:val="18"/>
              </w:rPr>
            </w:pPr>
            <w:r w:rsidRPr="000A1C8E">
              <w:rPr>
                <w:rFonts w:cs="Tahoma"/>
                <w:szCs w:val="18"/>
              </w:rPr>
              <w:t>A</w:t>
            </w:r>
          </w:p>
        </w:tc>
        <w:tc>
          <w:tcPr>
            <w:tcW w:w="1800" w:type="dxa"/>
          </w:tcPr>
          <w:p w:rsidR="00596386" w:rsidRPr="000A1C8E" w:rsidRDefault="00596386" w:rsidP="00647923">
            <w:pPr>
              <w:spacing w:after="60" w:line="240" w:lineRule="atLeast"/>
              <w:jc w:val="center"/>
              <w:rPr>
                <w:rFonts w:cs="Tahoma"/>
                <w:szCs w:val="18"/>
              </w:rPr>
            </w:pPr>
            <w:r w:rsidRPr="000A1C8E">
              <w:rPr>
                <w:rFonts w:cs="Tahoma"/>
                <w:szCs w:val="18"/>
              </w:rPr>
              <w:t>Solicitação pela Web</w:t>
            </w:r>
          </w:p>
        </w:tc>
        <w:tc>
          <w:tcPr>
            <w:tcW w:w="3079" w:type="dxa"/>
          </w:tcPr>
          <w:p w:rsidR="00596386" w:rsidRPr="000A1C8E" w:rsidRDefault="00596386" w:rsidP="00647923">
            <w:pPr>
              <w:spacing w:after="60" w:line="240" w:lineRule="atLeast"/>
              <w:rPr>
                <w:rFonts w:cs="Tahoma"/>
              </w:rPr>
            </w:pPr>
            <w:r w:rsidRPr="000A1C8E">
              <w:rPr>
                <w:rFonts w:cs="Tahoma"/>
                <w:szCs w:val="18"/>
              </w:rPr>
              <w:t>Impacto crítico nos negócios:</w:t>
            </w:r>
          </w:p>
          <w:p w:rsidR="00596386" w:rsidRPr="000A1C8E" w:rsidRDefault="00596386" w:rsidP="00647923">
            <w:pPr>
              <w:spacing w:after="60" w:line="240" w:lineRule="atLeast"/>
              <w:rPr>
                <w:rFonts w:cs="Tahoma"/>
              </w:rPr>
            </w:pPr>
            <w:r w:rsidRPr="000A1C8E">
              <w:rPr>
                <w:rFonts w:cs="Tahoma"/>
                <w:szCs w:val="18"/>
              </w:rPr>
              <w:t>Perda ou degradação significativa de serviços (aplicativo inativo)</w:t>
            </w:r>
          </w:p>
          <w:p w:rsidR="00596386" w:rsidRPr="000A1C8E" w:rsidRDefault="00596386" w:rsidP="00647923">
            <w:pPr>
              <w:spacing w:after="60" w:line="240" w:lineRule="atLeast"/>
              <w:rPr>
                <w:rFonts w:cs="Tahoma"/>
                <w:szCs w:val="18"/>
              </w:rPr>
            </w:pPr>
            <w:r w:rsidRPr="000A1C8E">
              <w:rPr>
                <w:rFonts w:cs="Tahoma"/>
                <w:szCs w:val="18"/>
              </w:rPr>
              <w:t>Necessita de atenção em 1 hora</w:t>
            </w:r>
          </w:p>
        </w:tc>
        <w:tc>
          <w:tcPr>
            <w:tcW w:w="3314" w:type="dxa"/>
          </w:tcPr>
          <w:p w:rsidR="00596386" w:rsidRPr="000A1C8E" w:rsidRDefault="00596386" w:rsidP="00647923">
            <w:pPr>
              <w:spacing w:after="60" w:line="240" w:lineRule="atLeast"/>
              <w:rPr>
                <w:rFonts w:cs="Tahoma"/>
              </w:rPr>
            </w:pPr>
            <w:r w:rsidRPr="000A1C8E">
              <w:rPr>
                <w:rFonts w:cs="Tahoma"/>
                <w:szCs w:val="18"/>
              </w:rPr>
              <w:t>1</w:t>
            </w:r>
            <w:r w:rsidRPr="000A1C8E">
              <w:rPr>
                <w:rFonts w:cs="Tahoma"/>
                <w:szCs w:val="18"/>
                <w:vertAlign w:val="superscript"/>
              </w:rPr>
              <w:t>ª</w:t>
            </w:r>
            <w:r w:rsidRPr="000A1C8E">
              <w:rPr>
                <w:rFonts w:cs="Tahoma"/>
                <w:szCs w:val="18"/>
              </w:rPr>
              <w:t xml:space="preserve"> resposta em 1 hora ou menos</w:t>
            </w:r>
          </w:p>
          <w:p w:rsidR="00596386" w:rsidRPr="000A1C8E" w:rsidRDefault="00596386" w:rsidP="00647923">
            <w:pPr>
              <w:spacing w:after="60" w:line="240" w:lineRule="atLeast"/>
              <w:rPr>
                <w:rFonts w:cs="Tahoma"/>
                <w:szCs w:val="18"/>
              </w:rPr>
            </w:pPr>
          </w:p>
        </w:tc>
      </w:tr>
      <w:tr w:rsidR="00596386" w:rsidRPr="000A1C8E" w:rsidTr="002A6416">
        <w:tc>
          <w:tcPr>
            <w:tcW w:w="1347" w:type="dxa"/>
          </w:tcPr>
          <w:p w:rsidR="00596386" w:rsidRPr="000A1C8E" w:rsidRDefault="00596386" w:rsidP="00647923">
            <w:pPr>
              <w:spacing w:after="60" w:line="240" w:lineRule="atLeast"/>
              <w:jc w:val="center"/>
              <w:rPr>
                <w:rFonts w:cs="Tahoma"/>
                <w:szCs w:val="18"/>
              </w:rPr>
            </w:pPr>
            <w:r w:rsidRPr="000A1C8E">
              <w:rPr>
                <w:rFonts w:cs="Tahoma"/>
                <w:szCs w:val="18"/>
              </w:rPr>
              <w:lastRenderedPageBreak/>
              <w:t>B</w:t>
            </w:r>
          </w:p>
        </w:tc>
        <w:tc>
          <w:tcPr>
            <w:tcW w:w="1800" w:type="dxa"/>
          </w:tcPr>
          <w:p w:rsidR="00596386" w:rsidRPr="000A1C8E" w:rsidRDefault="00596386" w:rsidP="00647923">
            <w:pPr>
              <w:spacing w:after="60" w:line="240" w:lineRule="atLeast"/>
              <w:jc w:val="center"/>
              <w:rPr>
                <w:rFonts w:cs="Tahoma"/>
                <w:szCs w:val="18"/>
              </w:rPr>
            </w:pPr>
            <w:r w:rsidRPr="000A1C8E">
              <w:rPr>
                <w:rFonts w:cs="Tahoma"/>
                <w:szCs w:val="18"/>
              </w:rPr>
              <w:t>Solicitação pela Web</w:t>
            </w:r>
          </w:p>
        </w:tc>
        <w:tc>
          <w:tcPr>
            <w:tcW w:w="3079" w:type="dxa"/>
          </w:tcPr>
          <w:p w:rsidR="00596386" w:rsidRPr="000A1C8E" w:rsidRDefault="00596386" w:rsidP="00647923">
            <w:pPr>
              <w:spacing w:after="60" w:line="240" w:lineRule="atLeast"/>
              <w:rPr>
                <w:rFonts w:cs="Tahoma"/>
              </w:rPr>
            </w:pPr>
            <w:r w:rsidRPr="000A1C8E">
              <w:rPr>
                <w:rFonts w:cs="Tahoma"/>
                <w:szCs w:val="18"/>
              </w:rPr>
              <w:t xml:space="preserve">Impacto moderado nos negócios: </w:t>
            </w:r>
          </w:p>
          <w:p w:rsidR="00596386" w:rsidRPr="000A1C8E" w:rsidRDefault="00596386" w:rsidP="00647923">
            <w:pPr>
              <w:spacing w:line="240" w:lineRule="atLeast"/>
              <w:rPr>
                <w:rFonts w:cs="Tahoma"/>
              </w:rPr>
            </w:pPr>
            <w:r w:rsidRPr="000A1C8E">
              <w:rPr>
                <w:rFonts w:cs="Tahoma"/>
                <w:szCs w:val="18"/>
              </w:rPr>
              <w:t>Perda ou degradação moderada dos serviços, mas o trabalho pode razoavelmente continuar de maneira prejudicada</w:t>
            </w:r>
          </w:p>
          <w:p w:rsidR="00596386" w:rsidRPr="000A1C8E" w:rsidRDefault="00596386" w:rsidP="00647923">
            <w:pPr>
              <w:spacing w:after="60" w:line="240" w:lineRule="atLeast"/>
              <w:rPr>
                <w:rFonts w:cs="Tahoma"/>
                <w:szCs w:val="18"/>
              </w:rPr>
            </w:pPr>
            <w:r w:rsidRPr="000A1C8E">
              <w:rPr>
                <w:rFonts w:cs="Tahoma"/>
                <w:szCs w:val="18"/>
              </w:rPr>
              <w:t>Necessita de atenção em 2 horas</w:t>
            </w:r>
          </w:p>
        </w:tc>
        <w:tc>
          <w:tcPr>
            <w:tcW w:w="3314" w:type="dxa"/>
          </w:tcPr>
          <w:p w:rsidR="00596386" w:rsidRPr="000A1C8E" w:rsidRDefault="00596386" w:rsidP="00647923">
            <w:pPr>
              <w:spacing w:line="240" w:lineRule="atLeast"/>
              <w:rPr>
                <w:rFonts w:cs="Tahoma"/>
              </w:rPr>
            </w:pPr>
            <w:r w:rsidRPr="000A1C8E">
              <w:rPr>
                <w:rFonts w:cs="Tahoma"/>
                <w:szCs w:val="18"/>
              </w:rPr>
              <w:t>1</w:t>
            </w:r>
            <w:r w:rsidRPr="000A1C8E">
              <w:rPr>
                <w:rFonts w:cs="Tahoma"/>
                <w:szCs w:val="18"/>
                <w:vertAlign w:val="superscript"/>
              </w:rPr>
              <w:t>ª</w:t>
            </w:r>
            <w:r w:rsidRPr="000A1C8E">
              <w:rPr>
                <w:rFonts w:cs="Tahoma"/>
                <w:szCs w:val="18"/>
              </w:rPr>
              <w:t xml:space="preserve"> resposta em 2 horas ou menos</w:t>
            </w:r>
          </w:p>
          <w:p w:rsidR="00596386" w:rsidRPr="000A1C8E" w:rsidRDefault="00596386" w:rsidP="00647923">
            <w:pPr>
              <w:spacing w:after="60" w:line="240" w:lineRule="atLeast"/>
              <w:rPr>
                <w:rFonts w:cs="Tahoma"/>
                <w:szCs w:val="18"/>
              </w:rPr>
            </w:pPr>
          </w:p>
        </w:tc>
      </w:tr>
      <w:tr w:rsidR="00596386" w:rsidRPr="000A1C8E" w:rsidTr="002A6416">
        <w:tc>
          <w:tcPr>
            <w:tcW w:w="1347" w:type="dxa"/>
          </w:tcPr>
          <w:p w:rsidR="00596386" w:rsidRPr="000A1C8E" w:rsidRDefault="00596386" w:rsidP="00647923">
            <w:pPr>
              <w:spacing w:after="60" w:line="240" w:lineRule="atLeast"/>
              <w:jc w:val="center"/>
              <w:rPr>
                <w:rFonts w:cs="Tahoma"/>
                <w:szCs w:val="18"/>
              </w:rPr>
            </w:pPr>
            <w:r w:rsidRPr="000A1C8E">
              <w:rPr>
                <w:rFonts w:cs="Tahoma"/>
                <w:szCs w:val="18"/>
              </w:rPr>
              <w:t>C</w:t>
            </w:r>
          </w:p>
        </w:tc>
        <w:tc>
          <w:tcPr>
            <w:tcW w:w="1800" w:type="dxa"/>
          </w:tcPr>
          <w:p w:rsidR="00596386" w:rsidRPr="000A1C8E" w:rsidRDefault="00596386" w:rsidP="00647923">
            <w:pPr>
              <w:spacing w:after="60" w:line="240" w:lineRule="atLeast"/>
              <w:jc w:val="center"/>
              <w:rPr>
                <w:rFonts w:cs="Tahoma"/>
                <w:szCs w:val="18"/>
              </w:rPr>
            </w:pPr>
            <w:r w:rsidRPr="000A1C8E">
              <w:rPr>
                <w:rFonts w:cs="Tahoma"/>
                <w:szCs w:val="18"/>
              </w:rPr>
              <w:t>Solicitação pela Web</w:t>
            </w:r>
          </w:p>
        </w:tc>
        <w:tc>
          <w:tcPr>
            <w:tcW w:w="3079" w:type="dxa"/>
          </w:tcPr>
          <w:p w:rsidR="00596386" w:rsidRPr="000A1C8E" w:rsidRDefault="00596386" w:rsidP="00647923">
            <w:pPr>
              <w:rPr>
                <w:rFonts w:cs="Tahoma"/>
              </w:rPr>
            </w:pPr>
            <w:r w:rsidRPr="000A1C8E">
              <w:rPr>
                <w:rFonts w:cs="Tahoma"/>
                <w:szCs w:val="18"/>
              </w:rPr>
              <w:t>Impacto mínimo nos negócios:</w:t>
            </w:r>
          </w:p>
          <w:p w:rsidR="00596386" w:rsidRPr="000A1C8E" w:rsidRDefault="00596386" w:rsidP="00647923">
            <w:pPr>
              <w:rPr>
                <w:rFonts w:cs="Tahoma"/>
              </w:rPr>
            </w:pPr>
            <w:r w:rsidRPr="000A1C8E">
              <w:rPr>
                <w:rFonts w:cs="Tahoma"/>
                <w:szCs w:val="18"/>
              </w:rPr>
              <w:t>Funcionamento de forma substancial, com poucos ou nenhum impedimento dos serviços</w:t>
            </w:r>
          </w:p>
          <w:p w:rsidR="00596386" w:rsidRPr="000A1C8E" w:rsidRDefault="00596386" w:rsidP="00647923">
            <w:pPr>
              <w:spacing w:after="60" w:line="240" w:lineRule="atLeast"/>
              <w:rPr>
                <w:rFonts w:cs="Tahoma"/>
                <w:szCs w:val="18"/>
              </w:rPr>
            </w:pPr>
            <w:r w:rsidRPr="000A1C8E">
              <w:rPr>
                <w:rFonts w:cs="Tahoma"/>
                <w:szCs w:val="18"/>
              </w:rPr>
              <w:t>Necessita de atenção em 4 horas</w:t>
            </w:r>
          </w:p>
        </w:tc>
        <w:tc>
          <w:tcPr>
            <w:tcW w:w="3314" w:type="dxa"/>
          </w:tcPr>
          <w:p w:rsidR="00596386" w:rsidRPr="000A1C8E" w:rsidRDefault="00596386" w:rsidP="00647923">
            <w:pPr>
              <w:rPr>
                <w:rFonts w:cs="Tahoma"/>
              </w:rPr>
            </w:pPr>
            <w:r w:rsidRPr="000A1C8E">
              <w:rPr>
                <w:rFonts w:cs="Tahoma"/>
                <w:szCs w:val="18"/>
              </w:rPr>
              <w:t>1</w:t>
            </w:r>
            <w:r w:rsidRPr="000A1C8E">
              <w:rPr>
                <w:rFonts w:cs="Tahoma"/>
                <w:szCs w:val="18"/>
                <w:vertAlign w:val="superscript"/>
              </w:rPr>
              <w:t>ª</w:t>
            </w:r>
            <w:r w:rsidRPr="000A1C8E">
              <w:rPr>
                <w:rFonts w:cs="Tahoma"/>
                <w:szCs w:val="18"/>
              </w:rPr>
              <w:t xml:space="preserve"> resposta em 4 horas ou menos</w:t>
            </w:r>
          </w:p>
          <w:p w:rsidR="00596386" w:rsidRPr="000A1C8E" w:rsidRDefault="00596386" w:rsidP="00647923">
            <w:pPr>
              <w:spacing w:line="240" w:lineRule="atLeast"/>
              <w:rPr>
                <w:rFonts w:cs="Tahoma"/>
                <w:szCs w:val="18"/>
              </w:rPr>
            </w:pPr>
          </w:p>
        </w:tc>
      </w:tr>
    </w:tbl>
    <w:p w:rsidR="00596386" w:rsidRPr="000A1C8E" w:rsidRDefault="00596386" w:rsidP="00DD7F8E">
      <w:pPr>
        <w:rPr>
          <w:rFonts w:cs="Tahoma"/>
        </w:rPr>
      </w:pPr>
    </w:p>
    <w:p w:rsidR="000D747C" w:rsidRPr="000A1C8E" w:rsidRDefault="000D747C" w:rsidP="000D747C">
      <w:pPr>
        <w:rPr>
          <w:rFonts w:cs="Tahoma"/>
        </w:rPr>
      </w:pPr>
      <w:r w:rsidRPr="000A1C8E">
        <w:rPr>
          <w:rFonts w:cs="Tahoma"/>
          <w:snapToGrid w:val="0"/>
          <w:color w:val="000000"/>
          <w:szCs w:val="18"/>
        </w:rPr>
        <w:t>Os clientes podem optar por receber um retorno de chamada da Microsoft.</w:t>
      </w:r>
      <w:r w:rsidR="00DC6D8B" w:rsidRPr="000A1C8E">
        <w:rPr>
          <w:rFonts w:cs="Tahoma"/>
          <w:snapToGrid w:val="0"/>
          <w:color w:val="000000"/>
          <w:szCs w:val="18"/>
        </w:rPr>
        <w:t xml:space="preserve"> </w:t>
      </w:r>
      <w:r w:rsidRPr="000A1C8E">
        <w:rPr>
          <w:rFonts w:cs="Tahoma"/>
          <w:snapToGrid w:val="0"/>
          <w:color w:val="000000"/>
          <w:szCs w:val="18"/>
        </w:rPr>
        <w:t>Caso contrário, a equipe de Suporte do Windows Azure solucionará o problema e ajudará a resolver o incidente pelos canais online (por exemplo, por email ou portal do Windows Azure).</w:t>
      </w:r>
    </w:p>
    <w:p w:rsidR="001C1727" w:rsidRPr="000A1C8E" w:rsidRDefault="001C1727">
      <w:pPr>
        <w:rPr>
          <w:rFonts w:cs="Tahoma"/>
        </w:rPr>
      </w:pPr>
    </w:p>
    <w:p w:rsidR="00DC0853" w:rsidRPr="000A1C8E" w:rsidRDefault="00CB228A" w:rsidP="00DC0853">
      <w:pPr>
        <w:tabs>
          <w:tab w:val="left" w:pos="360"/>
        </w:tabs>
        <w:spacing w:after="60"/>
        <w:jc w:val="both"/>
        <w:rPr>
          <w:rFonts w:cs="Tahoma"/>
        </w:rPr>
      </w:pPr>
      <w:r w:rsidRPr="000A1C8E">
        <w:rPr>
          <w:rFonts w:cs="Tahoma"/>
          <w:b/>
          <w:color w:val="000000"/>
          <w:szCs w:val="18"/>
        </w:rPr>
        <w:t>Gerenciamento de Fornecimento de Serviços</w:t>
      </w:r>
    </w:p>
    <w:p w:rsidR="00596386" w:rsidRPr="000A1C8E" w:rsidRDefault="00596386" w:rsidP="00596386">
      <w:pPr>
        <w:tabs>
          <w:tab w:val="left" w:pos="360"/>
        </w:tabs>
        <w:jc w:val="both"/>
        <w:rPr>
          <w:rFonts w:cs="Tahoma"/>
        </w:rPr>
      </w:pPr>
      <w:r w:rsidRPr="000A1C8E">
        <w:rPr>
          <w:rFonts w:cs="Tahoma"/>
          <w:color w:val="000000"/>
          <w:szCs w:val="18"/>
        </w:rPr>
        <w:t>Além dos</w:t>
      </w:r>
      <w:r w:rsidRPr="000A1C8E">
        <w:rPr>
          <w:rFonts w:cs="Tahoma"/>
          <w:snapToGrid w:val="0"/>
          <w:szCs w:val="18"/>
        </w:rPr>
        <w:t xml:space="preserve"> Serviços descritos acima, os clientes com Suporte Profissional Direto para Windows Azure recebem </w:t>
      </w:r>
      <w:r w:rsidRPr="000A1C8E">
        <w:rPr>
          <w:rFonts w:cs="Tahoma"/>
          <w:snapToGrid w:val="0"/>
          <w:color w:val="000000"/>
          <w:szCs w:val="18"/>
        </w:rPr>
        <w:t>ajuda na coordenação do suporte e relacionamento de serviços para Windows Azure.</w:t>
      </w:r>
      <w:r w:rsidR="00DC6D8B" w:rsidRPr="000A1C8E">
        <w:rPr>
          <w:rFonts w:cs="Tahoma"/>
          <w:snapToGrid w:val="0"/>
          <w:color w:val="000000"/>
          <w:szCs w:val="18"/>
        </w:rPr>
        <w:t xml:space="preserve"> </w:t>
      </w:r>
      <w:r w:rsidRPr="000A1C8E">
        <w:rPr>
          <w:rFonts w:cs="Tahoma"/>
          <w:snapToGrid w:val="0"/>
          <w:color w:val="000000"/>
          <w:szCs w:val="18"/>
        </w:rPr>
        <w:t>Esses serviços são fornecidos pelo pessoal de serviços (“Gerentes de Entrega Direta Profissionais”).</w:t>
      </w:r>
      <w:r w:rsidR="00DC6D8B" w:rsidRPr="000A1C8E">
        <w:rPr>
          <w:rFonts w:cs="Tahoma"/>
          <w:snapToGrid w:val="0"/>
          <w:color w:val="000000"/>
          <w:szCs w:val="18"/>
        </w:rPr>
        <w:t xml:space="preserve"> </w:t>
      </w:r>
      <w:r w:rsidRPr="000A1C8E">
        <w:rPr>
          <w:rFonts w:cs="Tahoma"/>
          <w:snapToGrid w:val="0"/>
          <w:color w:val="000000"/>
          <w:szCs w:val="18"/>
        </w:rPr>
        <w:t xml:space="preserve">Os Gerentes de Entrega Direta Profissionais são </w:t>
      </w:r>
      <w:r w:rsidRPr="000A1C8E">
        <w:rPr>
          <w:rFonts w:cs="Tahoma"/>
          <w:szCs w:val="18"/>
        </w:rPr>
        <w:t>advogados do cliente</w:t>
      </w:r>
      <w:r w:rsidRPr="000A1C8E">
        <w:rPr>
          <w:rFonts w:cs="Tahoma"/>
          <w:snapToGrid w:val="0"/>
          <w:color w:val="000000"/>
          <w:szCs w:val="18"/>
        </w:rPr>
        <w:t xml:space="preserve"> na Microsoft que facilitam a coordenação com as equipes, podendo fornecer o suporte técnico disponível para os Serviços Online.</w:t>
      </w:r>
      <w:r w:rsidR="00DC6D8B" w:rsidRPr="000A1C8E">
        <w:rPr>
          <w:rFonts w:cs="Tahoma"/>
          <w:snapToGrid w:val="0"/>
          <w:color w:val="000000"/>
          <w:szCs w:val="18"/>
        </w:rPr>
        <w:t xml:space="preserve"> </w:t>
      </w:r>
      <w:r w:rsidRPr="000A1C8E">
        <w:rPr>
          <w:rFonts w:cs="Tahoma"/>
          <w:snapToGrid w:val="0"/>
          <w:color w:val="000000"/>
          <w:szCs w:val="18"/>
        </w:rPr>
        <w:t xml:space="preserve">Os Gerentes de Entrega Direta Profissionais também atuam como o ponto de fornecimento de informações e encaminham o </w:t>
      </w:r>
      <w:r w:rsidRPr="000A1C8E">
        <w:rPr>
          <w:rFonts w:cs="Tahoma"/>
          <w:szCs w:val="18"/>
        </w:rPr>
        <w:t>feedback</w:t>
      </w:r>
      <w:r w:rsidRPr="000A1C8E">
        <w:rPr>
          <w:rFonts w:cs="Tahoma"/>
          <w:snapToGrid w:val="0"/>
          <w:color w:val="000000"/>
          <w:szCs w:val="18"/>
        </w:rPr>
        <w:t xml:space="preserve"> do cliente sobre os Serviços aos outros grupos da Microsoft.</w:t>
      </w:r>
      <w:r w:rsidR="00DC6D8B" w:rsidRPr="000A1C8E">
        <w:rPr>
          <w:rFonts w:cs="Tahoma"/>
          <w:snapToGrid w:val="0"/>
          <w:color w:val="000000"/>
          <w:szCs w:val="18"/>
        </w:rPr>
        <w:t xml:space="preserve"> </w:t>
      </w:r>
      <w:r w:rsidRPr="000A1C8E">
        <w:rPr>
          <w:rFonts w:cs="Tahoma"/>
          <w:snapToGrid w:val="0"/>
          <w:color w:val="000000"/>
          <w:szCs w:val="18"/>
        </w:rPr>
        <w:t>Os Gerentes de Entrega Direta Profissionais podem ainda prestar os Serviços adicionais a seguir:</w:t>
      </w:r>
    </w:p>
    <w:p w:rsidR="00596386" w:rsidRPr="000A1C8E" w:rsidRDefault="00596386" w:rsidP="00596386">
      <w:pPr>
        <w:tabs>
          <w:tab w:val="left" w:pos="360"/>
        </w:tabs>
        <w:jc w:val="both"/>
        <w:rPr>
          <w:rFonts w:cs="Tahoma"/>
        </w:rPr>
      </w:pPr>
    </w:p>
    <w:p w:rsidR="00596386" w:rsidRPr="000A1C8E" w:rsidRDefault="00596386" w:rsidP="00346F4B">
      <w:pPr>
        <w:numPr>
          <w:ilvl w:val="0"/>
          <w:numId w:val="112"/>
        </w:numPr>
        <w:tabs>
          <w:tab w:val="clear" w:pos="720"/>
        </w:tabs>
        <w:spacing w:after="60"/>
        <w:ind w:left="1440"/>
        <w:jc w:val="both"/>
        <w:rPr>
          <w:rFonts w:cs="Tahoma"/>
        </w:rPr>
      </w:pPr>
      <w:r w:rsidRPr="000A1C8E">
        <w:rPr>
          <w:rFonts w:cs="Tahoma"/>
          <w:b/>
          <w:color w:val="000000"/>
          <w:szCs w:val="18"/>
        </w:rPr>
        <w:t>Planejamento e Facilitação de Recursos.</w:t>
      </w:r>
      <w:r w:rsidRPr="000A1C8E">
        <w:rPr>
          <w:rFonts w:cs="Tahoma"/>
          <w:szCs w:val="18"/>
        </w:rPr>
        <w:t xml:space="preserve"> No início do presente Contrato, A Microsoft oferece uma sessão de orientação para gerenciamento de clientes e equipe por teleconferência.</w:t>
      </w:r>
      <w:r w:rsidR="00DC6D8B" w:rsidRPr="000A1C8E">
        <w:rPr>
          <w:rFonts w:cs="Tahoma"/>
          <w:szCs w:val="18"/>
        </w:rPr>
        <w:t xml:space="preserve"> </w:t>
      </w:r>
      <w:r w:rsidRPr="000A1C8E">
        <w:rPr>
          <w:rFonts w:cs="Tahoma"/>
          <w:szCs w:val="18"/>
        </w:rPr>
        <w:t>O objetivo dessa reunião é discutir os Serviços de suporte disponíveis e responder a quaisquer dúvidas de forma que o cliente possa planejar o uso dos Serviços.</w:t>
      </w:r>
    </w:p>
    <w:p w:rsidR="00596386" w:rsidRPr="000A1C8E" w:rsidRDefault="00596386" w:rsidP="00346F4B">
      <w:pPr>
        <w:numPr>
          <w:ilvl w:val="0"/>
          <w:numId w:val="112"/>
        </w:numPr>
        <w:tabs>
          <w:tab w:val="clear" w:pos="720"/>
        </w:tabs>
        <w:spacing w:after="60"/>
        <w:ind w:left="1440"/>
        <w:jc w:val="both"/>
        <w:rPr>
          <w:rFonts w:cs="Tahoma"/>
        </w:rPr>
      </w:pPr>
      <w:r w:rsidRPr="000A1C8E">
        <w:rPr>
          <w:rFonts w:cs="Tahoma"/>
          <w:b/>
          <w:color w:val="000000"/>
          <w:szCs w:val="18"/>
        </w:rPr>
        <w:t>Gerenciamento de Escalonamento.</w:t>
      </w:r>
      <w:r w:rsidRPr="000A1C8E">
        <w:rPr>
          <w:rFonts w:cs="Tahoma"/>
          <w:szCs w:val="18"/>
        </w:rPr>
        <w:t xml:space="preserve"> Um Gerente de Entrega Direta Profissional </w:t>
      </w:r>
      <w:r w:rsidRPr="000A1C8E">
        <w:rPr>
          <w:rFonts w:cs="Tahoma"/>
          <w:snapToGrid w:val="0"/>
          <w:szCs w:val="18"/>
        </w:rPr>
        <w:t>fornecerá ao cliente os serviços de gerenciamento de escalonamento de suporte técnico para Windows Azure.</w:t>
      </w:r>
    </w:p>
    <w:p w:rsidR="00596386" w:rsidRPr="000A1C8E" w:rsidRDefault="00596386" w:rsidP="00596386">
      <w:pPr>
        <w:tabs>
          <w:tab w:val="left" w:pos="360"/>
        </w:tabs>
        <w:jc w:val="both"/>
        <w:rPr>
          <w:rFonts w:cs="Tahoma"/>
        </w:rPr>
      </w:pPr>
    </w:p>
    <w:p w:rsidR="00596386" w:rsidRPr="00BC0F51" w:rsidRDefault="00CB228A" w:rsidP="00E03856">
      <w:pPr>
        <w:pStyle w:val="normal1"/>
        <w:jc w:val="both"/>
      </w:pPr>
      <w:r w:rsidRPr="00BC0F51">
        <w:rPr>
          <w:color w:val="000000"/>
          <w:sz w:val="18"/>
          <w:szCs w:val="18"/>
        </w:rPr>
        <w:t>Os serviços de Gerenciamento de Entrega de Serviço são fornecidos apenas em inglês, das 9 às 17 horas - horário local,</w:t>
      </w:r>
      <w:r w:rsidRPr="00BC0F51">
        <w:rPr>
          <w:color w:val="FF3399"/>
          <w:sz w:val="18"/>
          <w:szCs w:val="18"/>
        </w:rPr>
        <w:t xml:space="preserve"> </w:t>
      </w:r>
      <w:r w:rsidRPr="00BC0F51">
        <w:rPr>
          <w:sz w:val="18"/>
          <w:szCs w:val="18"/>
        </w:rPr>
        <w:t>de segunda a sexta-feira, com exceção de finais de semana e feriados.</w:t>
      </w:r>
      <w:r w:rsidRPr="00BC0F51">
        <w:rPr>
          <w:color w:val="000000"/>
          <w:sz w:val="18"/>
          <w:szCs w:val="18"/>
          <w:u w:val="single"/>
        </w:rPr>
        <w:t xml:space="preserve"> </w:t>
      </w:r>
    </w:p>
    <w:p w:rsidR="00596386" w:rsidRPr="000A1C8E" w:rsidRDefault="00596386" w:rsidP="00596386">
      <w:pPr>
        <w:pStyle w:val="normal1"/>
        <w:jc w:val="both"/>
        <w:rPr>
          <w:rFonts w:ascii="Tahoma" w:hAnsi="Tahoma" w:cs="Tahoma"/>
        </w:rPr>
      </w:pPr>
    </w:p>
    <w:p w:rsidR="00DC0853" w:rsidRPr="000A1C8E" w:rsidRDefault="00596386" w:rsidP="00DC0853">
      <w:pPr>
        <w:tabs>
          <w:tab w:val="left" w:pos="360"/>
        </w:tabs>
        <w:spacing w:after="60"/>
        <w:jc w:val="both"/>
        <w:rPr>
          <w:rFonts w:cs="Tahoma"/>
        </w:rPr>
      </w:pPr>
      <w:r w:rsidRPr="000A1C8E">
        <w:rPr>
          <w:rFonts w:cs="Tahoma"/>
          <w:b/>
          <w:szCs w:val="18"/>
        </w:rPr>
        <w:t>Outros Serviços de Informações e Benefícios</w:t>
      </w:r>
    </w:p>
    <w:p w:rsidR="00596386" w:rsidRPr="000A1C8E" w:rsidRDefault="00596386" w:rsidP="00596386">
      <w:pPr>
        <w:tabs>
          <w:tab w:val="left" w:pos="360"/>
        </w:tabs>
        <w:jc w:val="both"/>
        <w:rPr>
          <w:rFonts w:cs="Tahoma"/>
        </w:rPr>
      </w:pPr>
      <w:r w:rsidRPr="000A1C8E">
        <w:rPr>
          <w:rFonts w:cs="Tahoma"/>
          <w:szCs w:val="18"/>
        </w:rPr>
        <w:t>Os Serviços de Informações fornecem informações técnicas sobre o Windows Azure e ferramentas de suporte que ajudam os clientes a implementar e operar o Windows Azure de maneira mais eficaz e eficiente.</w:t>
      </w:r>
      <w:r w:rsidR="00DC6D8B" w:rsidRPr="000A1C8E">
        <w:rPr>
          <w:rFonts w:cs="Tahoma"/>
          <w:szCs w:val="18"/>
        </w:rPr>
        <w:t xml:space="preserve"> </w:t>
      </w:r>
      <w:r w:rsidRPr="000A1C8E">
        <w:rPr>
          <w:rFonts w:cs="Tahoma"/>
          <w:szCs w:val="18"/>
        </w:rPr>
        <w:t>Os Serviços de Informações são fornecidos apenas em inglês e incluem o seguinte:</w:t>
      </w:r>
    </w:p>
    <w:p w:rsidR="00596386" w:rsidRPr="000A1C8E" w:rsidRDefault="00596386" w:rsidP="00596386">
      <w:pPr>
        <w:tabs>
          <w:tab w:val="left" w:pos="360"/>
        </w:tabs>
        <w:jc w:val="both"/>
        <w:rPr>
          <w:rFonts w:cs="Tahoma"/>
        </w:rPr>
      </w:pPr>
    </w:p>
    <w:p w:rsidR="00596386" w:rsidRPr="000A1C8E" w:rsidRDefault="00596386" w:rsidP="00746B5E">
      <w:pPr>
        <w:pStyle w:val="ListParagraph"/>
        <w:numPr>
          <w:ilvl w:val="0"/>
          <w:numId w:val="113"/>
        </w:numPr>
        <w:tabs>
          <w:tab w:val="left" w:pos="360"/>
        </w:tabs>
        <w:spacing w:after="60"/>
        <w:ind w:left="1440"/>
        <w:contextualSpacing w:val="0"/>
        <w:jc w:val="both"/>
        <w:rPr>
          <w:rFonts w:ascii="Tahoma" w:hAnsi="Tahoma" w:cs="Tahoma"/>
        </w:rPr>
      </w:pPr>
      <w:r w:rsidRPr="000A1C8E">
        <w:rPr>
          <w:rFonts w:ascii="Tahoma" w:hAnsi="Tahoma" w:cs="Tahoma"/>
          <w:b/>
          <w:color w:val="000000"/>
          <w:sz w:val="18"/>
          <w:szCs w:val="18"/>
        </w:rPr>
        <w:t xml:space="preserve">Suporte Profissional Direto para conteúdo exclusivo do Windows Azure. </w:t>
      </w:r>
      <w:r w:rsidRPr="000A1C8E">
        <w:rPr>
          <w:rFonts w:ascii="Tahoma" w:hAnsi="Tahoma" w:cs="Tahoma"/>
          <w:snapToGrid w:val="0"/>
          <w:sz w:val="18"/>
          <w:szCs w:val="18"/>
        </w:rPr>
        <w:t>Aos clientes será concedido acesso ao conteúdo exclusivo do Windows Azure, incluindo, mas não se limitando, publicações online relacionadas aos guias de práticas recomendadas de implantação e</w:t>
      </w:r>
      <w:r w:rsidR="00746B5E" w:rsidRPr="000A1C8E">
        <w:rPr>
          <w:rFonts w:ascii="Tahoma" w:hAnsi="Tahoma" w:cs="Tahoma"/>
          <w:snapToGrid w:val="0"/>
          <w:sz w:val="18"/>
          <w:szCs w:val="18"/>
        </w:rPr>
        <w:t> </w:t>
      </w:r>
      <w:r w:rsidRPr="000A1C8E">
        <w:rPr>
          <w:rFonts w:ascii="Tahoma" w:hAnsi="Tahoma" w:cs="Tahoma"/>
          <w:snapToGrid w:val="0"/>
          <w:sz w:val="18"/>
          <w:szCs w:val="18"/>
        </w:rPr>
        <w:t>arquiteturais, conteúdo de treinamento arquivado, notificações de Webinars futuros e outras informações gerais sobre o Windows Azure.</w:t>
      </w:r>
    </w:p>
    <w:p w:rsidR="00596386" w:rsidRPr="000A1C8E" w:rsidRDefault="00596386" w:rsidP="00746B5E">
      <w:pPr>
        <w:numPr>
          <w:ilvl w:val="0"/>
          <w:numId w:val="113"/>
        </w:numPr>
        <w:tabs>
          <w:tab w:val="left" w:pos="360"/>
        </w:tabs>
        <w:spacing w:after="60"/>
        <w:ind w:left="1440"/>
        <w:jc w:val="both"/>
        <w:rPr>
          <w:rFonts w:cs="Tahoma"/>
        </w:rPr>
      </w:pPr>
      <w:r w:rsidRPr="000A1C8E">
        <w:rPr>
          <w:rFonts w:cs="Tahoma"/>
          <w:b/>
          <w:color w:val="000000"/>
          <w:szCs w:val="18"/>
        </w:rPr>
        <w:t>Webinars.</w:t>
      </w:r>
      <w:r w:rsidRPr="000A1C8E">
        <w:rPr>
          <w:rFonts w:cs="Tahoma"/>
          <w:szCs w:val="18"/>
        </w:rPr>
        <w:t xml:space="preserve"> Webinars são discussões programadas regularmente conduzidas por profissionais da Microsoft, abrangendo áreas principais dos Serviços Online da Microsoft. Os Webinars incluem, sem se limitar, o “Guia de Introdução” ao Windows Azure, REsumo dos Novos Recursos e Perguntas e</w:t>
      </w:r>
      <w:r w:rsidR="00746B5E" w:rsidRPr="000A1C8E">
        <w:rPr>
          <w:rFonts w:cs="Tahoma"/>
          <w:szCs w:val="18"/>
        </w:rPr>
        <w:t> </w:t>
      </w:r>
      <w:r w:rsidRPr="000A1C8E">
        <w:rPr>
          <w:rFonts w:cs="Tahoma"/>
          <w:szCs w:val="18"/>
        </w:rPr>
        <w:t xml:space="preserve">Respostas “Pergunte aos Especialistas”. </w:t>
      </w:r>
    </w:p>
    <w:p w:rsidR="00CA7FF3" w:rsidRDefault="00CA7FF3" w:rsidP="00CA7FF3">
      <w:pPr>
        <w:tabs>
          <w:tab w:val="left" w:pos="360"/>
        </w:tabs>
        <w:spacing w:after="60"/>
        <w:ind w:left="1440"/>
        <w:jc w:val="both"/>
        <w:rPr>
          <w:rFonts w:cs="Tahoma"/>
          <w:b/>
          <w:color w:val="000000"/>
          <w:szCs w:val="18"/>
        </w:rPr>
      </w:pPr>
    </w:p>
    <w:p w:rsidR="00BD3A67" w:rsidRPr="000A1C8E" w:rsidRDefault="00BD3A67" w:rsidP="00CA7FF3">
      <w:pPr>
        <w:tabs>
          <w:tab w:val="left" w:pos="360"/>
        </w:tabs>
        <w:spacing w:after="60"/>
        <w:ind w:left="1440"/>
        <w:jc w:val="both"/>
        <w:rPr>
          <w:rFonts w:cs="Tahoma"/>
          <w:b/>
          <w:color w:val="000000"/>
          <w:szCs w:val="18"/>
        </w:rPr>
      </w:pPr>
    </w:p>
    <w:p w:rsidR="00CA7FF3" w:rsidRPr="000A1C8E" w:rsidRDefault="00CA7FF3" w:rsidP="00CA7FF3">
      <w:pPr>
        <w:tabs>
          <w:tab w:val="left" w:pos="360"/>
        </w:tabs>
        <w:spacing w:after="60"/>
        <w:ind w:left="1440"/>
        <w:jc w:val="both"/>
        <w:rPr>
          <w:rFonts w:cs="Tahoma"/>
        </w:rPr>
      </w:pPr>
    </w:p>
    <w:p w:rsidR="00596386" w:rsidRPr="000A1C8E" w:rsidRDefault="00596386" w:rsidP="00346F4B">
      <w:pPr>
        <w:numPr>
          <w:ilvl w:val="0"/>
          <w:numId w:val="113"/>
        </w:numPr>
        <w:tabs>
          <w:tab w:val="left" w:pos="360"/>
        </w:tabs>
        <w:spacing w:after="60"/>
        <w:ind w:left="1440"/>
        <w:jc w:val="both"/>
        <w:rPr>
          <w:rFonts w:cs="Tahoma"/>
        </w:rPr>
      </w:pPr>
      <w:r w:rsidRPr="000A1C8E">
        <w:rPr>
          <w:rFonts w:cs="Tahoma"/>
          <w:b/>
          <w:color w:val="000000"/>
          <w:szCs w:val="18"/>
        </w:rPr>
        <w:lastRenderedPageBreak/>
        <w:t>Serviços de Consultoria Adicionais executados por Gerentes de Entrega Direta Profissionais.</w:t>
      </w:r>
    </w:p>
    <w:p w:rsidR="00596386" w:rsidRPr="000A1C8E" w:rsidRDefault="00596386" w:rsidP="00346F4B">
      <w:pPr>
        <w:numPr>
          <w:ilvl w:val="1"/>
          <w:numId w:val="99"/>
        </w:numPr>
        <w:tabs>
          <w:tab w:val="left" w:pos="360"/>
        </w:tabs>
        <w:spacing w:after="60"/>
        <w:ind w:left="1980"/>
        <w:jc w:val="both"/>
        <w:rPr>
          <w:rFonts w:cs="Tahoma"/>
        </w:rPr>
      </w:pPr>
      <w:r w:rsidRPr="000A1C8E">
        <w:rPr>
          <w:rFonts w:cs="Tahoma"/>
          <w:snapToGrid w:val="0"/>
          <w:szCs w:val="18"/>
        </w:rPr>
        <w:t>Refere-se aos principais recursos online.</w:t>
      </w:r>
      <w:r w:rsidR="00DC6D8B" w:rsidRPr="000A1C8E">
        <w:rPr>
          <w:rFonts w:cs="Tahoma"/>
          <w:snapToGrid w:val="0"/>
          <w:szCs w:val="18"/>
        </w:rPr>
        <w:t xml:space="preserve"> </w:t>
      </w:r>
      <w:r w:rsidRPr="000A1C8E">
        <w:rPr>
          <w:rFonts w:cs="Tahoma"/>
          <w:snapToGrid w:val="0"/>
          <w:szCs w:val="18"/>
        </w:rPr>
        <w:t>Um Gerente de Entrega Direta Profissional fornecerá aos clientes recomendações, inclusive instruções sobre como acessar recursos de autoatendimento para ajudar a solucionar as dúvidas sobre recursos e serviços comuns do Windows Azure.</w:t>
      </w:r>
    </w:p>
    <w:p w:rsidR="00596386" w:rsidRPr="000A1C8E" w:rsidRDefault="00596386" w:rsidP="00346F4B">
      <w:pPr>
        <w:numPr>
          <w:ilvl w:val="1"/>
          <w:numId w:val="99"/>
        </w:numPr>
        <w:spacing w:after="60"/>
        <w:ind w:left="1980"/>
        <w:jc w:val="both"/>
        <w:rPr>
          <w:rFonts w:cs="Tahoma"/>
        </w:rPr>
      </w:pPr>
      <w:r w:rsidRPr="000A1C8E">
        <w:rPr>
          <w:rFonts w:cs="Tahoma"/>
          <w:snapToGrid w:val="0"/>
          <w:szCs w:val="18"/>
        </w:rPr>
        <w:t>Tendência básica de incidentes.</w:t>
      </w:r>
      <w:r w:rsidR="00DC6D8B" w:rsidRPr="000A1C8E">
        <w:rPr>
          <w:rFonts w:cs="Tahoma"/>
          <w:snapToGrid w:val="0"/>
          <w:szCs w:val="18"/>
        </w:rPr>
        <w:t xml:space="preserve"> </w:t>
      </w:r>
      <w:r w:rsidRPr="000A1C8E">
        <w:rPr>
          <w:rFonts w:cs="Tahoma"/>
          <w:snapToGrid w:val="0"/>
          <w:szCs w:val="18"/>
        </w:rPr>
        <w:t>Um Gerente de Entrega Direta Profissional ajudará a detectar e avaliar a causa-raiz de solicitações comuns de suporte enviadas pelos clientes, fornecendo sugestões sobre como minimizar tais problemas de suporte no futuro.</w:t>
      </w:r>
    </w:p>
    <w:p w:rsidR="00596386" w:rsidRPr="000A1C8E" w:rsidRDefault="00596386" w:rsidP="003F1A34">
      <w:pPr>
        <w:numPr>
          <w:ilvl w:val="0"/>
          <w:numId w:val="113"/>
        </w:numPr>
        <w:tabs>
          <w:tab w:val="left" w:pos="360"/>
        </w:tabs>
        <w:spacing w:after="60"/>
        <w:ind w:left="1440"/>
        <w:jc w:val="both"/>
        <w:rPr>
          <w:rFonts w:cs="Tahoma"/>
        </w:rPr>
      </w:pPr>
      <w:r w:rsidRPr="000A1C8E">
        <w:rPr>
          <w:rFonts w:cs="Tahoma"/>
          <w:b/>
          <w:color w:val="000000"/>
          <w:szCs w:val="18"/>
        </w:rPr>
        <w:t xml:space="preserve">Relatórios de Otimização do Windows Azure. </w:t>
      </w:r>
      <w:r w:rsidRPr="000A1C8E">
        <w:rPr>
          <w:rFonts w:cs="Tahoma"/>
          <w:szCs w:val="18"/>
        </w:rPr>
        <w:t>Um Gerente de Entrega Direta Profissional fornecerá relatórios regulares para ajudar a identificar riscos de segurança em potencial e oportunidades de otimização.</w:t>
      </w:r>
      <w:r w:rsidR="00DC6D8B" w:rsidRPr="000A1C8E">
        <w:rPr>
          <w:rFonts w:cs="Tahoma"/>
        </w:rPr>
        <w:t xml:space="preserve"> </w:t>
      </w:r>
    </w:p>
    <w:p w:rsidR="00A47BFD" w:rsidRPr="000A1C8E" w:rsidRDefault="00A47BFD" w:rsidP="00596386">
      <w:pPr>
        <w:pStyle w:val="normal1"/>
        <w:jc w:val="both"/>
        <w:rPr>
          <w:rFonts w:ascii="Tahoma" w:hAnsi="Tahoma" w:cs="Tahoma"/>
        </w:rPr>
      </w:pPr>
    </w:p>
    <w:p w:rsidR="00596386" w:rsidRPr="000A1C8E" w:rsidRDefault="00596386" w:rsidP="00596386">
      <w:pPr>
        <w:tabs>
          <w:tab w:val="left" w:pos="360"/>
        </w:tabs>
        <w:jc w:val="both"/>
        <w:rPr>
          <w:rFonts w:cs="Tahoma"/>
        </w:rPr>
      </w:pPr>
      <w:r w:rsidRPr="000A1C8E">
        <w:rPr>
          <w:rFonts w:cs="Tahoma"/>
          <w:b/>
          <w:sz w:val="24"/>
          <w:szCs w:val="18"/>
        </w:rPr>
        <w:t>Suporte Padrão para Windows Azure</w:t>
      </w:r>
    </w:p>
    <w:p w:rsidR="00596386" w:rsidRPr="000A1C8E" w:rsidRDefault="00596386" w:rsidP="00596386">
      <w:pPr>
        <w:tabs>
          <w:tab w:val="left" w:pos="360"/>
        </w:tabs>
        <w:jc w:val="both"/>
        <w:rPr>
          <w:rFonts w:cs="Tahoma"/>
        </w:rPr>
      </w:pPr>
    </w:p>
    <w:p w:rsidR="00596386" w:rsidRPr="000A1C8E" w:rsidRDefault="00A47BFD" w:rsidP="00596386">
      <w:pPr>
        <w:rPr>
          <w:rFonts w:cs="Tahoma"/>
        </w:rPr>
      </w:pPr>
      <w:r w:rsidRPr="000A1C8E">
        <w:rPr>
          <w:rFonts w:cs="Tahoma"/>
          <w:color w:val="000000"/>
          <w:szCs w:val="18"/>
        </w:rPr>
        <w:t>Os clientes são responsáveis pela definição do nível inicial de gravidade durante o processo de envio pela Web em alinhamento com o guia de gravidade fornecido a seguir.</w:t>
      </w:r>
      <w:r w:rsidR="00DC6D8B" w:rsidRPr="000A1C8E">
        <w:rPr>
          <w:rFonts w:cs="Tahoma"/>
          <w:color w:val="000000"/>
          <w:szCs w:val="18"/>
        </w:rPr>
        <w:t xml:space="preserve"> </w:t>
      </w:r>
      <w:r w:rsidRPr="000A1C8E">
        <w:rPr>
          <w:rFonts w:cs="Tahoma"/>
          <w:color w:val="000000"/>
          <w:szCs w:val="18"/>
        </w:rPr>
        <w:t xml:space="preserve">A Microsoft pode reduzir o nível de gravidade se o cliente não puder fornecer os recursos ou as respostas adequadas para darmos continuidade aos esforços de resolução do problema. </w:t>
      </w:r>
      <w:r w:rsidRPr="000A1C8E">
        <w:rPr>
          <w:rFonts w:cs="Tahoma"/>
          <w:szCs w:val="18"/>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rsidR="00596386" w:rsidRPr="000A1C8E"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0A1C8E" w:rsidTr="002A6416">
        <w:tc>
          <w:tcPr>
            <w:tcW w:w="779" w:type="pct"/>
            <w:shd w:val="clear" w:color="auto" w:fill="FABF8F"/>
          </w:tcPr>
          <w:p w:rsidR="00596386" w:rsidRPr="000A1C8E" w:rsidRDefault="00596386" w:rsidP="0037031E">
            <w:pPr>
              <w:jc w:val="center"/>
              <w:rPr>
                <w:rFonts w:cs="Tahoma"/>
                <w:b/>
                <w:bCs/>
                <w:color w:val="000000"/>
                <w:sz w:val="20"/>
                <w:szCs w:val="18"/>
              </w:rPr>
            </w:pPr>
            <w:r w:rsidRPr="000A1C8E">
              <w:rPr>
                <w:rFonts w:cs="Tahoma"/>
                <w:b/>
                <w:bCs/>
                <w:color w:val="000000"/>
                <w:sz w:val="20"/>
                <w:szCs w:val="18"/>
              </w:rPr>
              <w:t>Severidade</w:t>
            </w:r>
          </w:p>
        </w:tc>
        <w:tc>
          <w:tcPr>
            <w:tcW w:w="1022" w:type="pct"/>
            <w:shd w:val="clear" w:color="auto" w:fill="FABF8F"/>
          </w:tcPr>
          <w:p w:rsidR="00596386" w:rsidRPr="000A1C8E" w:rsidRDefault="00596386" w:rsidP="0037031E">
            <w:pPr>
              <w:jc w:val="center"/>
              <w:rPr>
                <w:rFonts w:cs="Tahoma"/>
                <w:b/>
                <w:bCs/>
                <w:color w:val="000000"/>
                <w:sz w:val="20"/>
                <w:szCs w:val="18"/>
              </w:rPr>
            </w:pPr>
            <w:r w:rsidRPr="000A1C8E">
              <w:rPr>
                <w:rFonts w:cs="Tahoma"/>
                <w:b/>
                <w:bCs/>
                <w:color w:val="000000"/>
                <w:sz w:val="20"/>
                <w:szCs w:val="18"/>
              </w:rPr>
              <w:t>Contato</w:t>
            </w:r>
          </w:p>
        </w:tc>
        <w:tc>
          <w:tcPr>
            <w:tcW w:w="1571" w:type="pct"/>
            <w:shd w:val="clear" w:color="auto" w:fill="FABF8F"/>
          </w:tcPr>
          <w:p w:rsidR="00596386" w:rsidRPr="000A1C8E" w:rsidRDefault="00596386" w:rsidP="0037031E">
            <w:pPr>
              <w:jc w:val="center"/>
              <w:rPr>
                <w:rFonts w:cs="Tahoma"/>
                <w:b/>
                <w:bCs/>
                <w:color w:val="000000"/>
                <w:sz w:val="20"/>
                <w:szCs w:val="18"/>
              </w:rPr>
            </w:pPr>
            <w:r w:rsidRPr="000A1C8E">
              <w:rPr>
                <w:rFonts w:cs="Tahoma"/>
                <w:b/>
                <w:bCs/>
                <w:color w:val="000000"/>
                <w:sz w:val="20"/>
                <w:szCs w:val="18"/>
              </w:rPr>
              <w:t>Situação do Cliente</w:t>
            </w:r>
          </w:p>
        </w:tc>
        <w:tc>
          <w:tcPr>
            <w:tcW w:w="1628" w:type="pct"/>
            <w:shd w:val="clear" w:color="auto" w:fill="FABF8F"/>
          </w:tcPr>
          <w:p w:rsidR="00596386" w:rsidRPr="000A1C8E" w:rsidRDefault="00596386" w:rsidP="0037031E">
            <w:pPr>
              <w:jc w:val="center"/>
              <w:rPr>
                <w:rFonts w:cs="Tahoma"/>
                <w:b/>
                <w:bCs/>
                <w:color w:val="000000"/>
                <w:sz w:val="20"/>
                <w:szCs w:val="18"/>
              </w:rPr>
            </w:pPr>
            <w:r w:rsidRPr="000A1C8E">
              <w:rPr>
                <w:rFonts w:cs="Tahoma"/>
                <w:b/>
                <w:bCs/>
                <w:color w:val="000000"/>
                <w:sz w:val="20"/>
                <w:szCs w:val="18"/>
              </w:rPr>
              <w:t>Resposta Esperada da Microsoft</w:t>
            </w:r>
          </w:p>
        </w:tc>
      </w:tr>
      <w:tr w:rsidR="00596386" w:rsidRPr="000A1C8E" w:rsidTr="002A6416">
        <w:tc>
          <w:tcPr>
            <w:tcW w:w="779" w:type="pct"/>
          </w:tcPr>
          <w:p w:rsidR="00596386" w:rsidRPr="000A1C8E" w:rsidRDefault="00596386" w:rsidP="00647923">
            <w:pPr>
              <w:spacing w:after="60" w:line="240" w:lineRule="atLeast"/>
              <w:jc w:val="center"/>
              <w:rPr>
                <w:rFonts w:cs="Tahoma"/>
                <w:szCs w:val="18"/>
              </w:rPr>
            </w:pPr>
            <w:r w:rsidRPr="000A1C8E">
              <w:rPr>
                <w:rFonts w:cs="Tahoma"/>
                <w:szCs w:val="18"/>
              </w:rPr>
              <w:t>A</w:t>
            </w:r>
          </w:p>
        </w:tc>
        <w:tc>
          <w:tcPr>
            <w:tcW w:w="1022" w:type="pct"/>
          </w:tcPr>
          <w:p w:rsidR="00596386" w:rsidRPr="000A1C8E" w:rsidRDefault="00596386" w:rsidP="00647923">
            <w:pPr>
              <w:spacing w:after="60" w:line="240" w:lineRule="atLeast"/>
              <w:jc w:val="center"/>
              <w:rPr>
                <w:rFonts w:cs="Tahoma"/>
                <w:szCs w:val="18"/>
              </w:rPr>
            </w:pPr>
            <w:r w:rsidRPr="000A1C8E">
              <w:rPr>
                <w:rFonts w:cs="Tahoma"/>
                <w:szCs w:val="18"/>
              </w:rPr>
              <w:t>Solicitação pela Web</w:t>
            </w:r>
          </w:p>
        </w:tc>
        <w:tc>
          <w:tcPr>
            <w:tcW w:w="1571" w:type="pct"/>
          </w:tcPr>
          <w:p w:rsidR="00596386" w:rsidRPr="000A1C8E" w:rsidRDefault="00596386" w:rsidP="00647923">
            <w:pPr>
              <w:spacing w:after="60" w:line="240" w:lineRule="atLeast"/>
              <w:rPr>
                <w:rFonts w:cs="Tahoma"/>
              </w:rPr>
            </w:pPr>
            <w:r w:rsidRPr="000A1C8E">
              <w:rPr>
                <w:rFonts w:cs="Tahoma"/>
                <w:szCs w:val="18"/>
              </w:rPr>
              <w:t>Impacto crítico nos negócios:</w:t>
            </w:r>
          </w:p>
          <w:p w:rsidR="00596386" w:rsidRPr="000A1C8E" w:rsidRDefault="00596386" w:rsidP="00647923">
            <w:pPr>
              <w:spacing w:after="60" w:line="240" w:lineRule="atLeast"/>
              <w:rPr>
                <w:rFonts w:cs="Tahoma"/>
              </w:rPr>
            </w:pPr>
            <w:r w:rsidRPr="000A1C8E">
              <w:rPr>
                <w:rFonts w:cs="Tahoma"/>
                <w:szCs w:val="18"/>
              </w:rPr>
              <w:t>Perda ou degradação significativa de serviços (aplicativo inativo)</w:t>
            </w:r>
          </w:p>
          <w:p w:rsidR="00596386" w:rsidRPr="000A1C8E" w:rsidRDefault="00596386" w:rsidP="00647923">
            <w:pPr>
              <w:spacing w:after="60" w:line="240" w:lineRule="atLeast"/>
              <w:rPr>
                <w:rFonts w:cs="Tahoma"/>
                <w:szCs w:val="18"/>
              </w:rPr>
            </w:pPr>
            <w:r w:rsidRPr="000A1C8E">
              <w:rPr>
                <w:rFonts w:cs="Tahoma"/>
                <w:szCs w:val="18"/>
              </w:rPr>
              <w:t>Necessita de atenção em 2 horas</w:t>
            </w:r>
          </w:p>
        </w:tc>
        <w:tc>
          <w:tcPr>
            <w:tcW w:w="1628" w:type="pct"/>
          </w:tcPr>
          <w:p w:rsidR="00596386" w:rsidRPr="000A1C8E" w:rsidRDefault="00596386" w:rsidP="00647923">
            <w:pPr>
              <w:spacing w:after="60" w:line="240" w:lineRule="atLeast"/>
              <w:rPr>
                <w:rFonts w:cs="Tahoma"/>
              </w:rPr>
            </w:pPr>
            <w:r w:rsidRPr="000A1C8E">
              <w:rPr>
                <w:rFonts w:cs="Tahoma"/>
                <w:szCs w:val="18"/>
              </w:rPr>
              <w:t>1</w:t>
            </w:r>
            <w:r w:rsidRPr="000A1C8E">
              <w:rPr>
                <w:rFonts w:cs="Tahoma"/>
                <w:szCs w:val="18"/>
                <w:vertAlign w:val="superscript"/>
              </w:rPr>
              <w:t>ª</w:t>
            </w:r>
            <w:r w:rsidRPr="000A1C8E">
              <w:rPr>
                <w:rFonts w:cs="Tahoma"/>
                <w:szCs w:val="18"/>
              </w:rPr>
              <w:t xml:space="preserve"> resposta em 2 horas ou menos</w:t>
            </w:r>
          </w:p>
          <w:p w:rsidR="00596386" w:rsidRPr="000A1C8E" w:rsidRDefault="00596386" w:rsidP="00647923">
            <w:pPr>
              <w:spacing w:after="60" w:line="240" w:lineRule="atLeast"/>
              <w:rPr>
                <w:rFonts w:cs="Tahoma"/>
                <w:szCs w:val="18"/>
              </w:rPr>
            </w:pPr>
          </w:p>
        </w:tc>
      </w:tr>
      <w:tr w:rsidR="00596386" w:rsidRPr="000A1C8E" w:rsidTr="002A6416">
        <w:tc>
          <w:tcPr>
            <w:tcW w:w="779" w:type="pct"/>
          </w:tcPr>
          <w:p w:rsidR="00596386" w:rsidRPr="000A1C8E" w:rsidRDefault="00596386" w:rsidP="00D824E9">
            <w:pPr>
              <w:keepNext/>
              <w:spacing w:after="60" w:line="240" w:lineRule="atLeast"/>
              <w:jc w:val="center"/>
              <w:rPr>
                <w:rFonts w:cs="Tahoma"/>
                <w:szCs w:val="18"/>
              </w:rPr>
            </w:pPr>
            <w:r w:rsidRPr="000A1C8E">
              <w:rPr>
                <w:rFonts w:cs="Tahoma"/>
                <w:szCs w:val="18"/>
              </w:rPr>
              <w:t>B</w:t>
            </w:r>
          </w:p>
        </w:tc>
        <w:tc>
          <w:tcPr>
            <w:tcW w:w="1022" w:type="pct"/>
          </w:tcPr>
          <w:p w:rsidR="00596386" w:rsidRPr="000A1C8E" w:rsidRDefault="00596386" w:rsidP="00647923">
            <w:pPr>
              <w:spacing w:after="60" w:line="240" w:lineRule="atLeast"/>
              <w:jc w:val="center"/>
              <w:rPr>
                <w:rFonts w:cs="Tahoma"/>
                <w:szCs w:val="18"/>
              </w:rPr>
            </w:pPr>
            <w:r w:rsidRPr="000A1C8E">
              <w:rPr>
                <w:rFonts w:cs="Tahoma"/>
                <w:szCs w:val="18"/>
              </w:rPr>
              <w:t>Solicitação pela Web</w:t>
            </w:r>
          </w:p>
        </w:tc>
        <w:tc>
          <w:tcPr>
            <w:tcW w:w="1571" w:type="pct"/>
          </w:tcPr>
          <w:p w:rsidR="00596386" w:rsidRPr="000A1C8E" w:rsidRDefault="00596386" w:rsidP="00647923">
            <w:pPr>
              <w:spacing w:after="60" w:line="240" w:lineRule="atLeast"/>
              <w:rPr>
                <w:rFonts w:cs="Tahoma"/>
              </w:rPr>
            </w:pPr>
            <w:r w:rsidRPr="000A1C8E">
              <w:rPr>
                <w:rFonts w:cs="Tahoma"/>
                <w:szCs w:val="18"/>
              </w:rPr>
              <w:t xml:space="preserve">Impacto moderado nos negócios: </w:t>
            </w:r>
          </w:p>
          <w:p w:rsidR="00596386" w:rsidRPr="000A1C8E" w:rsidRDefault="00596386" w:rsidP="00647923">
            <w:pPr>
              <w:spacing w:line="240" w:lineRule="atLeast"/>
              <w:rPr>
                <w:rFonts w:cs="Tahoma"/>
              </w:rPr>
            </w:pPr>
            <w:r w:rsidRPr="000A1C8E">
              <w:rPr>
                <w:rFonts w:cs="Tahoma"/>
                <w:szCs w:val="18"/>
              </w:rPr>
              <w:t>Perda ou degradação moderada dos serviços, mas o trabalho pode razoavelmente continuar de maneira prejudicada</w:t>
            </w:r>
          </w:p>
          <w:p w:rsidR="00596386" w:rsidRPr="000A1C8E" w:rsidRDefault="00596386" w:rsidP="00647923">
            <w:pPr>
              <w:spacing w:after="60" w:line="240" w:lineRule="atLeast"/>
              <w:rPr>
                <w:rFonts w:cs="Tahoma"/>
                <w:szCs w:val="18"/>
              </w:rPr>
            </w:pPr>
            <w:r w:rsidRPr="000A1C8E">
              <w:rPr>
                <w:rFonts w:cs="Tahoma"/>
                <w:szCs w:val="18"/>
              </w:rPr>
              <w:t>Necessita de atenção em 4 horas</w:t>
            </w:r>
          </w:p>
        </w:tc>
        <w:tc>
          <w:tcPr>
            <w:tcW w:w="1628" w:type="pct"/>
          </w:tcPr>
          <w:p w:rsidR="00596386" w:rsidRPr="000A1C8E" w:rsidRDefault="00596386" w:rsidP="00647923">
            <w:pPr>
              <w:spacing w:line="240" w:lineRule="atLeast"/>
              <w:rPr>
                <w:rFonts w:cs="Tahoma"/>
              </w:rPr>
            </w:pPr>
            <w:r w:rsidRPr="000A1C8E">
              <w:rPr>
                <w:rFonts w:cs="Tahoma"/>
                <w:szCs w:val="18"/>
              </w:rPr>
              <w:t>1</w:t>
            </w:r>
            <w:r w:rsidRPr="000A1C8E">
              <w:rPr>
                <w:rFonts w:cs="Tahoma"/>
                <w:szCs w:val="18"/>
                <w:vertAlign w:val="superscript"/>
              </w:rPr>
              <w:t>ª</w:t>
            </w:r>
            <w:r w:rsidRPr="000A1C8E">
              <w:rPr>
                <w:rFonts w:cs="Tahoma"/>
                <w:szCs w:val="18"/>
              </w:rPr>
              <w:t xml:space="preserve"> resposta em 4 horas ou menos</w:t>
            </w:r>
          </w:p>
          <w:p w:rsidR="00596386" w:rsidRPr="000A1C8E" w:rsidRDefault="00596386" w:rsidP="00647923">
            <w:pPr>
              <w:spacing w:after="60" w:line="240" w:lineRule="atLeast"/>
              <w:rPr>
                <w:rFonts w:cs="Tahoma"/>
                <w:szCs w:val="18"/>
              </w:rPr>
            </w:pPr>
          </w:p>
        </w:tc>
      </w:tr>
      <w:tr w:rsidR="00596386" w:rsidRPr="000A1C8E" w:rsidTr="002A6416">
        <w:tc>
          <w:tcPr>
            <w:tcW w:w="779" w:type="pct"/>
          </w:tcPr>
          <w:p w:rsidR="00596386" w:rsidRPr="000A1C8E" w:rsidRDefault="00596386" w:rsidP="00647923">
            <w:pPr>
              <w:spacing w:after="60" w:line="240" w:lineRule="atLeast"/>
              <w:jc w:val="center"/>
              <w:rPr>
                <w:rFonts w:cs="Tahoma"/>
                <w:szCs w:val="18"/>
              </w:rPr>
            </w:pPr>
            <w:r w:rsidRPr="000A1C8E">
              <w:rPr>
                <w:rFonts w:cs="Tahoma"/>
                <w:szCs w:val="18"/>
              </w:rPr>
              <w:t>C</w:t>
            </w:r>
          </w:p>
        </w:tc>
        <w:tc>
          <w:tcPr>
            <w:tcW w:w="1022" w:type="pct"/>
          </w:tcPr>
          <w:p w:rsidR="00596386" w:rsidRPr="000A1C8E" w:rsidRDefault="00596386" w:rsidP="00647923">
            <w:pPr>
              <w:spacing w:after="60" w:line="240" w:lineRule="atLeast"/>
              <w:jc w:val="center"/>
              <w:rPr>
                <w:rFonts w:cs="Tahoma"/>
                <w:szCs w:val="18"/>
              </w:rPr>
            </w:pPr>
            <w:r w:rsidRPr="000A1C8E">
              <w:rPr>
                <w:rFonts w:cs="Tahoma"/>
                <w:szCs w:val="18"/>
              </w:rPr>
              <w:t>Solicitação pela Web</w:t>
            </w:r>
          </w:p>
        </w:tc>
        <w:tc>
          <w:tcPr>
            <w:tcW w:w="1571" w:type="pct"/>
          </w:tcPr>
          <w:p w:rsidR="00596386" w:rsidRPr="000A1C8E" w:rsidRDefault="00596386" w:rsidP="00647923">
            <w:pPr>
              <w:rPr>
                <w:rFonts w:cs="Tahoma"/>
              </w:rPr>
            </w:pPr>
            <w:r w:rsidRPr="000A1C8E">
              <w:rPr>
                <w:rFonts w:cs="Tahoma"/>
                <w:szCs w:val="18"/>
              </w:rPr>
              <w:t>Impacto mínimo nos negócios:</w:t>
            </w:r>
          </w:p>
          <w:p w:rsidR="00596386" w:rsidRPr="000A1C8E" w:rsidRDefault="00596386" w:rsidP="00647923">
            <w:pPr>
              <w:rPr>
                <w:rFonts w:cs="Tahoma"/>
              </w:rPr>
            </w:pPr>
            <w:r w:rsidRPr="000A1C8E">
              <w:rPr>
                <w:rFonts w:cs="Tahoma"/>
                <w:szCs w:val="18"/>
              </w:rPr>
              <w:t>Funcionamento de forma substancial, com poucos ou nenhum impedimento dos serviços</w:t>
            </w:r>
          </w:p>
          <w:p w:rsidR="00596386" w:rsidRPr="000A1C8E" w:rsidRDefault="00596386" w:rsidP="00647923">
            <w:pPr>
              <w:spacing w:after="60" w:line="240" w:lineRule="atLeast"/>
              <w:rPr>
                <w:rFonts w:cs="Tahoma"/>
                <w:szCs w:val="18"/>
              </w:rPr>
            </w:pPr>
            <w:r w:rsidRPr="000A1C8E">
              <w:rPr>
                <w:rFonts w:cs="Tahoma"/>
                <w:szCs w:val="18"/>
              </w:rPr>
              <w:t>Necessita de atenção em 8 horas</w:t>
            </w:r>
          </w:p>
        </w:tc>
        <w:tc>
          <w:tcPr>
            <w:tcW w:w="1628" w:type="pct"/>
          </w:tcPr>
          <w:p w:rsidR="00596386" w:rsidRPr="000A1C8E" w:rsidRDefault="00596386" w:rsidP="00647923">
            <w:pPr>
              <w:rPr>
                <w:rFonts w:cs="Tahoma"/>
              </w:rPr>
            </w:pPr>
            <w:r w:rsidRPr="000A1C8E">
              <w:rPr>
                <w:rFonts w:cs="Tahoma"/>
                <w:szCs w:val="18"/>
              </w:rPr>
              <w:t>1</w:t>
            </w:r>
            <w:r w:rsidRPr="000A1C8E">
              <w:rPr>
                <w:rFonts w:cs="Tahoma"/>
                <w:szCs w:val="18"/>
                <w:vertAlign w:val="superscript"/>
              </w:rPr>
              <w:t>ª</w:t>
            </w:r>
            <w:r w:rsidRPr="000A1C8E">
              <w:rPr>
                <w:rFonts w:cs="Tahoma"/>
                <w:szCs w:val="18"/>
              </w:rPr>
              <w:t xml:space="preserve"> resposta em 8 horas ou menos</w:t>
            </w:r>
          </w:p>
          <w:p w:rsidR="00596386" w:rsidRPr="000A1C8E" w:rsidRDefault="00596386" w:rsidP="00647923">
            <w:pPr>
              <w:spacing w:line="240" w:lineRule="atLeast"/>
              <w:rPr>
                <w:rFonts w:cs="Tahoma"/>
                <w:szCs w:val="18"/>
              </w:rPr>
            </w:pPr>
          </w:p>
        </w:tc>
      </w:tr>
    </w:tbl>
    <w:p w:rsidR="00596386" w:rsidRPr="000A1C8E" w:rsidRDefault="00596386" w:rsidP="00596386">
      <w:pPr>
        <w:rPr>
          <w:rFonts w:cs="Tahoma"/>
        </w:rPr>
      </w:pPr>
    </w:p>
    <w:p w:rsidR="00596386" w:rsidRPr="000A1C8E" w:rsidRDefault="00596386" w:rsidP="00596386">
      <w:pPr>
        <w:tabs>
          <w:tab w:val="left" w:pos="360"/>
        </w:tabs>
        <w:jc w:val="both"/>
        <w:rPr>
          <w:rFonts w:cs="Tahoma"/>
        </w:rPr>
      </w:pPr>
      <w:r w:rsidRPr="000A1C8E">
        <w:rPr>
          <w:rFonts w:cs="Tahoma"/>
          <w:snapToGrid w:val="0"/>
          <w:color w:val="000000"/>
          <w:szCs w:val="18"/>
        </w:rPr>
        <w:t>Os clientes podem optar por receber um retorno de chamada da Microsoft em até 3 incidentes por mês.</w:t>
      </w:r>
      <w:r w:rsidR="00DC6D8B" w:rsidRPr="000A1C8E">
        <w:rPr>
          <w:rFonts w:cs="Tahoma"/>
          <w:snapToGrid w:val="0"/>
          <w:color w:val="000000"/>
          <w:szCs w:val="18"/>
        </w:rPr>
        <w:t xml:space="preserve"> </w:t>
      </w:r>
      <w:r w:rsidRPr="000A1C8E">
        <w:rPr>
          <w:rFonts w:cs="Tahoma"/>
          <w:snapToGrid w:val="0"/>
          <w:color w:val="000000"/>
          <w:szCs w:val="18"/>
        </w:rPr>
        <w:t>Caso contrário, a equipe de Suporte do Windows Azure solucionará o problema e ajudará a resolver o incidente pelos canais online (por exemplo, por email ou portal do Windows Azure).</w:t>
      </w:r>
      <w:r w:rsidR="00DC6D8B" w:rsidRPr="000A1C8E">
        <w:rPr>
          <w:rFonts w:cs="Tahoma"/>
          <w:snapToGrid w:val="0"/>
          <w:color w:val="000000"/>
          <w:szCs w:val="18"/>
        </w:rPr>
        <w:t xml:space="preserve"> </w:t>
      </w:r>
    </w:p>
    <w:p w:rsidR="00596386" w:rsidRPr="000A1C8E" w:rsidRDefault="00596386" w:rsidP="00DD7F8E">
      <w:pPr>
        <w:rPr>
          <w:rFonts w:cs="Tahoma"/>
        </w:rPr>
      </w:pPr>
    </w:p>
    <w:p w:rsidR="00DD7F8E" w:rsidRPr="000A1C8E" w:rsidRDefault="00DD7F8E" w:rsidP="00DD7F8E">
      <w:pPr>
        <w:rPr>
          <w:rFonts w:cs="Tahoma"/>
        </w:rPr>
      </w:pPr>
      <w:r w:rsidRPr="000A1C8E">
        <w:rPr>
          <w:rFonts w:cs="Tahoma"/>
          <w:b/>
          <w:sz w:val="24"/>
          <w:szCs w:val="24"/>
        </w:rPr>
        <w:t>Ofertas do Programa Microsoft Enterprise Strategy</w:t>
      </w:r>
    </w:p>
    <w:p w:rsidR="00DD7F8E" w:rsidRPr="000A1C8E" w:rsidRDefault="00DD7F8E" w:rsidP="00DD7F8E">
      <w:pPr>
        <w:rPr>
          <w:rFonts w:cs="Tahoma"/>
        </w:rPr>
      </w:pPr>
    </w:p>
    <w:p w:rsidR="00DD7F8E" w:rsidRPr="000A1C8E" w:rsidRDefault="00DD7F8E" w:rsidP="006D6BED">
      <w:pPr>
        <w:widowControl w:val="0"/>
        <w:tabs>
          <w:tab w:val="left" w:pos="720"/>
          <w:tab w:val="left" w:pos="1170"/>
        </w:tabs>
        <w:spacing w:after="60"/>
        <w:rPr>
          <w:rFonts w:cs="Tahoma"/>
        </w:rPr>
      </w:pPr>
      <w:r w:rsidRPr="000A1C8E">
        <w:rPr>
          <w:rFonts w:cs="Tahoma"/>
          <w:b/>
          <w:bCs/>
          <w:szCs w:val="18"/>
        </w:rPr>
        <w:t>Visão Geral do Programa Enterprise Strategy</w:t>
      </w:r>
    </w:p>
    <w:p w:rsidR="00DD7F8E" w:rsidRPr="000A1C8E" w:rsidRDefault="00DD7F8E" w:rsidP="006D6BED">
      <w:pPr>
        <w:rPr>
          <w:rFonts w:cs="Tahoma"/>
        </w:rPr>
      </w:pPr>
      <w:r w:rsidRPr="000A1C8E">
        <w:rPr>
          <w:rFonts w:cs="Tahoma"/>
        </w:rPr>
        <w:t xml:space="preserve">O Programa Enterprise Strategy para o Contrato Microsoft Enterprise oferece aos clientes a consultoria de um Arquitetos Microsoft Enterprise sobre como acelerar o tempo de adoção da tecnologia e como planejar uma alteração significativa para valorizar seu investimento feito nas tecnologias e nos produtos da Microsoft. Cronogramas, datas e programações de entrega são apenas estimativas e estão sujeitos a alterações. </w:t>
      </w:r>
    </w:p>
    <w:p w:rsidR="00DD7F8E" w:rsidRPr="000A1C8E" w:rsidRDefault="00DD7F8E" w:rsidP="006D6BED">
      <w:pPr>
        <w:rPr>
          <w:rFonts w:cs="Tahoma"/>
        </w:rPr>
      </w:pPr>
    </w:p>
    <w:p w:rsidR="00393517" w:rsidRPr="000A1C8E" w:rsidRDefault="00393517" w:rsidP="006D6BED">
      <w:pPr>
        <w:rPr>
          <w:rFonts w:cs="Tahoma"/>
        </w:rPr>
      </w:pPr>
    </w:p>
    <w:p w:rsidR="00393517" w:rsidRPr="000A1C8E" w:rsidRDefault="00393517" w:rsidP="006D6BED">
      <w:pPr>
        <w:rPr>
          <w:rFonts w:cs="Tahoma"/>
        </w:rPr>
      </w:pPr>
    </w:p>
    <w:p w:rsidR="0064651F" w:rsidRPr="000A1C8E" w:rsidRDefault="00DD7F8E" w:rsidP="0064651F">
      <w:pPr>
        <w:rPr>
          <w:rFonts w:cs="Tahoma"/>
        </w:rPr>
      </w:pPr>
      <w:r w:rsidRPr="000A1C8E">
        <w:rPr>
          <w:rFonts w:cs="Tahoma"/>
        </w:rPr>
        <w:t>As ofertas do Programa Enterprise Strategy contêm os seguintes componentes, que serão fornecidos para cada ano do Contrato Enterprise do Cliente:</w:t>
      </w:r>
    </w:p>
    <w:p w:rsidR="00FD27BC" w:rsidRPr="000A1C8E" w:rsidRDefault="00FD27BC" w:rsidP="006D6BED">
      <w:pPr>
        <w:rPr>
          <w:rFonts w:cs="Tahoma"/>
        </w:rPr>
      </w:pPr>
      <w:bookmarkStart w:id="926" w:name="OLE_LINK5"/>
      <w:bookmarkStart w:id="927"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0A1C8E" w:rsidTr="002A6416">
        <w:tc>
          <w:tcPr>
            <w:tcW w:w="2555" w:type="dxa"/>
            <w:shd w:val="clear" w:color="auto" w:fill="FABF8F"/>
            <w:vAlign w:val="center"/>
          </w:tcPr>
          <w:p w:rsidR="00FD27BC" w:rsidRPr="000A1C8E" w:rsidRDefault="00FD27BC" w:rsidP="00FD27BC">
            <w:pPr>
              <w:jc w:val="center"/>
              <w:rPr>
                <w:rFonts w:cs="Tahoma"/>
                <w:color w:val="000000"/>
                <w:szCs w:val="18"/>
              </w:rPr>
            </w:pPr>
            <w:r w:rsidRPr="000A1C8E">
              <w:rPr>
                <w:rFonts w:cs="Tahoma"/>
                <w:b/>
                <w:bCs/>
                <w:color w:val="000000"/>
                <w:sz w:val="20"/>
                <w:szCs w:val="18"/>
              </w:rPr>
              <w:t>Área</w:t>
            </w:r>
          </w:p>
        </w:tc>
        <w:tc>
          <w:tcPr>
            <w:tcW w:w="2215" w:type="dxa"/>
            <w:shd w:val="clear" w:color="auto" w:fill="FABF8F"/>
            <w:vAlign w:val="center"/>
          </w:tcPr>
          <w:p w:rsidR="00FD27BC" w:rsidRPr="000A1C8E" w:rsidRDefault="00FD27BC" w:rsidP="00FD27BC">
            <w:pPr>
              <w:jc w:val="center"/>
              <w:rPr>
                <w:rFonts w:cs="Tahoma"/>
                <w:b/>
                <w:bCs/>
                <w:color w:val="000000"/>
                <w:sz w:val="20"/>
                <w:szCs w:val="20"/>
              </w:rPr>
            </w:pPr>
            <w:r w:rsidRPr="000A1C8E">
              <w:rPr>
                <w:rFonts w:cs="Tahoma"/>
                <w:b/>
                <w:bCs/>
                <w:color w:val="000000"/>
                <w:sz w:val="20"/>
                <w:szCs w:val="20"/>
              </w:rPr>
              <w:t>Enterprise Strategy Connect</w:t>
            </w:r>
          </w:p>
        </w:tc>
        <w:tc>
          <w:tcPr>
            <w:tcW w:w="2340" w:type="dxa"/>
            <w:shd w:val="clear" w:color="auto" w:fill="FABF8F"/>
            <w:vAlign w:val="center"/>
          </w:tcPr>
          <w:p w:rsidR="00FD27BC" w:rsidRPr="000A1C8E" w:rsidRDefault="00FD27BC" w:rsidP="00FD27BC">
            <w:pPr>
              <w:jc w:val="center"/>
              <w:rPr>
                <w:rFonts w:cs="Tahoma"/>
                <w:color w:val="000000"/>
                <w:sz w:val="20"/>
                <w:szCs w:val="20"/>
              </w:rPr>
            </w:pPr>
            <w:r w:rsidRPr="000A1C8E">
              <w:rPr>
                <w:rFonts w:cs="Tahoma"/>
                <w:b/>
                <w:bCs/>
                <w:color w:val="000000"/>
                <w:sz w:val="20"/>
                <w:szCs w:val="20"/>
              </w:rPr>
              <w:t>Enterprise Strategy Foundation</w:t>
            </w:r>
          </w:p>
        </w:tc>
        <w:tc>
          <w:tcPr>
            <w:tcW w:w="2250" w:type="dxa"/>
            <w:shd w:val="clear" w:color="auto" w:fill="FABF8F"/>
            <w:vAlign w:val="center"/>
          </w:tcPr>
          <w:p w:rsidR="00FD27BC" w:rsidRPr="000A1C8E" w:rsidRDefault="00FD27BC" w:rsidP="00FD27BC">
            <w:pPr>
              <w:jc w:val="center"/>
              <w:rPr>
                <w:rFonts w:cs="Tahoma"/>
                <w:b/>
                <w:bCs/>
                <w:color w:val="000000"/>
                <w:sz w:val="20"/>
                <w:szCs w:val="18"/>
              </w:rPr>
            </w:pPr>
            <w:r w:rsidRPr="000A1C8E">
              <w:rPr>
                <w:rFonts w:cs="Tahoma"/>
                <w:b/>
                <w:bCs/>
                <w:color w:val="000000"/>
                <w:sz w:val="20"/>
                <w:szCs w:val="18"/>
              </w:rPr>
              <w:t>Enterprise Strategy Portfolio</w:t>
            </w:r>
          </w:p>
        </w:tc>
      </w:tr>
      <w:tr w:rsidR="00FD27BC" w:rsidRPr="000A1C8E" w:rsidTr="002A6416">
        <w:tc>
          <w:tcPr>
            <w:tcW w:w="2555" w:type="dxa"/>
            <w:vAlign w:val="center"/>
          </w:tcPr>
          <w:p w:rsidR="00FD27BC" w:rsidRPr="000A1C8E" w:rsidRDefault="00FD27BC" w:rsidP="009B78AB">
            <w:pPr>
              <w:rPr>
                <w:rFonts w:cs="Tahoma"/>
                <w:color w:val="000000"/>
                <w:szCs w:val="18"/>
              </w:rPr>
            </w:pPr>
            <w:r w:rsidRPr="000A1C8E">
              <w:rPr>
                <w:rFonts w:cs="Tahoma"/>
                <w:color w:val="000000"/>
                <w:szCs w:val="18"/>
              </w:rPr>
              <w:t>Arquiteto Enterprise</w:t>
            </w:r>
          </w:p>
        </w:tc>
        <w:tc>
          <w:tcPr>
            <w:tcW w:w="2215" w:type="dxa"/>
            <w:vAlign w:val="center"/>
          </w:tcPr>
          <w:p w:rsidR="00FD27BC" w:rsidRPr="000A1C8E" w:rsidRDefault="00FD27BC" w:rsidP="00FD27BC">
            <w:pPr>
              <w:jc w:val="center"/>
              <w:rPr>
                <w:rFonts w:eastAsia="MS UI Gothic" w:cs="Tahoma"/>
                <w:color w:val="000000"/>
                <w:szCs w:val="18"/>
              </w:rPr>
            </w:pPr>
            <w:r w:rsidRPr="000A1C8E">
              <w:rPr>
                <w:rFonts w:eastAsia="MS UI Gothic" w:cs="Tahoma"/>
                <w:color w:val="000000"/>
                <w:szCs w:val="18"/>
              </w:rPr>
              <w:t xml:space="preserve">1 Arquiteto Microsoft Enterprise disponível 25% do período </w:t>
            </w:r>
            <w:r w:rsidRPr="000A1C8E">
              <w:rPr>
                <w:rFonts w:cs="Tahoma"/>
                <w:b/>
                <w:bCs/>
                <w:color w:val="000000"/>
                <w:sz w:val="20"/>
                <w:szCs w:val="18"/>
                <w:vertAlign w:val="superscript"/>
              </w:rPr>
              <w:t>1</w:t>
            </w:r>
          </w:p>
        </w:tc>
        <w:tc>
          <w:tcPr>
            <w:tcW w:w="2340" w:type="dxa"/>
            <w:vAlign w:val="center"/>
          </w:tcPr>
          <w:p w:rsidR="00FD27BC" w:rsidRPr="000A1C8E" w:rsidRDefault="00FD27BC" w:rsidP="00FD27BC">
            <w:pPr>
              <w:jc w:val="center"/>
              <w:rPr>
                <w:rFonts w:cs="Tahoma"/>
                <w:color w:val="000000"/>
                <w:szCs w:val="18"/>
              </w:rPr>
            </w:pPr>
            <w:r w:rsidRPr="000A1C8E">
              <w:rPr>
                <w:rFonts w:eastAsia="MS UI Gothic" w:cs="Tahoma"/>
                <w:color w:val="000000"/>
                <w:szCs w:val="18"/>
              </w:rPr>
              <w:t xml:space="preserve">1 Arquiteto Microsoft Enterprise de Meio Período </w:t>
            </w:r>
            <w:r w:rsidRPr="000A1C8E">
              <w:rPr>
                <w:rFonts w:cs="Tahoma"/>
                <w:b/>
                <w:bCs/>
                <w:color w:val="000000"/>
                <w:sz w:val="20"/>
                <w:szCs w:val="18"/>
                <w:vertAlign w:val="superscript"/>
              </w:rPr>
              <w:t>1</w:t>
            </w:r>
          </w:p>
        </w:tc>
        <w:tc>
          <w:tcPr>
            <w:tcW w:w="2250" w:type="dxa"/>
            <w:vAlign w:val="center"/>
          </w:tcPr>
          <w:p w:rsidR="00FD27BC" w:rsidRPr="000A1C8E" w:rsidRDefault="00FD27BC" w:rsidP="00FD27BC">
            <w:pPr>
              <w:jc w:val="center"/>
              <w:rPr>
                <w:rFonts w:cs="Tahoma"/>
                <w:color w:val="000000"/>
                <w:szCs w:val="18"/>
              </w:rPr>
            </w:pPr>
            <w:r w:rsidRPr="000A1C8E">
              <w:rPr>
                <w:rFonts w:eastAsia="MS UI Gothic" w:cs="Tahoma"/>
                <w:color w:val="000000"/>
                <w:szCs w:val="18"/>
              </w:rPr>
              <w:t xml:space="preserve">1 Arquiteto Microsoft Enterprise em Período Integral </w:t>
            </w:r>
            <w:r w:rsidRPr="000A1C8E">
              <w:rPr>
                <w:rFonts w:cs="Tahoma"/>
                <w:b/>
                <w:bCs/>
                <w:color w:val="000000"/>
                <w:sz w:val="20"/>
                <w:szCs w:val="18"/>
                <w:vertAlign w:val="superscript"/>
              </w:rPr>
              <w:t>1</w:t>
            </w:r>
          </w:p>
        </w:tc>
      </w:tr>
      <w:tr w:rsidR="00FD27BC" w:rsidRPr="000A1C8E" w:rsidTr="002A6416">
        <w:tc>
          <w:tcPr>
            <w:tcW w:w="2555" w:type="dxa"/>
            <w:vAlign w:val="center"/>
          </w:tcPr>
          <w:p w:rsidR="00FD27BC" w:rsidRPr="000A1C8E" w:rsidRDefault="00FD27BC" w:rsidP="00FD27BC">
            <w:pPr>
              <w:rPr>
                <w:rFonts w:cs="Tahoma"/>
                <w:color w:val="000000"/>
                <w:szCs w:val="18"/>
              </w:rPr>
            </w:pPr>
            <w:r w:rsidRPr="000A1C8E">
              <w:rPr>
                <w:rFonts w:cs="Tahoma"/>
                <w:color w:val="000000"/>
                <w:szCs w:val="18"/>
              </w:rPr>
              <w:t>Avaliação</w:t>
            </w:r>
            <w:r w:rsidRPr="000A1C8E">
              <w:rPr>
                <w:rFonts w:cs="Tahoma"/>
                <w:b/>
                <w:bCs/>
                <w:color w:val="000000"/>
                <w:sz w:val="20"/>
                <w:szCs w:val="18"/>
              </w:rPr>
              <w:t xml:space="preserve"> </w:t>
            </w:r>
            <w:r w:rsidRPr="000A1C8E">
              <w:rPr>
                <w:rFonts w:cs="Tahoma"/>
                <w:b/>
                <w:bCs/>
                <w:color w:val="000000"/>
                <w:sz w:val="20"/>
                <w:szCs w:val="18"/>
                <w:vertAlign w:val="superscript"/>
              </w:rPr>
              <w:t>2</w:t>
            </w:r>
          </w:p>
        </w:tc>
        <w:tc>
          <w:tcPr>
            <w:tcW w:w="2215" w:type="dxa"/>
            <w:vAlign w:val="center"/>
          </w:tcPr>
          <w:p w:rsidR="00FD27BC" w:rsidRPr="000A1C8E" w:rsidRDefault="00FD27BC" w:rsidP="00FD27BC">
            <w:pPr>
              <w:jc w:val="center"/>
              <w:rPr>
                <w:rFonts w:cs="Tahoma"/>
                <w:color w:val="000000"/>
                <w:szCs w:val="18"/>
              </w:rPr>
            </w:pPr>
            <w:r w:rsidRPr="000A1C8E">
              <w:rPr>
                <w:rFonts w:cs="Tahoma"/>
                <w:color w:val="000000"/>
                <w:szCs w:val="18"/>
              </w:rPr>
              <w:t>Até 25% do esforço do Arquiteto por ano</w:t>
            </w:r>
          </w:p>
        </w:tc>
        <w:tc>
          <w:tcPr>
            <w:tcW w:w="2340" w:type="dxa"/>
            <w:vAlign w:val="center"/>
          </w:tcPr>
          <w:p w:rsidR="00FD27BC" w:rsidRPr="000A1C8E" w:rsidRDefault="00FD27BC" w:rsidP="00FD27BC">
            <w:pPr>
              <w:jc w:val="center"/>
              <w:rPr>
                <w:rFonts w:cs="Tahoma"/>
                <w:color w:val="000000"/>
                <w:szCs w:val="18"/>
              </w:rPr>
            </w:pPr>
            <w:r w:rsidRPr="000A1C8E">
              <w:rPr>
                <w:rFonts w:cs="Tahoma"/>
                <w:color w:val="000000"/>
                <w:szCs w:val="18"/>
              </w:rPr>
              <w:t>Até 25% do esforço do Arquiteto por ano</w:t>
            </w:r>
          </w:p>
        </w:tc>
        <w:tc>
          <w:tcPr>
            <w:tcW w:w="2250" w:type="dxa"/>
            <w:vAlign w:val="center"/>
          </w:tcPr>
          <w:p w:rsidR="00FD27BC" w:rsidRPr="000A1C8E" w:rsidRDefault="00FD27BC" w:rsidP="00FD27BC">
            <w:pPr>
              <w:jc w:val="center"/>
              <w:rPr>
                <w:rFonts w:cs="Tahoma"/>
                <w:color w:val="000000"/>
                <w:szCs w:val="18"/>
              </w:rPr>
            </w:pPr>
            <w:r w:rsidRPr="000A1C8E">
              <w:rPr>
                <w:rFonts w:cs="Tahoma"/>
                <w:color w:val="000000"/>
                <w:szCs w:val="18"/>
              </w:rPr>
              <w:t>Até 25% do esforço do Arquiteto por ano</w:t>
            </w:r>
          </w:p>
        </w:tc>
      </w:tr>
      <w:tr w:rsidR="00FD27BC" w:rsidRPr="000A1C8E" w:rsidTr="002A6416">
        <w:tc>
          <w:tcPr>
            <w:tcW w:w="2555" w:type="dxa"/>
            <w:vAlign w:val="center"/>
          </w:tcPr>
          <w:p w:rsidR="00FD27BC" w:rsidRPr="000A1C8E" w:rsidRDefault="00FD27BC" w:rsidP="00FD27BC">
            <w:pPr>
              <w:rPr>
                <w:rFonts w:cs="Tahoma"/>
                <w:color w:val="000000"/>
                <w:szCs w:val="18"/>
              </w:rPr>
            </w:pPr>
            <w:r w:rsidRPr="000A1C8E">
              <w:rPr>
                <w:rFonts w:cs="Tahoma"/>
                <w:color w:val="000000"/>
                <w:szCs w:val="18"/>
              </w:rPr>
              <w:t>Projeto Enterprise Strategy</w:t>
            </w:r>
            <w:r w:rsidRPr="000A1C8E">
              <w:rPr>
                <w:rFonts w:cs="Tahoma"/>
                <w:b/>
                <w:bCs/>
                <w:color w:val="000000"/>
                <w:sz w:val="20"/>
                <w:szCs w:val="18"/>
              </w:rPr>
              <w:t xml:space="preserve"> </w:t>
            </w:r>
            <w:r w:rsidRPr="000A1C8E">
              <w:rPr>
                <w:rFonts w:cs="Tahoma"/>
                <w:b/>
                <w:bCs/>
                <w:color w:val="000000"/>
                <w:sz w:val="20"/>
                <w:szCs w:val="18"/>
                <w:vertAlign w:val="superscript"/>
              </w:rPr>
              <w:t>2</w:t>
            </w:r>
          </w:p>
        </w:tc>
        <w:tc>
          <w:tcPr>
            <w:tcW w:w="2215" w:type="dxa"/>
            <w:vAlign w:val="center"/>
          </w:tcPr>
          <w:p w:rsidR="00FD27BC" w:rsidRPr="000A1C8E" w:rsidRDefault="00FD27BC" w:rsidP="00FD27BC">
            <w:pPr>
              <w:jc w:val="center"/>
              <w:rPr>
                <w:rFonts w:cs="Tahoma"/>
                <w:color w:val="000000"/>
                <w:szCs w:val="18"/>
              </w:rPr>
            </w:pPr>
            <w:r w:rsidRPr="000A1C8E">
              <w:rPr>
                <w:rFonts w:cs="Tahoma"/>
                <w:color w:val="000000"/>
                <w:szCs w:val="18"/>
              </w:rPr>
              <w:t>Até 75% do esforço do Arquiteto por ano</w:t>
            </w:r>
          </w:p>
        </w:tc>
        <w:tc>
          <w:tcPr>
            <w:tcW w:w="2340" w:type="dxa"/>
            <w:vAlign w:val="center"/>
          </w:tcPr>
          <w:p w:rsidR="00FD27BC" w:rsidRPr="000A1C8E" w:rsidRDefault="00FD27BC" w:rsidP="00FD27BC">
            <w:pPr>
              <w:jc w:val="center"/>
              <w:rPr>
                <w:rFonts w:cs="Tahoma"/>
                <w:color w:val="000000"/>
                <w:szCs w:val="18"/>
              </w:rPr>
            </w:pPr>
            <w:r w:rsidRPr="000A1C8E">
              <w:rPr>
                <w:rFonts w:cs="Tahoma"/>
                <w:color w:val="000000"/>
                <w:szCs w:val="18"/>
              </w:rPr>
              <w:t>Até 75% do esforço do Arquiteto por ano</w:t>
            </w:r>
          </w:p>
        </w:tc>
        <w:tc>
          <w:tcPr>
            <w:tcW w:w="2250" w:type="dxa"/>
            <w:vAlign w:val="center"/>
          </w:tcPr>
          <w:p w:rsidR="00FD27BC" w:rsidRPr="000A1C8E" w:rsidRDefault="00FD27BC" w:rsidP="00FD27BC">
            <w:pPr>
              <w:jc w:val="center"/>
              <w:rPr>
                <w:rFonts w:cs="Tahoma"/>
                <w:color w:val="000000"/>
                <w:szCs w:val="18"/>
              </w:rPr>
            </w:pPr>
            <w:r w:rsidRPr="000A1C8E">
              <w:rPr>
                <w:rFonts w:cs="Tahoma"/>
                <w:color w:val="000000"/>
                <w:szCs w:val="18"/>
              </w:rPr>
              <w:t>Até 75% do esforço do Arquiteto por ano</w:t>
            </w:r>
          </w:p>
        </w:tc>
      </w:tr>
      <w:tr w:rsidR="00FD27BC" w:rsidRPr="000A1C8E" w:rsidTr="002A6416">
        <w:tc>
          <w:tcPr>
            <w:tcW w:w="2555" w:type="dxa"/>
            <w:vAlign w:val="center"/>
          </w:tcPr>
          <w:p w:rsidR="00FD27BC" w:rsidRPr="000A1C8E" w:rsidRDefault="00FD27BC" w:rsidP="00FD27BC">
            <w:pPr>
              <w:rPr>
                <w:rFonts w:cs="Tahoma"/>
                <w:color w:val="000000"/>
                <w:szCs w:val="18"/>
              </w:rPr>
            </w:pPr>
            <w:r w:rsidRPr="000A1C8E">
              <w:rPr>
                <w:rFonts w:cs="Tahoma"/>
                <w:color w:val="000000"/>
                <w:szCs w:val="18"/>
              </w:rPr>
              <w:t>Oficinas do Compromisso</w:t>
            </w:r>
          </w:p>
        </w:tc>
        <w:tc>
          <w:tcPr>
            <w:tcW w:w="2215" w:type="dxa"/>
            <w:vAlign w:val="center"/>
          </w:tcPr>
          <w:p w:rsidR="00FD27BC" w:rsidRPr="000A1C8E" w:rsidRDefault="00FD27BC" w:rsidP="00FD27BC">
            <w:pPr>
              <w:jc w:val="center"/>
              <w:rPr>
                <w:rFonts w:cs="Tahoma"/>
                <w:color w:val="000000"/>
                <w:szCs w:val="18"/>
              </w:rPr>
            </w:pPr>
            <w:r w:rsidRPr="000A1C8E">
              <w:rPr>
                <w:rFonts w:cs="Tahoma"/>
                <w:color w:val="000000"/>
                <w:szCs w:val="18"/>
              </w:rPr>
              <w:t>Até 1 por ano</w:t>
            </w:r>
          </w:p>
        </w:tc>
        <w:tc>
          <w:tcPr>
            <w:tcW w:w="2340" w:type="dxa"/>
            <w:vAlign w:val="center"/>
          </w:tcPr>
          <w:p w:rsidR="00FD27BC" w:rsidRPr="000A1C8E" w:rsidRDefault="00FD27BC" w:rsidP="00FD27BC">
            <w:pPr>
              <w:jc w:val="center"/>
              <w:rPr>
                <w:rFonts w:cs="Tahoma"/>
                <w:color w:val="000000"/>
                <w:szCs w:val="18"/>
              </w:rPr>
            </w:pPr>
            <w:r w:rsidRPr="000A1C8E">
              <w:rPr>
                <w:rFonts w:cs="Tahoma"/>
                <w:color w:val="000000"/>
                <w:szCs w:val="18"/>
              </w:rPr>
              <w:t>Até 2 por ano</w:t>
            </w:r>
          </w:p>
        </w:tc>
        <w:tc>
          <w:tcPr>
            <w:tcW w:w="2250" w:type="dxa"/>
            <w:vAlign w:val="center"/>
          </w:tcPr>
          <w:p w:rsidR="00FD27BC" w:rsidRPr="000A1C8E" w:rsidRDefault="00FD27BC" w:rsidP="00FD27BC">
            <w:pPr>
              <w:spacing w:before="120"/>
              <w:jc w:val="center"/>
              <w:rPr>
                <w:rFonts w:cs="Tahoma"/>
                <w:color w:val="000000"/>
                <w:szCs w:val="18"/>
              </w:rPr>
            </w:pPr>
            <w:r w:rsidRPr="000A1C8E">
              <w:rPr>
                <w:rFonts w:cs="Tahoma"/>
              </w:rPr>
              <w:t>Até 4 por ano</w:t>
            </w:r>
          </w:p>
        </w:tc>
      </w:tr>
      <w:tr w:rsidR="00FD27BC" w:rsidRPr="000A1C8E" w:rsidTr="002A6416">
        <w:tc>
          <w:tcPr>
            <w:tcW w:w="2555" w:type="dxa"/>
            <w:vAlign w:val="center"/>
          </w:tcPr>
          <w:p w:rsidR="00FD27BC" w:rsidRPr="000A1C8E" w:rsidRDefault="00FD27BC" w:rsidP="00FD27BC">
            <w:pPr>
              <w:rPr>
                <w:rFonts w:cs="Tahoma"/>
                <w:color w:val="000000"/>
                <w:szCs w:val="18"/>
              </w:rPr>
            </w:pPr>
            <w:r w:rsidRPr="000A1C8E">
              <w:rPr>
                <w:rFonts w:cs="Tahoma"/>
                <w:color w:val="000000"/>
                <w:szCs w:val="18"/>
              </w:rPr>
              <w:t>Enterprise Strategy Network</w:t>
            </w:r>
          </w:p>
        </w:tc>
        <w:tc>
          <w:tcPr>
            <w:tcW w:w="2215" w:type="dxa"/>
            <w:vAlign w:val="center"/>
          </w:tcPr>
          <w:p w:rsidR="00FD27BC" w:rsidRPr="000A1C8E" w:rsidRDefault="00FD27BC" w:rsidP="00FD27BC">
            <w:pPr>
              <w:jc w:val="center"/>
              <w:rPr>
                <w:rFonts w:eastAsia="MS UI Gothic" w:cs="Tahoma"/>
                <w:color w:val="000000"/>
                <w:szCs w:val="18"/>
              </w:rPr>
            </w:pPr>
            <w:r w:rsidRPr="000A1C8E">
              <w:rPr>
                <w:rFonts w:ascii="MS UI Gothic" w:eastAsia="MS UI Gothic" w:hAnsi="MS UI Gothic" w:cs="MS UI Gothic" w:hint="eastAsia"/>
                <w:color w:val="000000"/>
                <w:szCs w:val="18"/>
              </w:rPr>
              <w:t>✓</w:t>
            </w:r>
          </w:p>
        </w:tc>
        <w:tc>
          <w:tcPr>
            <w:tcW w:w="2340" w:type="dxa"/>
            <w:vAlign w:val="center"/>
          </w:tcPr>
          <w:p w:rsidR="00FD27BC" w:rsidRPr="000A1C8E" w:rsidRDefault="00FD27BC" w:rsidP="00FD27BC">
            <w:pPr>
              <w:jc w:val="center"/>
              <w:rPr>
                <w:rFonts w:eastAsia="MS UI Gothic" w:cs="Tahoma"/>
                <w:color w:val="000000"/>
                <w:szCs w:val="18"/>
              </w:rPr>
            </w:pPr>
            <w:r w:rsidRPr="000A1C8E">
              <w:rPr>
                <w:rFonts w:ascii="MS UI Gothic" w:eastAsia="MS UI Gothic" w:hAnsi="MS UI Gothic" w:cs="MS UI Gothic" w:hint="eastAsia"/>
                <w:color w:val="000000"/>
                <w:szCs w:val="18"/>
              </w:rPr>
              <w:t>✓</w:t>
            </w:r>
          </w:p>
        </w:tc>
        <w:tc>
          <w:tcPr>
            <w:tcW w:w="2250" w:type="dxa"/>
            <w:vAlign w:val="center"/>
          </w:tcPr>
          <w:p w:rsidR="00FD27BC" w:rsidRPr="000A1C8E" w:rsidRDefault="00FD27BC" w:rsidP="00FD27BC">
            <w:pPr>
              <w:jc w:val="center"/>
              <w:rPr>
                <w:rFonts w:eastAsia="MS UI Gothic" w:cs="Tahoma"/>
              </w:rPr>
            </w:pPr>
            <w:r w:rsidRPr="000A1C8E">
              <w:rPr>
                <w:rFonts w:ascii="MS UI Gothic" w:eastAsia="MS UI Gothic" w:hAnsi="MS UI Gothic" w:cs="MS UI Gothic" w:hint="eastAsia"/>
                <w:color w:val="000000"/>
                <w:szCs w:val="18"/>
              </w:rPr>
              <w:t>✓</w:t>
            </w:r>
          </w:p>
        </w:tc>
      </w:tr>
      <w:tr w:rsidR="00FD27BC" w:rsidRPr="000A1C8E" w:rsidTr="002A6416">
        <w:tc>
          <w:tcPr>
            <w:tcW w:w="2555" w:type="dxa"/>
            <w:vAlign w:val="center"/>
          </w:tcPr>
          <w:p w:rsidR="00FD27BC" w:rsidRPr="000A1C8E" w:rsidRDefault="00FD27BC" w:rsidP="00FD27BC">
            <w:pPr>
              <w:rPr>
                <w:rFonts w:cs="Tahoma"/>
                <w:color w:val="000000"/>
                <w:szCs w:val="18"/>
              </w:rPr>
            </w:pPr>
            <w:r w:rsidRPr="000A1C8E">
              <w:rPr>
                <w:rFonts w:cs="Tahoma"/>
                <w:color w:val="000000"/>
                <w:szCs w:val="18"/>
              </w:rPr>
              <w:t>Enterprise Strategy Library</w:t>
            </w:r>
          </w:p>
        </w:tc>
        <w:tc>
          <w:tcPr>
            <w:tcW w:w="2215" w:type="dxa"/>
            <w:vAlign w:val="center"/>
          </w:tcPr>
          <w:p w:rsidR="00FD27BC" w:rsidRPr="000A1C8E" w:rsidRDefault="00FD27BC" w:rsidP="00FD27BC">
            <w:pPr>
              <w:jc w:val="center"/>
              <w:rPr>
                <w:rFonts w:eastAsia="MS UI Gothic" w:cs="Tahoma"/>
                <w:color w:val="000000"/>
                <w:szCs w:val="18"/>
              </w:rPr>
            </w:pPr>
            <w:r w:rsidRPr="000A1C8E">
              <w:rPr>
                <w:rFonts w:ascii="MS UI Gothic" w:eastAsia="MS UI Gothic" w:hAnsi="MS UI Gothic" w:cs="MS UI Gothic" w:hint="eastAsia"/>
                <w:color w:val="000000"/>
                <w:szCs w:val="18"/>
              </w:rPr>
              <w:t>✓</w:t>
            </w:r>
          </w:p>
        </w:tc>
        <w:tc>
          <w:tcPr>
            <w:tcW w:w="2340" w:type="dxa"/>
            <w:vAlign w:val="center"/>
          </w:tcPr>
          <w:p w:rsidR="00FD27BC" w:rsidRPr="000A1C8E" w:rsidRDefault="00FD27BC" w:rsidP="00FD27BC">
            <w:pPr>
              <w:jc w:val="center"/>
              <w:rPr>
                <w:rFonts w:eastAsia="MS UI Gothic" w:cs="Tahoma"/>
                <w:color w:val="000000"/>
                <w:szCs w:val="18"/>
              </w:rPr>
            </w:pPr>
            <w:r w:rsidRPr="000A1C8E">
              <w:rPr>
                <w:rFonts w:ascii="MS UI Gothic" w:eastAsia="MS UI Gothic" w:hAnsi="MS UI Gothic" w:cs="MS UI Gothic" w:hint="eastAsia"/>
                <w:color w:val="000000"/>
                <w:szCs w:val="18"/>
              </w:rPr>
              <w:t>✓</w:t>
            </w:r>
          </w:p>
        </w:tc>
        <w:tc>
          <w:tcPr>
            <w:tcW w:w="2250" w:type="dxa"/>
            <w:vAlign w:val="center"/>
          </w:tcPr>
          <w:p w:rsidR="00FD27BC" w:rsidRPr="000A1C8E" w:rsidRDefault="00FD27BC" w:rsidP="00FD27BC">
            <w:pPr>
              <w:jc w:val="center"/>
              <w:rPr>
                <w:rFonts w:eastAsia="MS UI Gothic" w:cs="Tahoma"/>
              </w:rPr>
            </w:pPr>
            <w:r w:rsidRPr="000A1C8E">
              <w:rPr>
                <w:rFonts w:ascii="MS UI Gothic" w:eastAsia="MS UI Gothic" w:hAnsi="MS UI Gothic" w:cs="MS UI Gothic" w:hint="eastAsia"/>
                <w:color w:val="000000"/>
                <w:szCs w:val="18"/>
              </w:rPr>
              <w:t>✓</w:t>
            </w:r>
          </w:p>
        </w:tc>
      </w:tr>
      <w:tr w:rsidR="00FD27BC" w:rsidRPr="000A1C8E" w:rsidTr="002A6416">
        <w:tc>
          <w:tcPr>
            <w:tcW w:w="2555" w:type="dxa"/>
            <w:vAlign w:val="center"/>
          </w:tcPr>
          <w:p w:rsidR="00FD27BC" w:rsidRPr="000A1C8E" w:rsidRDefault="00FD27BC" w:rsidP="00FD27BC">
            <w:pPr>
              <w:rPr>
                <w:rFonts w:cs="Tahoma"/>
                <w:color w:val="000000"/>
                <w:szCs w:val="18"/>
              </w:rPr>
            </w:pPr>
            <w:r w:rsidRPr="000A1C8E">
              <w:rPr>
                <w:rFonts w:cs="Tahoma"/>
                <w:color w:val="000000"/>
                <w:szCs w:val="18"/>
              </w:rPr>
              <w:t>Instruções Estratégicas</w:t>
            </w:r>
          </w:p>
        </w:tc>
        <w:tc>
          <w:tcPr>
            <w:tcW w:w="2215" w:type="dxa"/>
            <w:vAlign w:val="center"/>
          </w:tcPr>
          <w:p w:rsidR="00FD27BC" w:rsidRPr="000A1C8E" w:rsidRDefault="00FD27BC" w:rsidP="00FD27BC">
            <w:pPr>
              <w:jc w:val="center"/>
              <w:rPr>
                <w:rFonts w:eastAsia="MS UI Gothic" w:cs="Tahoma"/>
                <w:color w:val="000000"/>
                <w:szCs w:val="18"/>
              </w:rPr>
            </w:pPr>
            <w:r w:rsidRPr="000A1C8E">
              <w:rPr>
                <w:rFonts w:ascii="MS UI Gothic" w:eastAsia="MS UI Gothic" w:hAnsi="MS UI Gothic" w:cs="MS UI Gothic" w:hint="eastAsia"/>
                <w:color w:val="000000"/>
                <w:szCs w:val="18"/>
              </w:rPr>
              <w:t>✓</w:t>
            </w:r>
          </w:p>
        </w:tc>
        <w:tc>
          <w:tcPr>
            <w:tcW w:w="2340" w:type="dxa"/>
            <w:vAlign w:val="center"/>
          </w:tcPr>
          <w:p w:rsidR="00FD27BC" w:rsidRPr="000A1C8E" w:rsidRDefault="00FD27BC" w:rsidP="00FD27BC">
            <w:pPr>
              <w:jc w:val="center"/>
              <w:rPr>
                <w:rFonts w:cs="Tahoma"/>
                <w:color w:val="000000"/>
                <w:szCs w:val="18"/>
              </w:rPr>
            </w:pPr>
            <w:r w:rsidRPr="000A1C8E">
              <w:rPr>
                <w:rFonts w:ascii="MS UI Gothic" w:eastAsia="MS UI Gothic" w:hAnsi="MS UI Gothic" w:cs="MS UI Gothic" w:hint="eastAsia"/>
                <w:color w:val="000000"/>
                <w:szCs w:val="18"/>
              </w:rPr>
              <w:t>✓</w:t>
            </w:r>
          </w:p>
        </w:tc>
        <w:tc>
          <w:tcPr>
            <w:tcW w:w="2250" w:type="dxa"/>
            <w:vAlign w:val="center"/>
          </w:tcPr>
          <w:p w:rsidR="00FD27BC" w:rsidRPr="000A1C8E" w:rsidRDefault="00FD27BC" w:rsidP="00FD27BC">
            <w:pPr>
              <w:jc w:val="center"/>
              <w:rPr>
                <w:rFonts w:cs="Tahoma"/>
                <w:color w:val="000000"/>
                <w:szCs w:val="18"/>
              </w:rPr>
            </w:pPr>
            <w:r w:rsidRPr="000A1C8E">
              <w:rPr>
                <w:rFonts w:ascii="MS UI Gothic" w:eastAsia="MS UI Gothic" w:hAnsi="MS UI Gothic" w:cs="MS UI Gothic" w:hint="eastAsia"/>
              </w:rPr>
              <w:t>✓</w:t>
            </w:r>
          </w:p>
        </w:tc>
      </w:tr>
      <w:tr w:rsidR="009B78AB" w:rsidRPr="000A1C8E" w:rsidTr="002A6416">
        <w:tc>
          <w:tcPr>
            <w:tcW w:w="2555" w:type="dxa"/>
            <w:vAlign w:val="center"/>
          </w:tcPr>
          <w:p w:rsidR="009B78AB" w:rsidRPr="000A1C8E" w:rsidRDefault="009B78AB" w:rsidP="009B78AB">
            <w:pPr>
              <w:rPr>
                <w:rFonts w:cs="Tahoma"/>
                <w:color w:val="000000"/>
                <w:szCs w:val="18"/>
              </w:rPr>
            </w:pPr>
            <w:r w:rsidRPr="000A1C8E">
              <w:rPr>
                <w:rFonts w:cs="Tahoma"/>
                <w:color w:val="000000"/>
                <w:szCs w:val="18"/>
              </w:rPr>
              <w:t>Enterprise Strategy Forum</w:t>
            </w:r>
          </w:p>
        </w:tc>
        <w:tc>
          <w:tcPr>
            <w:tcW w:w="2215" w:type="dxa"/>
            <w:vAlign w:val="center"/>
          </w:tcPr>
          <w:p w:rsidR="009B78AB" w:rsidRPr="000A1C8E" w:rsidRDefault="009B78AB" w:rsidP="00FD27BC">
            <w:pPr>
              <w:jc w:val="center"/>
              <w:rPr>
                <w:rFonts w:cs="Tahoma"/>
                <w:color w:val="000000"/>
                <w:szCs w:val="18"/>
              </w:rPr>
            </w:pPr>
          </w:p>
        </w:tc>
        <w:tc>
          <w:tcPr>
            <w:tcW w:w="2340" w:type="dxa"/>
            <w:vAlign w:val="center"/>
          </w:tcPr>
          <w:p w:rsidR="009B78AB" w:rsidRPr="000A1C8E" w:rsidRDefault="009B78AB" w:rsidP="00FD27BC">
            <w:pPr>
              <w:jc w:val="center"/>
              <w:rPr>
                <w:rFonts w:cs="Tahoma"/>
                <w:color w:val="000000"/>
                <w:szCs w:val="18"/>
              </w:rPr>
            </w:pPr>
            <w:r w:rsidRPr="000A1C8E">
              <w:rPr>
                <w:rFonts w:ascii="MS UI Gothic" w:eastAsia="MS UI Gothic" w:hAnsi="MS UI Gothic" w:cs="MS UI Gothic" w:hint="eastAsia"/>
                <w:color w:val="000000"/>
                <w:szCs w:val="18"/>
              </w:rPr>
              <w:t>✓</w:t>
            </w:r>
          </w:p>
        </w:tc>
        <w:tc>
          <w:tcPr>
            <w:tcW w:w="2250" w:type="dxa"/>
            <w:vAlign w:val="center"/>
          </w:tcPr>
          <w:p w:rsidR="009B78AB" w:rsidRPr="000A1C8E" w:rsidRDefault="009B78AB" w:rsidP="00FD27BC">
            <w:pPr>
              <w:jc w:val="center"/>
              <w:rPr>
                <w:rFonts w:cs="Tahoma"/>
                <w:color w:val="000000"/>
                <w:szCs w:val="18"/>
              </w:rPr>
            </w:pPr>
            <w:r w:rsidRPr="000A1C8E">
              <w:rPr>
                <w:rFonts w:ascii="MS UI Gothic" w:eastAsia="MS UI Gothic" w:hAnsi="MS UI Gothic" w:cs="MS UI Gothic" w:hint="eastAsia"/>
                <w:color w:val="000000"/>
                <w:szCs w:val="18"/>
              </w:rPr>
              <w:t>✓</w:t>
            </w:r>
          </w:p>
        </w:tc>
      </w:tr>
      <w:tr w:rsidR="00FD27BC" w:rsidRPr="000A1C8E" w:rsidTr="002A6416">
        <w:tc>
          <w:tcPr>
            <w:tcW w:w="2555" w:type="dxa"/>
            <w:vAlign w:val="center"/>
          </w:tcPr>
          <w:p w:rsidR="00FD27BC" w:rsidRPr="000A1C8E" w:rsidRDefault="00FD27BC" w:rsidP="009B78AB">
            <w:pPr>
              <w:rPr>
                <w:rFonts w:cs="Tahoma"/>
                <w:color w:val="000000"/>
                <w:szCs w:val="18"/>
              </w:rPr>
            </w:pPr>
            <w:r w:rsidRPr="000A1C8E">
              <w:rPr>
                <w:rFonts w:cs="Tahoma"/>
                <w:color w:val="000000"/>
                <w:szCs w:val="18"/>
              </w:rPr>
              <w:t>Enterprise StrategyCapacity Complementar</w:t>
            </w:r>
          </w:p>
        </w:tc>
        <w:tc>
          <w:tcPr>
            <w:tcW w:w="2215" w:type="dxa"/>
            <w:vAlign w:val="center"/>
          </w:tcPr>
          <w:p w:rsidR="00FD27BC" w:rsidRPr="000A1C8E" w:rsidRDefault="00FD27BC" w:rsidP="00FD27BC">
            <w:pPr>
              <w:jc w:val="center"/>
              <w:rPr>
                <w:rFonts w:eastAsia="MS UI Gothic" w:cs="Tahoma"/>
                <w:color w:val="000000"/>
                <w:szCs w:val="18"/>
              </w:rPr>
            </w:pPr>
            <w:r w:rsidRPr="000A1C8E">
              <w:rPr>
                <w:rFonts w:cs="Tahoma"/>
                <w:color w:val="000000"/>
                <w:szCs w:val="18"/>
              </w:rPr>
              <w:t>200 horas</w:t>
            </w:r>
          </w:p>
        </w:tc>
        <w:tc>
          <w:tcPr>
            <w:tcW w:w="2340" w:type="dxa"/>
            <w:vAlign w:val="center"/>
          </w:tcPr>
          <w:p w:rsidR="00FD27BC" w:rsidRPr="000A1C8E" w:rsidRDefault="00FD27BC" w:rsidP="00FD27BC">
            <w:pPr>
              <w:jc w:val="center"/>
              <w:rPr>
                <w:rFonts w:eastAsia="MS UI Gothic" w:cs="Tahoma"/>
                <w:color w:val="000000"/>
                <w:szCs w:val="18"/>
              </w:rPr>
            </w:pPr>
            <w:r w:rsidRPr="000A1C8E">
              <w:rPr>
                <w:rFonts w:cs="Tahoma"/>
                <w:color w:val="000000"/>
                <w:szCs w:val="18"/>
              </w:rPr>
              <w:t>200 horas</w:t>
            </w:r>
          </w:p>
        </w:tc>
        <w:tc>
          <w:tcPr>
            <w:tcW w:w="2250" w:type="dxa"/>
            <w:vAlign w:val="center"/>
          </w:tcPr>
          <w:p w:rsidR="00FD27BC" w:rsidRPr="000A1C8E" w:rsidRDefault="00FD27BC" w:rsidP="00FD27BC">
            <w:pPr>
              <w:jc w:val="center"/>
              <w:rPr>
                <w:rFonts w:eastAsia="MS UI Gothic" w:cs="Tahoma"/>
              </w:rPr>
            </w:pPr>
            <w:r w:rsidRPr="000A1C8E">
              <w:rPr>
                <w:rFonts w:cs="Tahoma"/>
                <w:color w:val="000000"/>
                <w:szCs w:val="18"/>
              </w:rPr>
              <w:t>200 horas</w:t>
            </w:r>
          </w:p>
        </w:tc>
      </w:tr>
    </w:tbl>
    <w:p w:rsidR="009B78AB" w:rsidRPr="000A1C8E" w:rsidRDefault="00415DDA" w:rsidP="00DD7F8E">
      <w:pPr>
        <w:rPr>
          <w:rFonts w:cs="Tahoma"/>
        </w:rPr>
      </w:pPr>
      <w:r w:rsidRPr="006B21CE">
        <w:rPr>
          <w:rFonts w:cs="Tahoma"/>
          <w:i/>
          <w:iCs/>
          <w:color w:val="000000"/>
          <w:sz w:val="20"/>
          <w:szCs w:val="18"/>
          <w:vertAlign w:val="superscript"/>
        </w:rPr>
        <w:t xml:space="preserve">1 </w:t>
      </w:r>
      <w:r w:rsidRPr="006B21CE">
        <w:rPr>
          <w:rFonts w:eastAsia="Times New Roman" w:cs="Tahoma"/>
          <w:i/>
          <w:iCs/>
          <w:sz w:val="16"/>
          <w:szCs w:val="20"/>
        </w:rPr>
        <w:t>O</w:t>
      </w:r>
      <w:r w:rsidRPr="000A1C8E">
        <w:rPr>
          <w:rFonts w:eastAsia="Times New Roman" w:cs="Tahoma"/>
          <w:i/>
          <w:sz w:val="16"/>
          <w:szCs w:val="20"/>
        </w:rPr>
        <w:t xml:space="preserve"> compromisso Enterprise Strategy Connect exige até 400 horas de trabalho. O compromisso Enterprise Strategy Foundation exige até 800 horas de trabalho. O compromisso Enterprise Strategy Portfolio exige até 1.600 horas de trabalho. Os recursos da Microsoft que fornecem o trabalho são personalizados para necessidades específicas do cliente e incluem um mix de Arquitetos Enterprise e recursos do Enterprise Strategy Network.</w:t>
      </w:r>
    </w:p>
    <w:p w:rsidR="009B78AB" w:rsidRPr="000A1C8E" w:rsidRDefault="009B78AB" w:rsidP="00DD7F8E">
      <w:pPr>
        <w:rPr>
          <w:rFonts w:cs="Tahoma"/>
        </w:rPr>
      </w:pPr>
    </w:p>
    <w:p w:rsidR="00DD7F8E" w:rsidRPr="000A1C8E" w:rsidRDefault="009B78AB" w:rsidP="00DD7F8E">
      <w:pPr>
        <w:rPr>
          <w:rFonts w:cs="Tahoma"/>
        </w:rPr>
      </w:pPr>
      <w:r w:rsidRPr="006B21CE">
        <w:rPr>
          <w:rFonts w:cs="Tahoma"/>
          <w:i/>
          <w:color w:val="000000"/>
          <w:sz w:val="20"/>
          <w:szCs w:val="18"/>
          <w:vertAlign w:val="superscript"/>
        </w:rPr>
        <w:t>2</w:t>
      </w:r>
      <w:r w:rsidRPr="006B21CE">
        <w:rPr>
          <w:rFonts w:eastAsia="Times New Roman" w:cs="Tahoma"/>
          <w:i/>
          <w:sz w:val="16"/>
          <w:szCs w:val="20"/>
        </w:rPr>
        <w:t>A</w:t>
      </w:r>
      <w:r w:rsidRPr="000A1C8E">
        <w:rPr>
          <w:rFonts w:eastAsia="Times New Roman" w:cs="Tahoma"/>
          <w:i/>
          <w:sz w:val="16"/>
          <w:szCs w:val="20"/>
        </w:rPr>
        <w:t xml:space="preserve"> quantidade de esforço real é acordada entre a Microsoft e o Cliente</w:t>
      </w:r>
    </w:p>
    <w:p w:rsidR="00415DDA" w:rsidRPr="000A1C8E" w:rsidRDefault="00415DDA" w:rsidP="00DD7F8E">
      <w:pPr>
        <w:rPr>
          <w:rFonts w:cs="Tahoma"/>
        </w:rPr>
      </w:pPr>
    </w:p>
    <w:p w:rsidR="00DD7F8E" w:rsidRPr="000A1C8E" w:rsidRDefault="00DD7F8E" w:rsidP="00E77F1E">
      <w:pPr>
        <w:spacing w:after="60"/>
        <w:rPr>
          <w:rFonts w:cs="Tahoma"/>
        </w:rPr>
      </w:pPr>
      <w:r w:rsidRPr="000A1C8E">
        <w:rPr>
          <w:rFonts w:cs="Tahoma"/>
          <w:b/>
        </w:rPr>
        <w:t xml:space="preserve">O Arquiteto Enterprise: </w:t>
      </w:r>
    </w:p>
    <w:p w:rsidR="00DD7F8E" w:rsidRPr="000A1C8E" w:rsidRDefault="00DD7F8E" w:rsidP="00346F4B">
      <w:pPr>
        <w:numPr>
          <w:ilvl w:val="0"/>
          <w:numId w:val="75"/>
        </w:numPr>
        <w:spacing w:after="60"/>
        <w:ind w:left="1440"/>
        <w:rPr>
          <w:rFonts w:cs="Tahoma"/>
        </w:rPr>
      </w:pPr>
      <w:r w:rsidRPr="000A1C8E">
        <w:rPr>
          <w:rFonts w:eastAsia="Times New Roman" w:cs="Tahoma"/>
          <w:szCs w:val="20"/>
        </w:rPr>
        <w:t>Trabalhará juntamente com o Cliente para criar um Plano de Prestação de Serviços de Arquitetura a ser seguido pelo Cliente que define etapas e metas e estabelece processos, dados e regras para monitorar o progresso com relação ao plano.</w:t>
      </w:r>
      <w:r w:rsidR="00DC6D8B" w:rsidRPr="000A1C8E">
        <w:rPr>
          <w:rFonts w:eastAsia="Times New Roman" w:cs="Tahoma"/>
          <w:szCs w:val="20"/>
        </w:rPr>
        <w:t xml:space="preserve"> </w:t>
      </w:r>
    </w:p>
    <w:p w:rsidR="00DD7F8E" w:rsidRPr="000A1C8E" w:rsidRDefault="00DD7F8E" w:rsidP="00393517">
      <w:pPr>
        <w:numPr>
          <w:ilvl w:val="0"/>
          <w:numId w:val="75"/>
        </w:numPr>
        <w:spacing w:after="60"/>
        <w:ind w:left="1440"/>
        <w:rPr>
          <w:rFonts w:cs="Tahoma"/>
        </w:rPr>
      </w:pPr>
      <w:r w:rsidRPr="000A1C8E">
        <w:rPr>
          <w:rFonts w:eastAsia="Times New Roman" w:cs="Tahoma"/>
          <w:szCs w:val="20"/>
        </w:rPr>
        <w:t>Também apresentará atualizações mensais de status do progresso do Cliente com relação ao</w:t>
      </w:r>
      <w:r w:rsidR="00393517" w:rsidRPr="000A1C8E">
        <w:rPr>
          <w:rFonts w:eastAsia="Times New Roman" w:cs="Tahoma"/>
          <w:szCs w:val="20"/>
        </w:rPr>
        <w:t> </w:t>
      </w:r>
      <w:r w:rsidRPr="000A1C8E">
        <w:rPr>
          <w:rFonts w:eastAsia="Times New Roman" w:cs="Tahoma"/>
          <w:szCs w:val="20"/>
        </w:rPr>
        <w:t>plano.</w:t>
      </w:r>
    </w:p>
    <w:p w:rsidR="00415DDA" w:rsidRPr="000A1C8E" w:rsidRDefault="00415DDA" w:rsidP="00346F4B">
      <w:pPr>
        <w:numPr>
          <w:ilvl w:val="0"/>
          <w:numId w:val="75"/>
        </w:numPr>
        <w:spacing w:after="60"/>
        <w:ind w:left="1440"/>
        <w:rPr>
          <w:rFonts w:cs="Tahoma"/>
        </w:rPr>
      </w:pPr>
      <w:r w:rsidRPr="000A1C8E">
        <w:rPr>
          <w:rFonts w:cs="Tahoma"/>
        </w:rPr>
        <w:t>Gerenciará o acesso à Microsoft Enterprise Strategy Network.</w:t>
      </w:r>
    </w:p>
    <w:p w:rsidR="00E03856" w:rsidRPr="000A1C8E" w:rsidRDefault="00E03856">
      <w:pPr>
        <w:rPr>
          <w:rFonts w:cs="Tahoma"/>
        </w:rPr>
      </w:pPr>
    </w:p>
    <w:p w:rsidR="00DD7F8E" w:rsidRPr="000A1C8E" w:rsidRDefault="00DD7F8E" w:rsidP="00DD7F8E">
      <w:pPr>
        <w:spacing w:after="60"/>
        <w:rPr>
          <w:rFonts w:cs="Tahoma"/>
        </w:rPr>
      </w:pPr>
      <w:r w:rsidRPr="000A1C8E">
        <w:rPr>
          <w:rFonts w:cs="Tahoma"/>
          <w:b/>
        </w:rPr>
        <w:t>A Avaliação:</w:t>
      </w:r>
    </w:p>
    <w:p w:rsidR="00DD7F8E" w:rsidRPr="000A1C8E" w:rsidRDefault="00DD7F8E" w:rsidP="00346F4B">
      <w:pPr>
        <w:numPr>
          <w:ilvl w:val="0"/>
          <w:numId w:val="76"/>
        </w:numPr>
        <w:spacing w:after="60"/>
        <w:ind w:left="1440"/>
        <w:rPr>
          <w:rFonts w:cs="Tahoma"/>
        </w:rPr>
      </w:pPr>
      <w:r w:rsidRPr="000A1C8E">
        <w:rPr>
          <w:rFonts w:eastAsia="Times New Roman" w:cs="Tahoma"/>
          <w:szCs w:val="20"/>
        </w:rPr>
        <w:t>Identifica oportunidades de TI que se alinhem com os objetivos de negócios do Cliente.</w:t>
      </w:r>
    </w:p>
    <w:p w:rsidR="00DD7F8E" w:rsidRPr="000A1C8E" w:rsidRDefault="005F0406" w:rsidP="00346F4B">
      <w:pPr>
        <w:numPr>
          <w:ilvl w:val="0"/>
          <w:numId w:val="76"/>
        </w:numPr>
        <w:spacing w:after="60"/>
        <w:ind w:left="1440"/>
        <w:rPr>
          <w:rFonts w:cs="Tahoma"/>
        </w:rPr>
      </w:pPr>
      <w:r w:rsidRPr="000A1C8E">
        <w:rPr>
          <w:rFonts w:eastAsia="Times New Roman" w:cs="Tahoma"/>
          <w:szCs w:val="20"/>
        </w:rPr>
        <w:t>Estabelece o contexto comercial e arquitetural antes da projeção com relação aos serviços de TI e grupos comerciais impactados, a fim de reconhecer dependências e definir esforços e custos para justificar o planejamento adicional.</w:t>
      </w:r>
    </w:p>
    <w:p w:rsidR="00DD7F8E" w:rsidRPr="000A1C8E" w:rsidRDefault="00DD7F8E" w:rsidP="00346F4B">
      <w:pPr>
        <w:numPr>
          <w:ilvl w:val="0"/>
          <w:numId w:val="76"/>
        </w:numPr>
        <w:spacing w:after="60"/>
        <w:ind w:left="1440"/>
        <w:rPr>
          <w:rFonts w:cs="Tahoma"/>
        </w:rPr>
      </w:pPr>
      <w:r w:rsidRPr="000A1C8E">
        <w:rPr>
          <w:rFonts w:eastAsia="Times New Roman" w:cs="Tahoma"/>
          <w:szCs w:val="20"/>
        </w:rPr>
        <w:t>Seleciona, confirma e prioriza oportunidades como iniciativas no Plano de Prestação de Serviços de Arquitetura.</w:t>
      </w:r>
    </w:p>
    <w:p w:rsidR="00DD7F8E" w:rsidRPr="000A1C8E" w:rsidRDefault="00DD7F8E" w:rsidP="00346F4B">
      <w:pPr>
        <w:numPr>
          <w:ilvl w:val="0"/>
          <w:numId w:val="76"/>
        </w:numPr>
        <w:spacing w:after="60"/>
        <w:ind w:left="1440"/>
        <w:rPr>
          <w:rFonts w:cs="Tahoma"/>
        </w:rPr>
      </w:pPr>
      <w:r w:rsidRPr="000A1C8E">
        <w:rPr>
          <w:rFonts w:eastAsia="Times New Roman" w:cs="Tahoma"/>
          <w:szCs w:val="20"/>
        </w:rPr>
        <w:t>Resulta no Relatório de Avaliação Final que recomenda pelo menos uma atividade como um Projeto Enterprise Strategy.</w:t>
      </w:r>
    </w:p>
    <w:p w:rsidR="00DD7F8E" w:rsidRPr="000A1C8E" w:rsidRDefault="00DD7F8E" w:rsidP="00DD7F8E">
      <w:pPr>
        <w:spacing w:after="60"/>
        <w:rPr>
          <w:rFonts w:cs="Tahoma"/>
        </w:rPr>
      </w:pPr>
    </w:p>
    <w:p w:rsidR="00DD7F8E" w:rsidRPr="000A1C8E" w:rsidRDefault="00DD7F8E" w:rsidP="00E77F1E">
      <w:pPr>
        <w:spacing w:after="60"/>
        <w:rPr>
          <w:rFonts w:cs="Tahoma"/>
        </w:rPr>
      </w:pPr>
      <w:r w:rsidRPr="000A1C8E">
        <w:rPr>
          <w:rFonts w:cs="Tahoma"/>
          <w:b/>
        </w:rPr>
        <w:t>Projetos Enterprise Strategy</w:t>
      </w:r>
    </w:p>
    <w:p w:rsidR="00DD7F8E" w:rsidRPr="000A1C8E" w:rsidRDefault="00DD7F8E" w:rsidP="00CA52FE">
      <w:pPr>
        <w:rPr>
          <w:rFonts w:cs="Tahoma"/>
        </w:rPr>
      </w:pPr>
      <w:r w:rsidRPr="000A1C8E">
        <w:rPr>
          <w:rFonts w:eastAsia="Arial" w:cs="Tahoma"/>
          <w:bCs/>
          <w:color w:val="000000"/>
          <w:szCs w:val="18"/>
        </w:rPr>
        <w:t xml:space="preserve">O Arquiteto </w:t>
      </w:r>
      <w:r w:rsidRPr="000A1C8E">
        <w:rPr>
          <w:rFonts w:cs="Tahoma"/>
          <w:bCs/>
          <w:szCs w:val="18"/>
        </w:rPr>
        <w:t xml:space="preserve">Enterprise trabalhará juntamente com o Cliente </w:t>
      </w:r>
      <w:r w:rsidRPr="000A1C8E">
        <w:rPr>
          <w:rFonts w:cs="Tahoma"/>
          <w:bCs/>
          <w:color w:val="000000"/>
          <w:szCs w:val="18"/>
        </w:rPr>
        <w:t xml:space="preserve">para desenvolver um plano </w:t>
      </w:r>
      <w:r w:rsidRPr="000A1C8E">
        <w:rPr>
          <w:rFonts w:cs="Tahoma"/>
          <w:color w:val="000000"/>
          <w:szCs w:val="18"/>
        </w:rPr>
        <w:t>a fim de ajudar o Cliente a perceber objetivos de negócio identificados para a(s) iniciativa(s) selecionada(s) e mudar para seu futuro estado de TI definido, ajudando a reduzir a implantação e as interrupções de operação, bem como acelerar o retorno sobre investimento.</w:t>
      </w:r>
    </w:p>
    <w:p w:rsidR="00CA52FE" w:rsidRPr="000A1C8E" w:rsidRDefault="00CA52FE" w:rsidP="00CA52FE">
      <w:pPr>
        <w:rPr>
          <w:rFonts w:cs="Tahoma"/>
        </w:rPr>
      </w:pPr>
    </w:p>
    <w:p w:rsidR="00393517" w:rsidRPr="000A1C8E" w:rsidRDefault="00393517" w:rsidP="00CA52FE">
      <w:pPr>
        <w:rPr>
          <w:rFonts w:cs="Tahoma"/>
        </w:rPr>
      </w:pPr>
    </w:p>
    <w:p w:rsidR="00393517" w:rsidRPr="000A1C8E" w:rsidRDefault="00393517" w:rsidP="00CA52FE">
      <w:pPr>
        <w:rPr>
          <w:rFonts w:cs="Tahoma"/>
        </w:rPr>
      </w:pPr>
    </w:p>
    <w:p w:rsidR="00393517" w:rsidRPr="000A1C8E" w:rsidRDefault="00393517" w:rsidP="00CA52FE">
      <w:pPr>
        <w:rPr>
          <w:rFonts w:cs="Tahoma"/>
        </w:rPr>
      </w:pPr>
    </w:p>
    <w:p w:rsidR="00393517" w:rsidRPr="000A1C8E" w:rsidRDefault="00393517" w:rsidP="00CA52FE">
      <w:pPr>
        <w:rPr>
          <w:rFonts w:cs="Tahoma"/>
        </w:rPr>
      </w:pPr>
    </w:p>
    <w:p w:rsidR="00DD7F8E" w:rsidRPr="000A1C8E" w:rsidRDefault="00415DDA" w:rsidP="00E77F1E">
      <w:pPr>
        <w:spacing w:after="60"/>
        <w:rPr>
          <w:rFonts w:cs="Tahoma"/>
        </w:rPr>
      </w:pPr>
      <w:r w:rsidRPr="000A1C8E">
        <w:rPr>
          <w:rFonts w:cs="Tahoma"/>
          <w:b/>
          <w:color w:val="000000"/>
          <w:szCs w:val="18"/>
        </w:rPr>
        <w:t>Os Projetos Enterprise Strategy incluem:</w:t>
      </w:r>
    </w:p>
    <w:p w:rsidR="00DD7F8E" w:rsidRPr="000A1C8E" w:rsidRDefault="00DD7F8E" w:rsidP="008206E4">
      <w:pPr>
        <w:numPr>
          <w:ilvl w:val="0"/>
          <w:numId w:val="77"/>
        </w:numPr>
        <w:spacing w:after="40"/>
        <w:ind w:left="1440"/>
        <w:rPr>
          <w:rFonts w:cs="Tahoma"/>
        </w:rPr>
      </w:pPr>
      <w:r w:rsidRPr="000A1C8E">
        <w:rPr>
          <w:rFonts w:eastAsia="Times New Roman" w:cs="Tahoma"/>
          <w:szCs w:val="20"/>
        </w:rPr>
        <w:t xml:space="preserve">Documentação e alinhamento de tecnologias da Microsoft com os principais objetivos de negócios. </w:t>
      </w:r>
    </w:p>
    <w:p w:rsidR="00DD7F8E" w:rsidRPr="000A1C8E" w:rsidRDefault="00DD7F8E" w:rsidP="008206E4">
      <w:pPr>
        <w:numPr>
          <w:ilvl w:val="0"/>
          <w:numId w:val="77"/>
        </w:numPr>
        <w:tabs>
          <w:tab w:val="left" w:pos="1080"/>
        </w:tabs>
        <w:spacing w:after="40"/>
        <w:ind w:left="1440"/>
        <w:rPr>
          <w:rFonts w:cs="Tahoma"/>
        </w:rPr>
      </w:pPr>
      <w:r w:rsidRPr="000A1C8E">
        <w:rPr>
          <w:rFonts w:eastAsia="Times New Roman" w:cs="Tahoma"/>
          <w:szCs w:val="20"/>
        </w:rPr>
        <w:t>Desenvolvimento de um caso de negócios para identificar os benefícios e custos potenciais de cada unidade funcional ou de negócios que pode ser afetada pelo projeto.</w:t>
      </w:r>
    </w:p>
    <w:p w:rsidR="00DD7F8E" w:rsidRPr="000A1C8E" w:rsidRDefault="00DD7F8E" w:rsidP="008206E4">
      <w:pPr>
        <w:numPr>
          <w:ilvl w:val="0"/>
          <w:numId w:val="77"/>
        </w:numPr>
        <w:tabs>
          <w:tab w:val="left" w:pos="1080"/>
        </w:tabs>
        <w:spacing w:after="40"/>
        <w:ind w:left="1440"/>
        <w:rPr>
          <w:rFonts w:cs="Tahoma"/>
        </w:rPr>
      </w:pPr>
      <w:r w:rsidRPr="000A1C8E">
        <w:rPr>
          <w:rFonts w:eastAsia="Times New Roman" w:cs="Tahoma"/>
          <w:szCs w:val="20"/>
        </w:rPr>
        <w:t>Criação de um Documento de Definição de Arquitetura que descreve a arquitetura functional de aplicativos e tecnologias, bem como os requisitos de especificações compatíveis com as recomendações.</w:t>
      </w:r>
    </w:p>
    <w:p w:rsidR="00DD7F8E" w:rsidRPr="000A1C8E" w:rsidRDefault="00DD7F8E" w:rsidP="008206E4">
      <w:pPr>
        <w:numPr>
          <w:ilvl w:val="0"/>
          <w:numId w:val="77"/>
        </w:numPr>
        <w:tabs>
          <w:tab w:val="left" w:pos="1080"/>
        </w:tabs>
        <w:spacing w:after="40"/>
        <w:ind w:left="1440"/>
        <w:rPr>
          <w:rFonts w:cs="Tahoma"/>
        </w:rPr>
      </w:pPr>
      <w:r w:rsidRPr="000A1C8E">
        <w:rPr>
          <w:rFonts w:eastAsia="Times New Roman" w:cs="Tahoma"/>
          <w:szCs w:val="20"/>
        </w:rPr>
        <w:t>Criação de um Plano de Medição que descreve a métrica para avaliar o progresso com relação aos objetivos desejados de negócios, contabilidade e tempo.</w:t>
      </w:r>
    </w:p>
    <w:p w:rsidR="00DD7F8E" w:rsidRPr="000A1C8E" w:rsidRDefault="00DD7F8E" w:rsidP="008206E4">
      <w:pPr>
        <w:numPr>
          <w:ilvl w:val="0"/>
          <w:numId w:val="77"/>
        </w:numPr>
        <w:spacing w:after="40"/>
        <w:ind w:left="1440"/>
        <w:rPr>
          <w:rFonts w:cs="Tahoma"/>
        </w:rPr>
      </w:pPr>
      <w:r w:rsidRPr="000A1C8E">
        <w:rPr>
          <w:rFonts w:eastAsia="Times New Roman" w:cs="Tahoma"/>
          <w:szCs w:val="20"/>
        </w:rPr>
        <w:t>Ajustar as Práticas Recomendadas da Microsoft em supervisão/governança, adoção e medição ao ambiente do Cliente.</w:t>
      </w:r>
    </w:p>
    <w:p w:rsidR="00DD7F8E" w:rsidRPr="000A1C8E" w:rsidRDefault="00DD7F8E" w:rsidP="008206E4">
      <w:pPr>
        <w:numPr>
          <w:ilvl w:val="0"/>
          <w:numId w:val="77"/>
        </w:numPr>
        <w:spacing w:after="40"/>
        <w:ind w:left="1440"/>
        <w:rPr>
          <w:rFonts w:cs="Tahoma"/>
        </w:rPr>
      </w:pPr>
      <w:r w:rsidRPr="000A1C8E">
        <w:rPr>
          <w:rFonts w:eastAsia="Times New Roman" w:cs="Tahoma"/>
          <w:szCs w:val="20"/>
        </w:rPr>
        <w:t>Trabalhar com a equipe de gerenciamento do Cliente para estabelecer controle do programa</w:t>
      </w:r>
      <w:r w:rsidRPr="000A1C8E">
        <w:rPr>
          <w:rFonts w:eastAsia="Arial" w:cs="Tahoma"/>
          <w:szCs w:val="18"/>
        </w:rPr>
        <w:t>.</w:t>
      </w:r>
    </w:p>
    <w:p w:rsidR="00415DDA" w:rsidRPr="000A1C8E" w:rsidDel="00954C6A" w:rsidRDefault="00415DDA" w:rsidP="00346F4B">
      <w:pPr>
        <w:numPr>
          <w:ilvl w:val="0"/>
          <w:numId w:val="77"/>
        </w:numPr>
        <w:ind w:left="1440"/>
        <w:rPr>
          <w:rFonts w:cs="Tahoma"/>
        </w:rPr>
      </w:pPr>
      <w:r w:rsidRPr="000A1C8E">
        <w:rPr>
          <w:rFonts w:eastAsia="Times New Roman" w:cs="Tahoma"/>
          <w:szCs w:val="20"/>
        </w:rPr>
        <w:t>Revisão regular do progresso do Cliente com relação ao scorecard de objetivos de negócios.</w:t>
      </w:r>
    </w:p>
    <w:p w:rsidR="00CA52FE" w:rsidRPr="008206E4" w:rsidRDefault="00CA52FE" w:rsidP="00E77F1E">
      <w:pPr>
        <w:rPr>
          <w:rFonts w:cs="Tahoma"/>
          <w:sz w:val="16"/>
          <w:szCs w:val="16"/>
        </w:rPr>
      </w:pPr>
    </w:p>
    <w:p w:rsidR="00DD7F8E" w:rsidRPr="000A1C8E" w:rsidRDefault="00DD7F8E" w:rsidP="00DD7F8E">
      <w:pPr>
        <w:rPr>
          <w:rFonts w:cs="Tahoma"/>
        </w:rPr>
      </w:pPr>
      <w:r w:rsidRPr="000A1C8E">
        <w:rPr>
          <w:rFonts w:eastAsia="Arial" w:cs="Tahoma"/>
          <w:b/>
          <w:sz w:val="24"/>
          <w:szCs w:val="18"/>
        </w:rPr>
        <w:t>Benefícios do Programa</w:t>
      </w:r>
    </w:p>
    <w:p w:rsidR="00DD7F8E" w:rsidRPr="008206E4" w:rsidRDefault="00DD7F8E" w:rsidP="00DD7F8E">
      <w:pPr>
        <w:rPr>
          <w:rFonts w:cs="Tahoma"/>
          <w:sz w:val="16"/>
          <w:szCs w:val="16"/>
        </w:rPr>
      </w:pPr>
    </w:p>
    <w:p w:rsidR="00DD7F8E" w:rsidRPr="000A1C8E" w:rsidRDefault="00DD7F8E" w:rsidP="00DD7F8E">
      <w:pPr>
        <w:rPr>
          <w:rFonts w:cs="Tahoma"/>
        </w:rPr>
      </w:pPr>
      <w:r w:rsidRPr="000A1C8E">
        <w:rPr>
          <w:rFonts w:eastAsia="Arial" w:cs="Tahoma"/>
          <w:szCs w:val="18"/>
        </w:rPr>
        <w:t xml:space="preserve">Em todo o compromisso, estão disponíveis os seguintes benefícios do programa: </w:t>
      </w:r>
    </w:p>
    <w:p w:rsidR="00DD7F8E" w:rsidRPr="008206E4" w:rsidRDefault="00DD7F8E" w:rsidP="00DD7F8E">
      <w:pPr>
        <w:spacing w:after="60"/>
        <w:rPr>
          <w:rFonts w:cs="Tahoma"/>
          <w:sz w:val="16"/>
          <w:szCs w:val="16"/>
        </w:rPr>
      </w:pPr>
    </w:p>
    <w:p w:rsidR="00E77F1E" w:rsidRPr="000A1C8E" w:rsidRDefault="00E77F1E" w:rsidP="00E77F1E">
      <w:pPr>
        <w:spacing w:after="60"/>
        <w:rPr>
          <w:rFonts w:cs="Tahoma"/>
        </w:rPr>
      </w:pPr>
      <w:r w:rsidRPr="000A1C8E">
        <w:rPr>
          <w:rFonts w:cs="Tahoma"/>
          <w:b/>
          <w:szCs w:val="18"/>
        </w:rPr>
        <w:t>Enterprise Strategy Network</w:t>
      </w:r>
    </w:p>
    <w:p w:rsidR="00C151FB" w:rsidRPr="000A1C8E" w:rsidRDefault="00C151FB" w:rsidP="00C151FB">
      <w:pPr>
        <w:rPr>
          <w:rFonts w:cs="Tahoma"/>
        </w:rPr>
      </w:pPr>
      <w:r w:rsidRPr="000A1C8E">
        <w:rPr>
          <w:rFonts w:cs="Tahoma"/>
          <w:szCs w:val="18"/>
        </w:rPr>
        <w:t>O Programa Enterprise Strategy inclui uma conexão integral com as equipes de desenvolvimento e pesquisa da Microsoft e com os especialistas no assunto dos departamentos de serviços da Microsoft. Os Arquitetos Enterprise usam essa experiência no assunto para fornecer aos Clientes notificações de práticas recomendadas, orientações específicas em determinadas arquiteturas de referência e tecnologias da Microsoft. As recomendações de práticas recomendadas e materiais associados e ferramentas são incluídos na Biblioteca do Microsoft Enterprise Strategy para ajudar a acelerar o fornecimento de projetos ESP aos clientes.</w:t>
      </w:r>
    </w:p>
    <w:p w:rsidR="001C1727" w:rsidRPr="008206E4" w:rsidRDefault="001C1727">
      <w:pPr>
        <w:rPr>
          <w:rFonts w:cs="Tahoma"/>
          <w:sz w:val="16"/>
          <w:szCs w:val="16"/>
        </w:rPr>
      </w:pPr>
    </w:p>
    <w:p w:rsidR="00E77F1E" w:rsidRPr="000A1C8E" w:rsidRDefault="00C151FB" w:rsidP="00E77F1E">
      <w:pPr>
        <w:spacing w:after="60"/>
        <w:rPr>
          <w:rFonts w:cs="Tahoma"/>
        </w:rPr>
      </w:pPr>
      <w:r w:rsidRPr="000A1C8E">
        <w:rPr>
          <w:rFonts w:cs="Tahoma"/>
          <w:b/>
          <w:szCs w:val="18"/>
        </w:rPr>
        <w:t>Enterprise Strategy Library</w:t>
      </w:r>
    </w:p>
    <w:p w:rsidR="00C151FB" w:rsidRPr="008206E4" w:rsidRDefault="00C151FB" w:rsidP="00E77F1E">
      <w:pPr>
        <w:rPr>
          <w:rFonts w:cs="Tahoma"/>
        </w:rPr>
      </w:pPr>
      <w:r w:rsidRPr="008206E4">
        <w:rPr>
          <w:rFonts w:cs="Tahoma"/>
        </w:rPr>
        <w:t xml:space="preserve">O Programa Enterprise Strategy inclui </w:t>
      </w:r>
      <w:r w:rsidRPr="008206E4">
        <w:rPr>
          <w:rFonts w:eastAsia="Arial" w:cs="Tahoma"/>
        </w:rPr>
        <w:t>uma ampla coleção de materiais inclusive Ideias do Setor e ferramentas de Benchmarks, métodos e modelos de referência de Arquitetura Enterprise e Arquitetura de Tecnologia. Dependendo das necessidades dos Clientes, o Arquiteto Enterprise usa o conjunto de materiais e ferramentas apropriados.</w:t>
      </w:r>
    </w:p>
    <w:p w:rsidR="00C151FB" w:rsidRPr="008206E4" w:rsidRDefault="00C151FB" w:rsidP="00E77F1E">
      <w:pPr>
        <w:rPr>
          <w:rFonts w:cs="Tahoma"/>
          <w:sz w:val="16"/>
          <w:szCs w:val="16"/>
        </w:rPr>
      </w:pPr>
    </w:p>
    <w:p w:rsidR="00E77F1E" w:rsidRPr="000A1C8E" w:rsidRDefault="00E77F1E" w:rsidP="00AF1D88">
      <w:pPr>
        <w:keepNext/>
        <w:spacing w:after="60"/>
        <w:rPr>
          <w:rFonts w:cs="Tahoma"/>
        </w:rPr>
      </w:pPr>
      <w:r w:rsidRPr="000A1C8E">
        <w:rPr>
          <w:rFonts w:cs="Tahoma"/>
          <w:b/>
          <w:szCs w:val="18"/>
        </w:rPr>
        <w:t>Oficinas do Compromisso</w:t>
      </w:r>
    </w:p>
    <w:p w:rsidR="00DD7F8E" w:rsidRPr="000A1C8E" w:rsidRDefault="00DD7F8E" w:rsidP="00E77F1E">
      <w:pPr>
        <w:rPr>
          <w:rFonts w:cs="Tahoma"/>
        </w:rPr>
      </w:pPr>
      <w:r w:rsidRPr="000A1C8E">
        <w:rPr>
          <w:rFonts w:eastAsia="Arial" w:cs="Tahoma"/>
        </w:rPr>
        <w:t>Essas oficinas de nível executivo tem duração de até um dia e geralmente são conduzidas em escritórios regionais da Microsoft na subsidiária local. Elas são criadas e personalizadas para que os líderes de negócios e TI do Cliente compreendam a relevância das tecnologias emergentes e das ideias do setor para seus negócios.</w:t>
      </w:r>
      <w:r w:rsidR="00DC6D8B" w:rsidRPr="000A1C8E">
        <w:rPr>
          <w:rFonts w:eastAsia="Arial" w:cs="Tahoma"/>
        </w:rPr>
        <w:t xml:space="preserve"> </w:t>
      </w:r>
      <w:r w:rsidRPr="000A1C8E">
        <w:rPr>
          <w:rFonts w:eastAsia="Arial" w:cs="Tahoma"/>
        </w:rPr>
        <w:t>O Cliente é responsável por arcar com os custos de participar dessas oficinas.</w:t>
      </w:r>
    </w:p>
    <w:p w:rsidR="00DD7F8E" w:rsidRPr="008206E4" w:rsidRDefault="00DD7F8E" w:rsidP="00E77F1E">
      <w:pPr>
        <w:rPr>
          <w:rFonts w:cs="Tahoma"/>
          <w:sz w:val="16"/>
          <w:szCs w:val="16"/>
        </w:rPr>
      </w:pPr>
    </w:p>
    <w:p w:rsidR="00E77F1E" w:rsidRPr="000A1C8E" w:rsidRDefault="00E77F1E" w:rsidP="00E77F1E">
      <w:pPr>
        <w:spacing w:after="60"/>
        <w:rPr>
          <w:rFonts w:cs="Tahoma"/>
        </w:rPr>
      </w:pPr>
      <w:r w:rsidRPr="000A1C8E">
        <w:rPr>
          <w:rFonts w:cs="Tahoma"/>
          <w:b/>
          <w:szCs w:val="18"/>
        </w:rPr>
        <w:t>Instruções Estratégicas</w:t>
      </w:r>
    </w:p>
    <w:p w:rsidR="00DD7F8E" w:rsidRPr="008206E4" w:rsidRDefault="00DD7F8E" w:rsidP="00E77F1E">
      <w:pPr>
        <w:spacing w:after="60"/>
        <w:rPr>
          <w:rFonts w:cs="Tahoma"/>
          <w:spacing w:val="-3"/>
        </w:rPr>
      </w:pPr>
      <w:r w:rsidRPr="008206E4">
        <w:rPr>
          <w:rFonts w:eastAsia="Arial" w:cs="Tahoma"/>
          <w:spacing w:val="-3"/>
        </w:rPr>
        <w:t>Trata-se de webconferências globais com duração de uma hora para líderes de negócios e TI a respeito de oportunidades de negócios e do setor, tendências de tecnologia e perspectiva da Microsoft sobre pontos de vistas estratégicos para problemas importantes.</w:t>
      </w:r>
      <w:r w:rsidR="00DC6D8B" w:rsidRPr="008206E4">
        <w:rPr>
          <w:rFonts w:eastAsia="Arial" w:cs="Tahoma"/>
          <w:spacing w:val="-3"/>
        </w:rPr>
        <w:t xml:space="preserve"> </w:t>
      </w:r>
      <w:r w:rsidRPr="008206E4">
        <w:rPr>
          <w:rFonts w:eastAsia="Arial" w:cs="Tahoma"/>
          <w:spacing w:val="-3"/>
        </w:rPr>
        <w:t>Os Clientes também podem ver Instruções Estratégicas gravadas anteriormente.</w:t>
      </w:r>
    </w:p>
    <w:p w:rsidR="00DD7F8E" w:rsidRPr="008206E4" w:rsidRDefault="00DD7F8E" w:rsidP="00E77F1E">
      <w:pPr>
        <w:rPr>
          <w:rFonts w:cs="Tahoma"/>
          <w:sz w:val="16"/>
          <w:szCs w:val="16"/>
        </w:rPr>
      </w:pPr>
    </w:p>
    <w:p w:rsidR="009B78AB" w:rsidRPr="000A1C8E" w:rsidRDefault="009B78AB" w:rsidP="009B78AB">
      <w:pPr>
        <w:spacing w:after="60"/>
        <w:rPr>
          <w:rFonts w:cs="Tahoma"/>
        </w:rPr>
      </w:pPr>
      <w:r w:rsidRPr="000A1C8E">
        <w:rPr>
          <w:rFonts w:eastAsia="Arial" w:cs="Tahoma"/>
          <w:b/>
        </w:rPr>
        <w:t>Enterprise Strategy Forum</w:t>
      </w:r>
    </w:p>
    <w:p w:rsidR="009B78AB" w:rsidRPr="008206E4" w:rsidRDefault="009B78AB" w:rsidP="009B78AB">
      <w:pPr>
        <w:spacing w:after="60"/>
        <w:rPr>
          <w:rFonts w:cs="Tahoma"/>
        </w:rPr>
      </w:pPr>
      <w:r w:rsidRPr="008206E4">
        <w:rPr>
          <w:rFonts w:eastAsia="Arial" w:cs="Tahoma"/>
        </w:rPr>
        <w:t>Uma conferência apenas para clientes com convite para Arquitetos Principais e sua equipe de gerenciamento, exclusiva para os clientes do Programa Enterprise Strategy de todo o mundo. Ela dá aos Arquitetos Principais a oportunidade de encontrar-se com seus parceiros e executivos da Microsoft para debater alguns dos problemas de nossos maiores clientes e como esses problemas podem ser resolvidos.</w:t>
      </w:r>
      <w:r w:rsidR="00DC6D8B" w:rsidRPr="008206E4">
        <w:rPr>
          <w:rFonts w:eastAsia="Arial" w:cs="Tahoma"/>
        </w:rPr>
        <w:t xml:space="preserve"> </w:t>
      </w:r>
      <w:r w:rsidRPr="008206E4">
        <w:rPr>
          <w:rFonts w:eastAsia="Arial" w:cs="Tahoma"/>
        </w:rPr>
        <w:t>O Cliente é responsável por arcar com os custos de participar desses fóruns.</w:t>
      </w:r>
      <w:r w:rsidRPr="008206E4">
        <w:rPr>
          <w:rFonts w:cs="Tahoma"/>
          <w:sz w:val="22"/>
        </w:rPr>
        <w:t xml:space="preserve"> </w:t>
      </w:r>
    </w:p>
    <w:p w:rsidR="00C151FB" w:rsidRPr="008206E4" w:rsidRDefault="00C151FB" w:rsidP="00E77F1E">
      <w:pPr>
        <w:rPr>
          <w:rFonts w:cs="Tahoma"/>
          <w:sz w:val="16"/>
          <w:szCs w:val="16"/>
        </w:rPr>
      </w:pPr>
    </w:p>
    <w:p w:rsidR="00E77F1E" w:rsidRPr="000A1C8E" w:rsidRDefault="00C151FB" w:rsidP="00E77F1E">
      <w:pPr>
        <w:spacing w:after="60"/>
        <w:rPr>
          <w:rFonts w:cs="Tahoma"/>
        </w:rPr>
      </w:pPr>
      <w:r w:rsidRPr="000A1C8E">
        <w:rPr>
          <w:rFonts w:cs="Tahoma"/>
          <w:b/>
          <w:bCs/>
          <w:color w:val="000000"/>
          <w:szCs w:val="18"/>
        </w:rPr>
        <w:t>Enterprise Strategy Capacity Complementar</w:t>
      </w:r>
    </w:p>
    <w:p w:rsidR="00C151FB" w:rsidRPr="000A1C8E" w:rsidRDefault="00C151FB" w:rsidP="00E77F1E">
      <w:pPr>
        <w:rPr>
          <w:rFonts w:cs="Tahoma"/>
        </w:rPr>
      </w:pPr>
      <w:r w:rsidRPr="000A1C8E">
        <w:rPr>
          <w:rFonts w:cs="Tahoma"/>
          <w:color w:val="000000"/>
          <w:szCs w:val="18"/>
        </w:rPr>
        <w:t xml:space="preserve">O Cliente pode comprar blocos de 200 horas de recursos de consultoria do Microsoft Enterprise Service para aprimorar o fornecimento de capacidade para Projetos Enterprise Strategy ou para conectar intervalos entre os compromissos. O Enterprise Strategy Capacity Complementar está disponível para Clientes que compraram a oferta </w:t>
      </w:r>
      <w:r w:rsidRPr="000A1C8E">
        <w:rPr>
          <w:rFonts w:cs="Tahoma"/>
          <w:color w:val="000000"/>
          <w:szCs w:val="18"/>
        </w:rPr>
        <w:lastRenderedPageBreak/>
        <w:t>Enterprise Strategy Connect, Enterprise Strategy Foundation ou Enterprise Strategy Portfolio por meio dos contratos de Serviços padrão ou licenciamento por volume da Microsoft.</w:t>
      </w:r>
    </w:p>
    <w:bookmarkEnd w:id="926"/>
    <w:bookmarkEnd w:id="927"/>
    <w:p w:rsidR="00DD7F8E" w:rsidRPr="000A1C8E" w:rsidRDefault="00DD7F8E" w:rsidP="00DD7F8E">
      <w:pPr>
        <w:rPr>
          <w:rFonts w:cs="Tahoma"/>
        </w:rPr>
      </w:pPr>
      <w:r w:rsidRPr="000A1C8E">
        <w:rPr>
          <w:rFonts w:cs="Tahoma"/>
          <w:b/>
          <w:sz w:val="24"/>
          <w:szCs w:val="18"/>
        </w:rPr>
        <w:t>Serviços Fora do Escopo</w:t>
      </w:r>
      <w:r w:rsidR="00DC6D8B" w:rsidRPr="000A1C8E">
        <w:rPr>
          <w:rFonts w:cs="Tahoma"/>
          <w:sz w:val="20"/>
          <w:szCs w:val="18"/>
        </w:rPr>
        <w:t xml:space="preserve"> </w:t>
      </w:r>
    </w:p>
    <w:p w:rsidR="00DD7F8E" w:rsidRPr="000A1C8E" w:rsidRDefault="00DD7F8E" w:rsidP="00E77F1E">
      <w:pPr>
        <w:rPr>
          <w:rFonts w:cs="Tahoma"/>
        </w:rPr>
      </w:pPr>
    </w:p>
    <w:p w:rsidR="00DD7F8E" w:rsidRPr="000A1C8E" w:rsidRDefault="00DD7F8E" w:rsidP="00DD7F8E">
      <w:pPr>
        <w:rPr>
          <w:rFonts w:cs="Tahoma"/>
        </w:rPr>
      </w:pPr>
      <w:r w:rsidRPr="000A1C8E">
        <w:rPr>
          <w:rFonts w:cs="Tahoma"/>
          <w:szCs w:val="18"/>
        </w:rPr>
        <w:t>O Programa Enterprise Strategy engloba exclusivamente consultoria e orientação a respeito da adoção das tecnologias da Microsoft por parte do Cliente.</w:t>
      </w:r>
      <w:r w:rsidR="00DC6D8B" w:rsidRPr="000A1C8E">
        <w:rPr>
          <w:rFonts w:cs="Tahoma"/>
          <w:szCs w:val="18"/>
        </w:rPr>
        <w:t xml:space="preserve"> </w:t>
      </w:r>
      <w:r w:rsidRPr="000A1C8E">
        <w:rPr>
          <w:rFonts w:eastAsia="Arial" w:cs="Tahoma"/>
          <w:bCs/>
          <w:sz w:val="19"/>
          <w:szCs w:val="19"/>
        </w:rPr>
        <w:t>Fica a critério exclusivo do Cliente escolher seguir ou desconsiderar a consultoria, a orientação e as recomendações da Microsoft.</w:t>
      </w:r>
      <w:r w:rsidR="00DC6D8B" w:rsidRPr="000A1C8E">
        <w:rPr>
          <w:rFonts w:eastAsia="Arial" w:cs="Tahoma"/>
          <w:bCs/>
          <w:sz w:val="19"/>
          <w:szCs w:val="19"/>
        </w:rPr>
        <w:t xml:space="preserve"> </w:t>
      </w:r>
      <w:r w:rsidRPr="000A1C8E">
        <w:rPr>
          <w:rFonts w:eastAsia="Arial" w:cs="Tahoma"/>
          <w:bCs/>
          <w:sz w:val="19"/>
          <w:szCs w:val="19"/>
        </w:rPr>
        <w:t>A Microsoft não faz promessas nem oferece garantias de nenhuma forma com relação aos resultados que possam ser alcançados pelo Cliente como resultado do seguimento da consultoria, das orientações ou das recomendações da Microsoft.</w:t>
      </w:r>
      <w:r w:rsidR="00DC6D8B" w:rsidRPr="000A1C8E">
        <w:rPr>
          <w:rFonts w:eastAsia="Arial" w:cs="Tahoma"/>
          <w:bCs/>
          <w:sz w:val="19"/>
          <w:szCs w:val="19"/>
        </w:rPr>
        <w:t xml:space="preserve"> </w:t>
      </w:r>
      <w:r w:rsidRPr="000A1C8E">
        <w:rPr>
          <w:rFonts w:cs="Tahoma"/>
          <w:szCs w:val="18"/>
        </w:rPr>
        <w:t>As licenças de produto não estão incluídas.</w:t>
      </w:r>
      <w:r w:rsidR="00DC6D8B" w:rsidRPr="000A1C8E">
        <w:rPr>
          <w:rFonts w:cs="Tahoma"/>
          <w:szCs w:val="18"/>
        </w:rPr>
        <w:t xml:space="preserve"> </w:t>
      </w:r>
      <w:r w:rsidRPr="000A1C8E">
        <w:rPr>
          <w:rFonts w:cs="Tahoma"/>
          <w:szCs w:val="18"/>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rsidR="00DD7F8E" w:rsidRPr="000A1C8E" w:rsidRDefault="00DD7F8E" w:rsidP="00E77F1E">
      <w:pPr>
        <w:rPr>
          <w:rFonts w:cs="Tahoma"/>
        </w:rPr>
      </w:pPr>
    </w:p>
    <w:p w:rsidR="00DD7F8E" w:rsidRPr="000A1C8E" w:rsidRDefault="00DD7F8E" w:rsidP="00DD7F8E">
      <w:pPr>
        <w:rPr>
          <w:rFonts w:cs="Tahoma"/>
        </w:rPr>
      </w:pPr>
      <w:r w:rsidRPr="000A1C8E">
        <w:rPr>
          <w:rFonts w:cs="Tahoma"/>
          <w:b/>
          <w:sz w:val="24"/>
          <w:szCs w:val="18"/>
        </w:rPr>
        <w:t>Responsabilidades do Cliente</w:t>
      </w:r>
      <w:r w:rsidR="00DC6D8B" w:rsidRPr="000A1C8E">
        <w:rPr>
          <w:rFonts w:cs="Tahoma"/>
          <w:sz w:val="24"/>
          <w:szCs w:val="18"/>
        </w:rPr>
        <w:t xml:space="preserve"> </w:t>
      </w:r>
    </w:p>
    <w:p w:rsidR="00DD7F8E" w:rsidRPr="000A1C8E" w:rsidRDefault="00DD7F8E" w:rsidP="00DD7F8E">
      <w:pPr>
        <w:rPr>
          <w:rFonts w:cs="Tahoma"/>
        </w:rPr>
      </w:pPr>
    </w:p>
    <w:p w:rsidR="00DD7F8E" w:rsidRPr="000A1C8E" w:rsidRDefault="00DD7F8E" w:rsidP="00DD7F8E">
      <w:pPr>
        <w:rPr>
          <w:rFonts w:cs="Tahoma"/>
        </w:rPr>
      </w:pPr>
      <w:r w:rsidRPr="000A1C8E">
        <w:rPr>
          <w:rFonts w:cs="Tahoma"/>
          <w:szCs w:val="18"/>
        </w:rPr>
        <w:t>O sucesso do Programa Enterprise Strategy, bem como o desempenho de nossas obrigações, dependem do envolvimento do Cliente ao longo do programa, incluindo, sem limitação:</w:t>
      </w:r>
    </w:p>
    <w:p w:rsidR="00DD7F8E" w:rsidRPr="000A1C8E" w:rsidRDefault="00DD7F8E" w:rsidP="00DD7F8E">
      <w:pPr>
        <w:rPr>
          <w:rFonts w:cs="Tahoma"/>
        </w:rPr>
      </w:pPr>
    </w:p>
    <w:p w:rsidR="00DD7F8E" w:rsidRPr="000A1C8E" w:rsidRDefault="00DD7F8E" w:rsidP="00346F4B">
      <w:pPr>
        <w:numPr>
          <w:ilvl w:val="0"/>
          <w:numId w:val="78"/>
        </w:numPr>
        <w:tabs>
          <w:tab w:val="left" w:pos="1440"/>
        </w:tabs>
        <w:spacing w:after="60"/>
        <w:ind w:left="1440"/>
        <w:rPr>
          <w:rFonts w:cs="Tahoma"/>
        </w:rPr>
      </w:pPr>
      <w:r w:rsidRPr="000A1C8E">
        <w:rPr>
          <w:rFonts w:cs="Tahoma"/>
          <w:color w:val="000000"/>
          <w:szCs w:val="18"/>
        </w:rPr>
        <w:t xml:space="preserve">A disponibilidade de representantes, equipe de TI e recursos do Cliente, incluindo, sem limitação, hardware, software, conectividade de Internet e espaço no escritório; </w:t>
      </w:r>
    </w:p>
    <w:p w:rsidR="00DD7F8E" w:rsidRPr="000A1C8E" w:rsidRDefault="00DD7F8E" w:rsidP="00346F4B">
      <w:pPr>
        <w:numPr>
          <w:ilvl w:val="0"/>
          <w:numId w:val="78"/>
        </w:numPr>
        <w:tabs>
          <w:tab w:val="left" w:pos="1440"/>
        </w:tabs>
        <w:spacing w:after="60"/>
        <w:ind w:left="1440"/>
        <w:rPr>
          <w:rFonts w:cs="Tahoma"/>
        </w:rPr>
      </w:pPr>
      <w:r w:rsidRPr="000A1C8E">
        <w:rPr>
          <w:rFonts w:cs="Tahoma"/>
          <w:color w:val="000000"/>
          <w:szCs w:val="18"/>
        </w:rPr>
        <w:t xml:space="preserve">Fornecimento de informações precisas e completas em tempo hábil por parte do Cliente; </w:t>
      </w:r>
    </w:p>
    <w:p w:rsidR="00DD7F8E" w:rsidRPr="000A1C8E" w:rsidRDefault="00DD7F8E" w:rsidP="00346F4B">
      <w:pPr>
        <w:numPr>
          <w:ilvl w:val="0"/>
          <w:numId w:val="78"/>
        </w:numPr>
        <w:tabs>
          <w:tab w:val="left" w:pos="1440"/>
        </w:tabs>
        <w:spacing w:after="60"/>
        <w:ind w:left="1440"/>
        <w:rPr>
          <w:rFonts w:cs="Tahoma"/>
        </w:rPr>
      </w:pPr>
      <w:r w:rsidRPr="000A1C8E">
        <w:rPr>
          <w:rFonts w:cs="Tahoma"/>
          <w:color w:val="000000"/>
          <w:szCs w:val="18"/>
        </w:rPr>
        <w:t>Acesso a informações sobre a organização do Cliente;</w:t>
      </w:r>
    </w:p>
    <w:p w:rsidR="00DD7F8E" w:rsidRPr="000A1C8E" w:rsidRDefault="00DD7F8E" w:rsidP="00346F4B">
      <w:pPr>
        <w:numPr>
          <w:ilvl w:val="0"/>
          <w:numId w:val="78"/>
        </w:numPr>
        <w:tabs>
          <w:tab w:val="left" w:pos="1440"/>
        </w:tabs>
        <w:spacing w:after="60"/>
        <w:ind w:left="1440"/>
        <w:rPr>
          <w:rFonts w:cs="Tahoma"/>
        </w:rPr>
      </w:pPr>
      <w:r w:rsidRPr="000A1C8E">
        <w:rPr>
          <w:rFonts w:cs="Tahoma"/>
          <w:color w:val="000000"/>
          <w:szCs w:val="18"/>
        </w:rPr>
        <w:t>Cumprimento tempestivo e eficaz das responsabilidades atribuídas ao Cliente; e</w:t>
      </w:r>
    </w:p>
    <w:p w:rsidR="00DD7F8E" w:rsidRPr="000A1C8E" w:rsidRDefault="00DD7F8E" w:rsidP="00346F4B">
      <w:pPr>
        <w:numPr>
          <w:ilvl w:val="0"/>
          <w:numId w:val="78"/>
        </w:numPr>
        <w:tabs>
          <w:tab w:val="left" w:pos="1440"/>
        </w:tabs>
        <w:spacing w:after="60"/>
        <w:ind w:left="1440"/>
        <w:rPr>
          <w:rFonts w:cs="Tahoma"/>
        </w:rPr>
      </w:pPr>
      <w:r w:rsidRPr="000A1C8E">
        <w:rPr>
          <w:rFonts w:cs="Tahoma"/>
          <w:color w:val="000000"/>
          <w:szCs w:val="18"/>
        </w:rPr>
        <w:t>Decisões e aprovações tempestivas da administração do Cliente.</w:t>
      </w:r>
      <w:r w:rsidR="00DC6D8B" w:rsidRPr="000A1C8E">
        <w:rPr>
          <w:rFonts w:cs="Tahoma"/>
          <w:color w:val="000000"/>
          <w:szCs w:val="18"/>
        </w:rPr>
        <w:t xml:space="preserve"> </w:t>
      </w:r>
    </w:p>
    <w:p w:rsidR="0064651F" w:rsidRPr="000A1C8E" w:rsidRDefault="0064651F" w:rsidP="00CA52FE">
      <w:pPr>
        <w:rPr>
          <w:rFonts w:cs="Tahoma"/>
        </w:rPr>
      </w:pPr>
      <w:bookmarkStart w:id="928" w:name="_Toc288760404"/>
    </w:p>
    <w:p w:rsidR="00DD7F8E" w:rsidRPr="000A1C8E" w:rsidRDefault="00DD7F8E" w:rsidP="00CA52FE">
      <w:pPr>
        <w:rPr>
          <w:rFonts w:cs="Tahoma"/>
        </w:rPr>
      </w:pPr>
      <w:r w:rsidRPr="000A1C8E">
        <w:rPr>
          <w:rFonts w:cs="Tahoma"/>
          <w:b/>
          <w:sz w:val="24"/>
          <w:szCs w:val="18"/>
        </w:rPr>
        <w:t>Termos e Condições Adicionais dos Serviços</w:t>
      </w:r>
    </w:p>
    <w:p w:rsidR="00DD7F8E" w:rsidRPr="000A1C8E" w:rsidRDefault="00DD7F8E" w:rsidP="00CA52FE">
      <w:pPr>
        <w:rPr>
          <w:rFonts w:cs="Tahoma"/>
        </w:rPr>
      </w:pPr>
    </w:p>
    <w:p w:rsidR="00DD7F8E" w:rsidRPr="000A1C8E" w:rsidRDefault="00DB2D1E" w:rsidP="00E77F1E">
      <w:pPr>
        <w:spacing w:after="60"/>
        <w:rPr>
          <w:rFonts w:cs="Tahoma"/>
        </w:rPr>
      </w:pPr>
      <w:bookmarkStart w:id="929" w:name="_Toc317591257"/>
      <w:bookmarkStart w:id="930" w:name="_Toc336338248"/>
      <w:bookmarkStart w:id="931" w:name="_Toc361829332"/>
      <w:r w:rsidRPr="000A1C8E">
        <w:rPr>
          <w:rStyle w:val="Heading2Char"/>
          <w:rFonts w:ascii="Tahoma" w:hAnsi="Tahoma" w:cs="Tahoma"/>
          <w:sz w:val="20"/>
          <w:szCs w:val="20"/>
        </w:rPr>
        <w:t>Direitos de uso, propriedade e licença</w:t>
      </w:r>
      <w:bookmarkEnd w:id="928"/>
      <w:bookmarkEnd w:id="929"/>
      <w:bookmarkEnd w:id="930"/>
      <w:bookmarkEnd w:id="931"/>
    </w:p>
    <w:p w:rsidR="00DB2D1E" w:rsidRPr="000A1C8E" w:rsidRDefault="00DB2D1E" w:rsidP="00D83BEB">
      <w:pPr>
        <w:pStyle w:val="normal1"/>
        <w:rPr>
          <w:rFonts w:ascii="Tahoma" w:hAnsi="Tahoma" w:cs="Tahoma"/>
        </w:rPr>
      </w:pPr>
      <w:r w:rsidRPr="000A1C8E">
        <w:rPr>
          <w:rFonts w:ascii="Tahoma" w:hAnsi="Tahoma" w:cs="Tahoma"/>
          <w:b/>
          <w:bCs/>
          <w:color w:val="000000"/>
          <w:sz w:val="18"/>
          <w:szCs w:val="18"/>
        </w:rPr>
        <w:t>Consertos.</w:t>
      </w:r>
      <w:r w:rsidR="00DC6D8B" w:rsidRPr="000A1C8E">
        <w:rPr>
          <w:rFonts w:ascii="Tahoma" w:hAnsi="Tahoma" w:cs="Tahoma"/>
          <w:b/>
          <w:bCs/>
          <w:color w:val="000000"/>
          <w:sz w:val="18"/>
          <w:szCs w:val="18"/>
        </w:rPr>
        <w:t xml:space="preserve"> </w:t>
      </w:r>
      <w:r w:rsidRPr="000A1C8E">
        <w:rPr>
          <w:rFonts w:ascii="Tahoma" w:hAnsi="Tahoma" w:cs="Tahoma"/>
          <w:bCs/>
          <w:color w:val="000000"/>
          <w:sz w:val="18"/>
          <w:szCs w:val="18"/>
        </w:rPr>
        <w:t>Se a Microsoft fornecer Consertos ao Cliente no decorrer da execução dos Serviços, tais</w:t>
      </w:r>
      <w:r w:rsidRPr="000A1C8E">
        <w:rPr>
          <w:rFonts w:ascii="Tahoma" w:hAnsi="Tahoma" w:cs="Tahoma"/>
          <w:b/>
          <w:bCs/>
          <w:color w:val="000000"/>
          <w:sz w:val="18"/>
          <w:szCs w:val="18"/>
        </w:rPr>
        <w:t xml:space="preserve"> </w:t>
      </w:r>
      <w:r w:rsidRPr="000A1C8E">
        <w:rPr>
          <w:rFonts w:ascii="Tahoma" w:hAnsi="Tahoma" w:cs="Tahoma"/>
          <w:color w:val="000000"/>
          <w:sz w:val="18"/>
          <w:szCs w:val="18"/>
        </w:rPr>
        <w:t>Consertos serão</w:t>
      </w:r>
      <w:r w:rsidR="00D83BEB" w:rsidRPr="000A1C8E">
        <w:rPr>
          <w:rFonts w:ascii="Tahoma" w:hAnsi="Tahoma" w:cs="Tahoma"/>
          <w:color w:val="000000"/>
          <w:sz w:val="18"/>
          <w:szCs w:val="18"/>
        </w:rPr>
        <w:t> </w:t>
      </w:r>
      <w:r w:rsidRPr="000A1C8E">
        <w:rPr>
          <w:rFonts w:ascii="Tahoma" w:hAnsi="Tahoma" w:cs="Tahoma"/>
          <w:color w:val="000000"/>
          <w:sz w:val="18"/>
          <w:szCs w:val="18"/>
        </w:rPr>
        <w:t>licenciados de acordo com os termos da licença aplicáveis ao Produto ao qual os Consertos estão relacionados.</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Se os 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 uso interno.</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O Cliente não pode modificar, alterar o nome do arquivo dos Consertos ou combinar quaisquer Consertos com nenhum código de computador que não seja da Microsoft.</w:t>
      </w:r>
    </w:p>
    <w:p w:rsidR="003F47CB" w:rsidRPr="000A1C8E" w:rsidRDefault="003F47CB" w:rsidP="00CA52FE">
      <w:pPr>
        <w:pStyle w:val="normal1"/>
        <w:rPr>
          <w:rFonts w:ascii="Tahoma" w:hAnsi="Tahoma" w:cs="Tahoma"/>
        </w:rPr>
      </w:pPr>
    </w:p>
    <w:p w:rsidR="00DB2D1E" w:rsidRPr="000A1C8E" w:rsidRDefault="00DB2D1E" w:rsidP="00D83BEB">
      <w:pPr>
        <w:pStyle w:val="normal1"/>
        <w:rPr>
          <w:rFonts w:ascii="Tahoma" w:hAnsi="Tahoma" w:cs="Tahoma"/>
        </w:rPr>
      </w:pPr>
      <w:r w:rsidRPr="000A1C8E">
        <w:rPr>
          <w:rFonts w:ascii="Tahoma" w:hAnsi="Tahoma" w:cs="Tahoma"/>
          <w:b/>
          <w:bCs/>
          <w:color w:val="000000"/>
          <w:sz w:val="18"/>
          <w:szCs w:val="18"/>
        </w:rPr>
        <w:t>Trabalho Preexistente.</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w:t>
      </w:r>
      <w:r w:rsidR="00D83BEB" w:rsidRPr="000A1C8E">
        <w:rPr>
          <w:rFonts w:ascii="Tahoma" w:hAnsi="Tahoma" w:cs="Tahoma"/>
          <w:color w:val="000000"/>
          <w:sz w:val="18"/>
          <w:szCs w:val="18"/>
        </w:rPr>
        <w:t> </w:t>
      </w:r>
      <w:r w:rsidRPr="000A1C8E">
        <w:rPr>
          <w:rFonts w:ascii="Tahoma" w:hAnsi="Tahoma" w:cs="Tahoma"/>
          <w:color w:val="000000"/>
          <w:sz w:val="18"/>
          <w:szCs w:val="18"/>
        </w:rPr>
        <w:t>Trabalho Preexistente.</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DB2D1E" w:rsidRPr="000A1C8E" w:rsidRDefault="00DB2D1E" w:rsidP="00D83BEB">
      <w:pPr>
        <w:pStyle w:val="normal1"/>
        <w:rPr>
          <w:rFonts w:ascii="Tahoma" w:hAnsi="Tahoma" w:cs="Tahoma"/>
          <w:spacing w:val="-2"/>
        </w:rPr>
      </w:pPr>
      <w:r w:rsidRPr="000A1C8E">
        <w:rPr>
          <w:rFonts w:ascii="Tahoma" w:hAnsi="Tahoma" w:cs="Tahoma"/>
          <w:color w:val="000000"/>
          <w:spacing w:val="-2"/>
          <w:sz w:val="18"/>
          <w:szCs w:val="18"/>
        </w:rPr>
        <w:t>Exceto conforme de outra forma expressamente acordado por escrito entre as partes, mediante pagamento integral, a</w:t>
      </w:r>
      <w:r w:rsidR="00D83BEB" w:rsidRPr="000A1C8E">
        <w:rPr>
          <w:rFonts w:ascii="Tahoma" w:hAnsi="Tahoma" w:cs="Tahoma"/>
          <w:color w:val="000000"/>
          <w:spacing w:val="-2"/>
          <w:sz w:val="18"/>
          <w:szCs w:val="18"/>
        </w:rPr>
        <w:t> </w:t>
      </w:r>
      <w:r w:rsidRPr="000A1C8E">
        <w:rPr>
          <w:rFonts w:ascii="Tahoma" w:hAnsi="Tahoma" w:cs="Tahoma"/>
          <w:color w:val="000000"/>
          <w:spacing w:val="-2"/>
          <w:sz w:val="18"/>
          <w:szCs w:val="18"/>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rsidR="003F47CB" w:rsidRPr="000A1C8E" w:rsidRDefault="003F47CB" w:rsidP="00CA52FE">
      <w:pPr>
        <w:pStyle w:val="normal1"/>
        <w:rPr>
          <w:rFonts w:ascii="Tahoma" w:hAnsi="Tahoma" w:cs="Tahoma"/>
        </w:rPr>
      </w:pPr>
    </w:p>
    <w:p w:rsidR="00DB2D1E" w:rsidRPr="000A1C8E" w:rsidRDefault="00DB2D1E" w:rsidP="00CA52FE">
      <w:pPr>
        <w:pStyle w:val="normal1"/>
        <w:rPr>
          <w:rFonts w:ascii="Tahoma" w:hAnsi="Tahoma" w:cs="Tahoma"/>
        </w:rPr>
      </w:pPr>
      <w:r w:rsidRPr="000A1C8E">
        <w:rPr>
          <w:rFonts w:ascii="Tahoma" w:hAnsi="Tahoma" w:cs="Tahoma"/>
          <w:b/>
          <w:bCs/>
          <w:color w:val="000000"/>
          <w:sz w:val="18"/>
          <w:szCs w:val="18"/>
        </w:rPr>
        <w:t>Desenvolvimentos</w:t>
      </w:r>
      <w:r w:rsidRPr="000A1C8E">
        <w:rPr>
          <w:rFonts w:ascii="Tahoma" w:hAnsi="Tahoma" w:cs="Tahoma"/>
          <w:color w:val="000000"/>
          <w:sz w:val="18"/>
          <w:szCs w:val="18"/>
        </w:rPr>
        <w:t>.</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Cada uma das partes deverá ser a única proprietária de quaisquer modificações feitas a partir dos Desenvolvimentos.</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 xml:space="preserve">O Cliente concorda em exercer seus </w:t>
      </w:r>
      <w:r w:rsidRPr="000A1C8E">
        <w:rPr>
          <w:rFonts w:ascii="Tahoma" w:hAnsi="Tahoma" w:cs="Tahoma"/>
          <w:color w:val="000000"/>
          <w:sz w:val="18"/>
          <w:szCs w:val="18"/>
        </w:rPr>
        <w:lastRenderedPageBreak/>
        <w:t>direitos sobre quaisquer Desenvolvimentos unicamente para as operações comerciais internas do Cliente, e não para revender ou distribuir quaisquer Desenvolvimentos a terceiros.</w:t>
      </w:r>
    </w:p>
    <w:p w:rsidR="00222641" w:rsidRPr="000A1C8E" w:rsidRDefault="00222641" w:rsidP="00D83BEB">
      <w:pPr>
        <w:rPr>
          <w:rFonts w:cs="Tahoma"/>
        </w:rPr>
      </w:pPr>
      <w:r w:rsidRPr="000A1C8E">
        <w:rPr>
          <w:rFonts w:eastAsia="Calibri" w:cs="Tahoma"/>
          <w:b/>
          <w:bCs/>
          <w:color w:val="000000"/>
          <w:szCs w:val="18"/>
        </w:rPr>
        <w:t>Materiais.</w:t>
      </w:r>
      <w:r w:rsidR="00DC6D8B" w:rsidRPr="000A1C8E">
        <w:rPr>
          <w:rFonts w:eastAsia="Calibri" w:cs="Tahoma"/>
          <w:b/>
          <w:bCs/>
          <w:color w:val="000000"/>
          <w:szCs w:val="18"/>
        </w:rPr>
        <w:t xml:space="preserve"> </w:t>
      </w:r>
      <w:r w:rsidRPr="000A1C8E">
        <w:rPr>
          <w:rFonts w:eastAsia="Calibri" w:cs="Tahoma"/>
          <w:bCs/>
          <w:color w:val="000000"/>
          <w:szCs w:val="18"/>
        </w:rPr>
        <w:t>Todos os direitos sobre os materiais desenvolvidos por Nós (que não sejam código de software) e</w:t>
      </w:r>
      <w:r w:rsidR="00D83BEB" w:rsidRPr="000A1C8E">
        <w:rPr>
          <w:rFonts w:cs="Tahoma"/>
        </w:rPr>
        <w:t> </w:t>
      </w:r>
      <w:r w:rsidRPr="000A1C8E">
        <w:rPr>
          <w:rFonts w:eastAsia="Calibri" w:cs="Tahoma"/>
          <w:bCs/>
          <w:color w:val="000000"/>
          <w:szCs w:val="18"/>
        </w:rPr>
        <w:t>fornecidos ao cliente junto com o Suporte Profissional e Suporte para Windows Azure ("Materiais") são de Nossa</w:t>
      </w:r>
      <w:r w:rsidR="00D83BEB" w:rsidRPr="000A1C8E">
        <w:rPr>
          <w:rFonts w:eastAsia="Calibri" w:cs="Tahoma"/>
          <w:bCs/>
          <w:color w:val="000000"/>
          <w:szCs w:val="18"/>
        </w:rPr>
        <w:t> </w:t>
      </w:r>
      <w:r w:rsidRPr="000A1C8E">
        <w:rPr>
          <w:rFonts w:eastAsia="Calibri" w:cs="Tahoma"/>
          <w:bCs/>
          <w:color w:val="000000"/>
          <w:szCs w:val="18"/>
        </w:rPr>
        <w:t>propriedade, exceto na medida em que esses Materiais fizerem parte do Trabalho Pré-existente do cliente.</w:t>
      </w:r>
      <w:r w:rsidR="00DC6D8B" w:rsidRPr="000A1C8E">
        <w:rPr>
          <w:rFonts w:eastAsia="Calibri" w:cs="Tahoma"/>
          <w:bCs/>
          <w:color w:val="000000"/>
          <w:szCs w:val="18"/>
        </w:rPr>
        <w:t xml:space="preserve"> </w:t>
      </w:r>
      <w:r w:rsidRPr="000A1C8E">
        <w:rPr>
          <w:rFonts w:eastAsia="Calibri" w:cs="Tahoma"/>
          <w:bCs/>
          <w:color w:val="000000"/>
          <w:szCs w:val="18"/>
        </w:rPr>
        <w:t>A</w:t>
      </w:r>
      <w:r w:rsidR="00D83BEB" w:rsidRPr="000A1C8E">
        <w:rPr>
          <w:rFonts w:eastAsia="Calibri" w:cs="Tahoma"/>
          <w:bCs/>
          <w:color w:val="000000"/>
          <w:szCs w:val="18"/>
        </w:rPr>
        <w:t> </w:t>
      </w:r>
      <w:r w:rsidRPr="000A1C8E">
        <w:rPr>
          <w:rFonts w:eastAsia="Calibri" w:cs="Tahoma"/>
          <w:bCs/>
          <w:color w:val="000000"/>
          <w:szCs w:val="18"/>
        </w:rPr>
        <w:t>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DC6D8B" w:rsidRPr="000A1C8E">
        <w:rPr>
          <w:rFonts w:eastAsia="Calibri" w:cs="Tahoma"/>
          <w:bCs/>
          <w:color w:val="000000"/>
          <w:szCs w:val="18"/>
        </w:rPr>
        <w:t xml:space="preserve"> </w:t>
      </w:r>
      <w:r w:rsidRPr="000A1C8E">
        <w:rPr>
          <w:rFonts w:eastAsia="Calibri" w:cs="Tahoma"/>
          <w:bCs/>
          <w:color w:val="000000"/>
          <w:szCs w:val="18"/>
        </w:rPr>
        <w:t>Os clientes poderão sublicenciar os direitos outorgados neste documento para suas Afiliadas.</w:t>
      </w:r>
      <w:r w:rsidR="00DC6D8B" w:rsidRPr="000A1C8E">
        <w:rPr>
          <w:rFonts w:eastAsia="Calibri" w:cs="Tahoma"/>
          <w:bCs/>
          <w:color w:val="000000"/>
          <w:szCs w:val="18"/>
        </w:rPr>
        <w:t xml:space="preserve"> </w:t>
      </w:r>
      <w:r w:rsidRPr="000A1C8E">
        <w:rPr>
          <w:rFonts w:eastAsia="Calibri" w:cs="Tahoma"/>
          <w:bCs/>
          <w:color w:val="000000"/>
          <w:szCs w:val="18"/>
        </w:rPr>
        <w:t>Todos os direitos não outorgados expressamente estão reservados.</w:t>
      </w:r>
    </w:p>
    <w:p w:rsidR="003F47CB" w:rsidRPr="000A1C8E" w:rsidRDefault="003F47CB" w:rsidP="00CA52FE">
      <w:pPr>
        <w:rPr>
          <w:rFonts w:cs="Tahoma"/>
        </w:rPr>
      </w:pPr>
    </w:p>
    <w:p w:rsidR="00B53C3C" w:rsidRPr="000A1C8E" w:rsidRDefault="00B53C3C" w:rsidP="00002DCF">
      <w:pPr>
        <w:rPr>
          <w:rFonts w:cs="Tahoma"/>
        </w:rPr>
      </w:pPr>
      <w:r w:rsidRPr="000A1C8E">
        <w:rPr>
          <w:rFonts w:eastAsia="Calibri" w:cs="Tahoma"/>
          <w:b/>
          <w:bCs/>
          <w:color w:val="000000"/>
          <w:szCs w:val="18"/>
        </w:rPr>
        <w:t>Código de Amostra.</w:t>
      </w:r>
      <w:r w:rsidR="00DC6D8B" w:rsidRPr="000A1C8E">
        <w:rPr>
          <w:rFonts w:eastAsia="Calibri" w:cs="Tahoma"/>
          <w:b/>
          <w:bCs/>
          <w:color w:val="000000"/>
          <w:szCs w:val="18"/>
        </w:rPr>
        <w:t xml:space="preserve"> </w:t>
      </w:r>
      <w:r w:rsidRPr="000A1C8E">
        <w:rPr>
          <w:rFonts w:eastAsia="Calibri" w:cs="Tahoma"/>
          <w:bCs/>
          <w:color w:val="000000"/>
          <w:szCs w:val="18"/>
        </w:rPr>
        <w:t>A Microsoft concede aos clientes o direito não exclusivo, perpétuo e livre de royalties para usar e modificar códigos de software fornecidos para fins de esclarecimento ("Código de Amostra") e reproduzir e distribuir o formato do código-objeto do Código de Amostra desde que os clientes concordem em: (i) não usar o nome, logotipo ou marcas da Microsoft para comercializar o software em que o Código de Amostra estiver incorporado; (ii) incluir uma notificação de direitos autorais válida no software em que o Código de Amostra estiver</w:t>
      </w:r>
      <w:r w:rsidR="00D83BEB" w:rsidRPr="000A1C8E">
        <w:rPr>
          <w:rFonts w:cs="Tahoma"/>
        </w:rPr>
        <w:t> </w:t>
      </w:r>
      <w:r w:rsidRPr="000A1C8E">
        <w:rPr>
          <w:rFonts w:eastAsia="Calibri" w:cs="Tahoma"/>
          <w:bCs/>
          <w:color w:val="000000"/>
          <w:szCs w:val="18"/>
        </w:rPr>
        <w:t>incorporado e (iii) indenizar, isentar de responsabilidade e defender a Microsoft e Seus fornecedores de requerimentos judiciais ou extrajudiciais ou ações judiciais, incluindo honorários advocatícios, decorrentes de uso ou</w:t>
      </w:r>
      <w:r w:rsidR="00002DCF">
        <w:rPr>
          <w:rFonts w:eastAsia="Calibri" w:cs="Tahoma"/>
          <w:bCs/>
          <w:color w:val="000000"/>
          <w:szCs w:val="18"/>
        </w:rPr>
        <w:t> </w:t>
      </w:r>
      <w:r w:rsidRPr="000A1C8E">
        <w:rPr>
          <w:rFonts w:eastAsia="Calibri" w:cs="Tahoma"/>
          <w:bCs/>
          <w:color w:val="000000"/>
          <w:szCs w:val="18"/>
        </w:rPr>
        <w:t xml:space="preserve">distribuição do Código de Amostra. </w:t>
      </w:r>
    </w:p>
    <w:p w:rsidR="003F47CB" w:rsidRPr="000A1C8E" w:rsidRDefault="003F47CB" w:rsidP="00CA52FE">
      <w:pPr>
        <w:rPr>
          <w:rFonts w:cs="Tahoma"/>
        </w:rPr>
      </w:pPr>
    </w:p>
    <w:p w:rsidR="00DB2D1E" w:rsidRPr="000A1C8E" w:rsidRDefault="00DB2D1E" w:rsidP="00CA52FE">
      <w:pPr>
        <w:pStyle w:val="normal1"/>
        <w:rPr>
          <w:rFonts w:ascii="Tahoma" w:hAnsi="Tahoma" w:cs="Tahoma"/>
        </w:rPr>
      </w:pPr>
      <w:r w:rsidRPr="000A1C8E">
        <w:rPr>
          <w:rFonts w:ascii="Tahoma" w:hAnsi="Tahoma" w:cs="Tahoma"/>
          <w:b/>
          <w:bCs/>
          <w:color w:val="000000"/>
          <w:sz w:val="18"/>
          <w:szCs w:val="18"/>
        </w:rPr>
        <w:t>Restrições de licença de software livre</w:t>
      </w:r>
      <w:r w:rsidRPr="000A1C8E">
        <w:rPr>
          <w:rFonts w:ascii="Tahoma" w:hAnsi="Tahoma" w:cs="Tahoma"/>
          <w:color w:val="000000"/>
          <w:sz w:val="18"/>
          <w:szCs w:val="18"/>
        </w:rPr>
        <w:t>.</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 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Além disso, cada uma das partes garante que não fornecerá ou entregará à outra parte nenhum código de computador que seja regido pelos Termos de Licença de Software Livre.</w:t>
      </w:r>
    </w:p>
    <w:p w:rsidR="003F47CB" w:rsidRPr="000A1C8E" w:rsidRDefault="003F47CB" w:rsidP="00CA52FE">
      <w:pPr>
        <w:pStyle w:val="normal1"/>
        <w:rPr>
          <w:rFonts w:ascii="Tahoma" w:hAnsi="Tahoma" w:cs="Tahoma"/>
        </w:rPr>
      </w:pPr>
    </w:p>
    <w:p w:rsidR="00DB2D1E" w:rsidRPr="000A1C8E" w:rsidRDefault="00DB2D1E" w:rsidP="00CA52FE">
      <w:pPr>
        <w:pStyle w:val="normal1"/>
        <w:rPr>
          <w:rFonts w:ascii="Tahoma" w:hAnsi="Tahoma" w:cs="Tahoma"/>
        </w:rPr>
      </w:pPr>
      <w:r w:rsidRPr="000A1C8E">
        <w:rPr>
          <w:rFonts w:ascii="Tahoma" w:hAnsi="Tahoma" w:cs="Tahoma"/>
          <w:b/>
          <w:bCs/>
          <w:color w:val="000000"/>
          <w:sz w:val="18"/>
          <w:szCs w:val="18"/>
        </w:rPr>
        <w:t>Direitos das Afiliadas.</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1C1727" w:rsidRPr="000A1C8E" w:rsidRDefault="001C1727">
      <w:pPr>
        <w:rPr>
          <w:rFonts w:cs="Tahoma"/>
        </w:rPr>
      </w:pPr>
    </w:p>
    <w:p w:rsidR="00DB2D1E" w:rsidRPr="000A1C8E" w:rsidRDefault="00DB2D1E" w:rsidP="00CA52FE">
      <w:pPr>
        <w:rPr>
          <w:rFonts w:cs="Tahoma"/>
        </w:rPr>
      </w:pPr>
      <w:r w:rsidRPr="000A1C8E">
        <w:rPr>
          <w:rFonts w:cs="Tahoma"/>
          <w:b/>
          <w:bCs/>
          <w:color w:val="000000"/>
          <w:szCs w:val="18"/>
        </w:rPr>
        <w:t>Reserva de direitos.</w:t>
      </w:r>
      <w:r w:rsidR="00DC6D8B" w:rsidRPr="000A1C8E">
        <w:rPr>
          <w:rFonts w:cs="Tahoma"/>
          <w:color w:val="000000"/>
          <w:szCs w:val="18"/>
        </w:rPr>
        <w:t xml:space="preserve"> </w:t>
      </w:r>
      <w:r w:rsidRPr="000A1C8E">
        <w:rPr>
          <w:rFonts w:cs="Tahoma"/>
          <w:color w:val="000000"/>
          <w:szCs w:val="18"/>
        </w:rPr>
        <w:t>Qualquer direito não concedido expressamente permanece reservado.</w:t>
      </w:r>
    </w:p>
    <w:p w:rsidR="00DB2D1E" w:rsidRPr="000A1C8E" w:rsidRDefault="00DB2D1E" w:rsidP="00CA52FE">
      <w:pPr>
        <w:rPr>
          <w:rFonts w:cs="Tahoma"/>
        </w:rPr>
      </w:pPr>
    </w:p>
    <w:p w:rsidR="00DD7F8E" w:rsidRPr="000A1C8E" w:rsidRDefault="00DD7F8E" w:rsidP="00E77F1E">
      <w:pPr>
        <w:spacing w:after="60"/>
        <w:rPr>
          <w:rFonts w:cs="Tahoma"/>
        </w:rPr>
      </w:pPr>
      <w:r w:rsidRPr="000A1C8E">
        <w:rPr>
          <w:rFonts w:cs="Tahoma"/>
          <w:b/>
          <w:szCs w:val="18"/>
        </w:rPr>
        <w:t>Garantias, Isenções e Limitações de Responsabilidade</w:t>
      </w:r>
    </w:p>
    <w:p w:rsidR="00DD7F8E" w:rsidRPr="000A1C8E" w:rsidRDefault="00DD7F8E" w:rsidP="00CA52FE">
      <w:pPr>
        <w:ind w:left="360"/>
        <w:rPr>
          <w:rFonts w:cs="Tahoma"/>
        </w:rPr>
      </w:pPr>
      <w:r w:rsidRPr="000A1C8E">
        <w:rPr>
          <w:rFonts w:cs="Tahoma"/>
          <w:b/>
          <w:color w:val="000000"/>
          <w:szCs w:val="18"/>
        </w:rPr>
        <w:t>Garantia dos Serviços</w:t>
      </w:r>
      <w:r w:rsidRPr="000A1C8E">
        <w:rPr>
          <w:rFonts w:cs="Tahoma"/>
          <w:color w:val="000000"/>
          <w:szCs w:val="18"/>
        </w:rPr>
        <w:t>.</w:t>
      </w:r>
      <w:r w:rsidR="00DC6D8B" w:rsidRPr="000A1C8E">
        <w:rPr>
          <w:rFonts w:cs="Tahoma"/>
          <w:color w:val="000000"/>
          <w:szCs w:val="18"/>
        </w:rPr>
        <w:t xml:space="preserve"> </w:t>
      </w:r>
      <w:r w:rsidRPr="000A1C8E">
        <w:rPr>
          <w:rFonts w:cs="Tahoma"/>
          <w:color w:val="000000"/>
          <w:szCs w:val="18"/>
        </w:rPr>
        <w:t>A Microsoft garante que todos os Serviços serão realizados com cuidado e qualificação profissionais.</w:t>
      </w:r>
    </w:p>
    <w:p w:rsidR="00DD7F8E" w:rsidRPr="000A1C8E" w:rsidRDefault="00DD7F8E" w:rsidP="00CA52FE">
      <w:pPr>
        <w:ind w:left="360"/>
        <w:rPr>
          <w:rFonts w:cs="Tahoma"/>
        </w:rPr>
      </w:pPr>
    </w:p>
    <w:p w:rsidR="00DD7F8E" w:rsidRPr="000A1C8E" w:rsidRDefault="00DD7F8E" w:rsidP="00882F43">
      <w:pPr>
        <w:ind w:left="360"/>
        <w:rPr>
          <w:rFonts w:cs="Tahoma"/>
        </w:rPr>
      </w:pPr>
      <w:r w:rsidRPr="000A1C8E">
        <w:rPr>
          <w:rFonts w:cs="Tahoma"/>
          <w:b/>
          <w:szCs w:val="18"/>
        </w:rPr>
        <w:t>AUSÊNCIA DE OUTRAS GARANTIAS</w:t>
      </w:r>
      <w:r w:rsidRPr="000A1C8E">
        <w:rPr>
          <w:rFonts w:cs="Tahoma"/>
          <w:b/>
          <w:i/>
          <w:szCs w:val="18"/>
        </w:rPr>
        <w:t>.</w:t>
      </w:r>
      <w:r w:rsidR="00DC6D8B" w:rsidRPr="000A1C8E">
        <w:rPr>
          <w:rFonts w:cs="Tahoma"/>
          <w:szCs w:val="18"/>
        </w:rPr>
        <w:t xml:space="preserve"> </w:t>
      </w:r>
      <w:r w:rsidRPr="000A1C8E">
        <w:rPr>
          <w:rFonts w:cs="Tahoma"/>
          <w:szCs w:val="18"/>
        </w:rPr>
        <w:t>NO LIMITE PERMITIDO PELA LEI APLICÁVEL, A MICROSOFT EXCLUI E</w:t>
      </w:r>
      <w:r w:rsidR="00882F43">
        <w:rPr>
          <w:rFonts w:cs="Tahoma"/>
          <w:szCs w:val="18"/>
        </w:rPr>
        <w:t> </w:t>
      </w:r>
      <w:r w:rsidRPr="000A1C8E">
        <w:rPr>
          <w:rFonts w:cs="Tahoma"/>
          <w:szCs w:val="18"/>
        </w:rPr>
        <w:t>ISENTA-SE DE TODAS AS DECLARAÇÕES, GARANTIAS E CONDIÇÕES, EXPRESSAS, IMPLÍCITAS OU CONTIDAS EM LEI, QUE NÃO SEJAM AQUELAS IDENTIFICADAS DE MANEIRA EXPRESSA NESTE CONTRATO.</w:t>
      </w:r>
      <w:r w:rsidR="00DC6D8B" w:rsidRPr="000A1C8E">
        <w:rPr>
          <w:rFonts w:cs="Tahoma"/>
          <w:szCs w:val="18"/>
        </w:rPr>
        <w:t xml:space="preserve"> </w:t>
      </w:r>
      <w:r w:rsidRPr="000A1C8E">
        <w:rPr>
          <w:rFonts w:cs="Tahoma"/>
          <w:szCs w:val="18"/>
        </w:rPr>
        <w:t>A ISENÇÃO DE</w:t>
      </w:r>
      <w:r w:rsidR="00882F43">
        <w:rPr>
          <w:rFonts w:cs="Tahoma"/>
          <w:szCs w:val="18"/>
        </w:rPr>
        <w:t> </w:t>
      </w:r>
      <w:r w:rsidRPr="000A1C8E">
        <w:rPr>
          <w:rFonts w:cs="Tahoma"/>
          <w:szCs w:val="18"/>
        </w:rPr>
        <w:t>RESPONSABILIDADE INCLUI TODA E QUALQUER GARANTIA OU CONDIÇÃO DE TITULARIDADE DO DIREITO, NÃO VIOLAÇÃO, QUALIDADE OU RESULTADOS SATISFATÓRIOS, PADRÕES DE COMERCIALIZAÇÃO OU</w:t>
      </w:r>
      <w:r w:rsidR="00D83BEB" w:rsidRPr="000A1C8E">
        <w:rPr>
          <w:rFonts w:cs="Tahoma"/>
          <w:szCs w:val="18"/>
        </w:rPr>
        <w:t> </w:t>
      </w:r>
      <w:r w:rsidRPr="000A1C8E">
        <w:rPr>
          <w:rFonts w:cs="Tahoma"/>
          <w:szCs w:val="18"/>
        </w:rPr>
        <w:t>ADEQUAÇÃO PARA UM PROPÓSITO ESPECÍFICO, COM RESPEITO A QUALQUER CONSULTORIA, RECOMENDAÇÃO, CONSERTO, SERVIÇOS ENTREGES E OUTROS MATERIAIS RELACIONADOS FORNECIDOS PELA MICROSOFT E SUAS AFILIADAS, FORNECEDORES E CONTRATANTES NA EXECUÇÃO DO SERVIÇO.</w:t>
      </w:r>
      <w:r w:rsidR="00DC6D8B" w:rsidRPr="000A1C8E">
        <w:rPr>
          <w:rFonts w:cs="Tahoma"/>
          <w:szCs w:val="18"/>
        </w:rPr>
        <w:t xml:space="preserve"> </w:t>
      </w:r>
    </w:p>
    <w:p w:rsidR="00DD7F8E" w:rsidRPr="000A1C8E" w:rsidRDefault="00DD7F8E" w:rsidP="00CA52FE">
      <w:pPr>
        <w:ind w:left="360"/>
        <w:rPr>
          <w:rFonts w:cs="Tahoma"/>
        </w:rPr>
      </w:pPr>
    </w:p>
    <w:p w:rsidR="00DD7F8E" w:rsidRPr="000A1C8E" w:rsidRDefault="00DD7F8E" w:rsidP="00882F43">
      <w:pPr>
        <w:ind w:left="360"/>
        <w:rPr>
          <w:rFonts w:cs="Tahoma"/>
        </w:rPr>
      </w:pPr>
      <w:r w:rsidRPr="000A1C8E">
        <w:rPr>
          <w:rFonts w:cs="Tahoma"/>
          <w:b/>
          <w:szCs w:val="18"/>
        </w:rPr>
        <w:t>Limitação de Responsabilidade</w:t>
      </w:r>
      <w:r w:rsidRPr="000A1C8E">
        <w:rPr>
          <w:rFonts w:cs="Tahoma"/>
          <w:szCs w:val="18"/>
        </w:rPr>
        <w:t>.</w:t>
      </w:r>
      <w:r w:rsidR="00DC6D8B" w:rsidRPr="000A1C8E">
        <w:rPr>
          <w:rFonts w:cs="Tahoma"/>
          <w:szCs w:val="18"/>
        </w:rPr>
        <w:t xml:space="preserve"> </w:t>
      </w:r>
      <w:r w:rsidRPr="000A1C8E">
        <w:rPr>
          <w:rFonts w:cs="Tahoma"/>
          <w:szCs w:val="18"/>
        </w:rPr>
        <w:t>A responsabilidade da Microsoft por danos diretos será limitada até a</w:t>
      </w:r>
      <w:r w:rsidR="00882F43">
        <w:rPr>
          <w:rFonts w:cs="Tahoma"/>
          <w:szCs w:val="18"/>
        </w:rPr>
        <w:t> </w:t>
      </w:r>
      <w:r w:rsidRPr="000A1C8E">
        <w:rPr>
          <w:rFonts w:cs="Tahoma"/>
          <w:szCs w:val="18"/>
        </w:rPr>
        <w:t>máxima extensão permitida pela lei aplicável aos valores pagos pelo Cliente pelos Serviços que originaram o</w:t>
      </w:r>
      <w:r w:rsidR="00882F43">
        <w:rPr>
          <w:rFonts w:cs="Tahoma"/>
          <w:szCs w:val="18"/>
        </w:rPr>
        <w:t> </w:t>
      </w:r>
      <w:r w:rsidRPr="000A1C8E">
        <w:rPr>
          <w:rFonts w:cs="Tahoma"/>
          <w:szCs w:val="18"/>
        </w:rPr>
        <w:t>requerimento judicial ou extrajudicial de violação nos 12 meses que precedem o referido requerimento.</w:t>
      </w:r>
      <w:r w:rsidR="00DC6D8B" w:rsidRPr="000A1C8E">
        <w:rPr>
          <w:rFonts w:cs="Tahoma"/>
          <w:szCs w:val="18"/>
        </w:rPr>
        <w:t xml:space="preserve"> </w:t>
      </w:r>
    </w:p>
    <w:p w:rsidR="00DD7F8E" w:rsidRPr="000A1C8E" w:rsidRDefault="00DD7F8E" w:rsidP="00CA52FE">
      <w:pPr>
        <w:ind w:left="360"/>
        <w:rPr>
          <w:rFonts w:cs="Tahoma"/>
        </w:rPr>
      </w:pPr>
    </w:p>
    <w:p w:rsidR="00D83BEB" w:rsidRPr="000A1C8E" w:rsidRDefault="00D83BEB" w:rsidP="00CA52FE">
      <w:pPr>
        <w:ind w:left="360"/>
        <w:rPr>
          <w:rFonts w:cs="Tahoma"/>
        </w:rPr>
      </w:pPr>
    </w:p>
    <w:p w:rsidR="00D83BEB" w:rsidRPr="000A1C8E" w:rsidRDefault="00D83BEB" w:rsidP="00CA52FE">
      <w:pPr>
        <w:ind w:left="360"/>
        <w:rPr>
          <w:rFonts w:cs="Tahoma"/>
        </w:rPr>
      </w:pPr>
    </w:p>
    <w:p w:rsidR="00D83BEB" w:rsidRPr="000A1C8E" w:rsidRDefault="00D83BEB" w:rsidP="00CA52FE">
      <w:pPr>
        <w:ind w:left="360"/>
        <w:rPr>
          <w:rFonts w:cs="Tahoma"/>
        </w:rPr>
      </w:pPr>
    </w:p>
    <w:p w:rsidR="00D83BEB" w:rsidRPr="000A1C8E" w:rsidRDefault="00D83BEB" w:rsidP="00CA52FE">
      <w:pPr>
        <w:ind w:left="360"/>
        <w:rPr>
          <w:rFonts w:cs="Tahoma"/>
        </w:rPr>
      </w:pPr>
    </w:p>
    <w:p w:rsidR="00D83BEB" w:rsidRPr="000A1C8E" w:rsidRDefault="00D83BEB" w:rsidP="00CA52FE">
      <w:pPr>
        <w:ind w:left="360"/>
        <w:rPr>
          <w:rFonts w:cs="Tahoma"/>
        </w:rPr>
      </w:pPr>
    </w:p>
    <w:p w:rsidR="00D83BEB" w:rsidRDefault="00D83BEB" w:rsidP="00CA52FE">
      <w:pPr>
        <w:ind w:left="360"/>
        <w:rPr>
          <w:rFonts w:cs="Tahoma"/>
        </w:rPr>
      </w:pPr>
    </w:p>
    <w:p w:rsidR="00882F43" w:rsidRDefault="00882F43" w:rsidP="00CA52FE">
      <w:pPr>
        <w:ind w:left="360"/>
        <w:rPr>
          <w:rFonts w:cs="Tahoma"/>
        </w:rPr>
      </w:pPr>
    </w:p>
    <w:p w:rsidR="00882F43" w:rsidRPr="000A1C8E" w:rsidRDefault="00882F43" w:rsidP="00CA52FE">
      <w:pPr>
        <w:ind w:left="360"/>
        <w:rPr>
          <w:rFonts w:cs="Tahoma"/>
        </w:rPr>
      </w:pPr>
    </w:p>
    <w:p w:rsidR="00D83BEB" w:rsidRPr="000A1C8E" w:rsidRDefault="00D83BEB" w:rsidP="00CA52FE">
      <w:pPr>
        <w:ind w:left="360"/>
        <w:rPr>
          <w:rFonts w:cs="Tahoma"/>
        </w:rPr>
      </w:pPr>
    </w:p>
    <w:p w:rsidR="00DD7F8E" w:rsidRPr="000A1C8E" w:rsidRDefault="00DD7F8E" w:rsidP="00D83BEB">
      <w:pPr>
        <w:ind w:left="360"/>
        <w:rPr>
          <w:rFonts w:cs="Tahoma"/>
          <w:spacing w:val="-2"/>
          <w:szCs w:val="18"/>
        </w:rPr>
      </w:pPr>
      <w:r w:rsidRPr="000A1C8E">
        <w:rPr>
          <w:rFonts w:cs="Tahoma"/>
          <w:b/>
          <w:spacing w:val="-2"/>
          <w:szCs w:val="18"/>
        </w:rPr>
        <w:t>NENHUMA RESPONSABILIDADE POR DANOS DETERMINADOS</w:t>
      </w:r>
      <w:r w:rsidRPr="000A1C8E">
        <w:rPr>
          <w:rFonts w:cs="Tahoma"/>
          <w:spacing w:val="-2"/>
          <w:szCs w:val="18"/>
        </w:rPr>
        <w:t>.</w:t>
      </w:r>
      <w:r w:rsidR="00DC6D8B" w:rsidRPr="000A1C8E">
        <w:rPr>
          <w:rFonts w:cs="Tahoma"/>
          <w:spacing w:val="-2"/>
          <w:szCs w:val="18"/>
        </w:rPr>
        <w:t xml:space="preserve"> </w:t>
      </w:r>
      <w:r w:rsidRPr="000A1C8E">
        <w:rPr>
          <w:rFonts w:cs="Tahoma"/>
          <w:spacing w:val="-2"/>
          <w:szCs w:val="18"/>
        </w:rPr>
        <w:t>NA EXTENSÃO MÁXIMA PERMITIDA PELA</w:t>
      </w:r>
      <w:r w:rsidR="00D83BEB" w:rsidRPr="000A1C8E">
        <w:rPr>
          <w:rFonts w:cs="Tahoma"/>
          <w:spacing w:val="-2"/>
          <w:szCs w:val="18"/>
        </w:rPr>
        <w:t> </w:t>
      </w:r>
      <w:r w:rsidRPr="000A1C8E">
        <w:rPr>
          <w:rFonts w:cs="Tahoma"/>
          <w:spacing w:val="-2"/>
          <w:szCs w:val="18"/>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DC6D8B" w:rsidRPr="000A1C8E">
        <w:rPr>
          <w:rFonts w:cs="Tahoma"/>
          <w:spacing w:val="-2"/>
          <w:szCs w:val="18"/>
        </w:rPr>
        <w:t xml:space="preserve"> </w:t>
      </w:r>
      <w:r w:rsidRPr="000A1C8E">
        <w:rPr>
          <w:rFonts w:cs="Tahoma"/>
          <w:spacing w:val="-2"/>
          <w:szCs w:val="18"/>
        </w:rPr>
        <w:t>ESSA EXCLUSÃO DE RESPONSABILIDADE NÃO SE APLICA À RESPONSABILIDADE DE QUAISQUER DAS PARTES EM RELAÇÃO À OUTRA PELA VIOLAÇÃO DE SUA OBRIGAÇÃO DE CONFIDENCIALIDADE OU PELA VIOLAÇÃO DE DIREITOS DE PROPRIEDADE INTELECTUAL DA OUTRA PARTE.</w:t>
      </w:r>
    </w:p>
    <w:p w:rsidR="00CA7FF3" w:rsidRPr="000A1C8E" w:rsidRDefault="00CA7FF3" w:rsidP="00D83BEB">
      <w:pPr>
        <w:ind w:left="360"/>
        <w:rPr>
          <w:rFonts w:cs="Tahoma"/>
          <w:spacing w:val="-2"/>
        </w:rPr>
      </w:pPr>
    </w:p>
    <w:p w:rsidR="00DD7F8E" w:rsidRPr="000A1C8E" w:rsidRDefault="00DD7F8E" w:rsidP="00CA52FE">
      <w:pPr>
        <w:ind w:left="360"/>
        <w:rPr>
          <w:rFonts w:cs="Tahoma"/>
        </w:rPr>
      </w:pPr>
      <w:r w:rsidRPr="000A1C8E">
        <w:rPr>
          <w:rFonts w:cs="Tahoma"/>
          <w:b/>
          <w:szCs w:val="18"/>
        </w:rPr>
        <w:t>Aplicação</w:t>
      </w:r>
      <w:r w:rsidRPr="000A1C8E">
        <w:rPr>
          <w:rFonts w:cs="Tahoma"/>
          <w:szCs w:val="18"/>
        </w:rPr>
        <w:t>.</w:t>
      </w:r>
      <w:r w:rsidR="00DC6D8B" w:rsidRPr="000A1C8E">
        <w:rPr>
          <w:rFonts w:cs="Tahoma"/>
          <w:szCs w:val="18"/>
        </w:rPr>
        <w:t xml:space="preserve"> </w:t>
      </w:r>
      <w:r w:rsidRPr="000A1C8E">
        <w:rPr>
          <w:rFonts w:cs="Tahoma"/>
          <w:szCs w:val="18"/>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023FE7" w:rsidRPr="000A1C8E" w:rsidRDefault="00023FE7">
      <w:pPr>
        <w:tabs>
          <w:tab w:val="left" w:pos="2936"/>
        </w:tabs>
        <w:rPr>
          <w:rFonts w:cs="Tahoma"/>
        </w:rPr>
      </w:pPr>
    </w:p>
    <w:p w:rsidR="00023FE7" w:rsidRPr="000A1C8E" w:rsidRDefault="00023FE7">
      <w:pPr>
        <w:rPr>
          <w:rFonts w:cs="Tahoma"/>
        </w:rPr>
      </w:pPr>
      <w:r w:rsidRPr="000A1C8E">
        <w:rPr>
          <w:rFonts w:cs="Tahoma"/>
        </w:rPr>
        <w:br w:type="page"/>
      </w:r>
    </w:p>
    <w:p w:rsidR="008A1637" w:rsidRPr="000A1C8E" w:rsidRDefault="008A1637" w:rsidP="0033459E">
      <w:pPr>
        <w:pStyle w:val="Heading1"/>
        <w:rPr>
          <w:rFonts w:cs="Tahoma"/>
        </w:rPr>
      </w:pPr>
      <w:bookmarkStart w:id="932" w:name="_Toc336338249"/>
      <w:bookmarkStart w:id="933" w:name="_Toc361829333"/>
      <w:r w:rsidRPr="000A1C8E">
        <w:rPr>
          <w:rFonts w:cs="Tahoma"/>
        </w:rPr>
        <w:lastRenderedPageBreak/>
        <w:t>SEÇÃO 9 – termos adicionais</w:t>
      </w:r>
      <w:bookmarkEnd w:id="932"/>
      <w:bookmarkEnd w:id="933"/>
    </w:p>
    <w:p w:rsidR="008A1637" w:rsidRPr="000A1C8E" w:rsidRDefault="008A1637" w:rsidP="0033459E">
      <w:pPr>
        <w:pStyle w:val="Heading1"/>
        <w:rPr>
          <w:rFonts w:cs="Tahoma"/>
        </w:rPr>
      </w:pPr>
      <w:r w:rsidRPr="000A1C8E">
        <w:rPr>
          <w:rFonts w:cs="Tahoma"/>
        </w:rPr>
        <w:t xml:space="preserve"> </w:t>
      </w:r>
    </w:p>
    <w:p w:rsidR="008A1637" w:rsidRPr="000A1C8E" w:rsidRDefault="008A1637" w:rsidP="00002DCF">
      <w:pPr>
        <w:pStyle w:val="Heading3"/>
        <w:ind w:right="720"/>
        <w:rPr>
          <w:rFonts w:ascii="Tahoma" w:hAnsi="Tahoma" w:cs="Tahoma"/>
        </w:rPr>
      </w:pPr>
      <w:bookmarkStart w:id="934" w:name="_Toc323159781"/>
      <w:bookmarkStart w:id="935" w:name="_Toc336338250"/>
      <w:bookmarkStart w:id="936" w:name="_Toc361829334"/>
      <w:r w:rsidRPr="000A1C8E">
        <w:rPr>
          <w:rFonts w:ascii="Tahoma" w:eastAsia="Times New Roman" w:hAnsi="Tahoma" w:cs="Tahoma"/>
          <w:color w:val="000000"/>
          <w:sz w:val="24"/>
          <w:szCs w:val="22"/>
        </w:rPr>
        <w:t>Licenças de Acesso para Cliente (CALs) e Licenças de Gerenciamento (MLs) de Cliente</w:t>
      </w:r>
      <w:bookmarkEnd w:id="934"/>
      <w:bookmarkEnd w:id="935"/>
      <w:bookmarkEnd w:id="936"/>
    </w:p>
    <w:p w:rsidR="008A1637" w:rsidRPr="000A1C8E" w:rsidRDefault="008A1637" w:rsidP="008A1637">
      <w:pPr>
        <w:pStyle w:val="AppendixFlushBulletedList"/>
        <w:tabs>
          <w:tab w:val="clear" w:pos="360"/>
        </w:tabs>
        <w:ind w:left="720" w:right="720" w:firstLine="0"/>
        <w:rPr>
          <w:rFonts w:ascii="Tahoma" w:hAnsi="Tahoma" w:cs="Tahoma"/>
        </w:rPr>
      </w:pPr>
    </w:p>
    <w:p w:rsidR="008A1637" w:rsidRPr="000A1C8E" w:rsidRDefault="008A1637" w:rsidP="00346F4B">
      <w:pPr>
        <w:pStyle w:val="AppendixFlushBulletedList"/>
        <w:numPr>
          <w:ilvl w:val="0"/>
          <w:numId w:val="79"/>
        </w:numPr>
        <w:ind w:left="1440" w:right="720"/>
        <w:rPr>
          <w:rFonts w:ascii="Tahoma" w:hAnsi="Tahoma" w:cs="Tahoma"/>
        </w:rPr>
      </w:pPr>
      <w:r w:rsidRPr="000A1C8E">
        <w:rPr>
          <w:rFonts w:ascii="Tahoma" w:hAnsi="Tahoma" w:cs="Tahoma"/>
          <w:b/>
          <w:bCs/>
          <w:color w:val="000000"/>
          <w:sz w:val="18"/>
          <w:szCs w:val="18"/>
        </w:rPr>
        <w:t>Transição entre CALs do Usuário e do Dispositivo</w:t>
      </w:r>
    </w:p>
    <w:p w:rsidR="008A1637" w:rsidRPr="000A1C8E" w:rsidRDefault="008A1637" w:rsidP="00F30802">
      <w:pPr>
        <w:pStyle w:val="AppendixBodyText"/>
        <w:numPr>
          <w:ilvl w:val="0"/>
          <w:numId w:val="80"/>
        </w:numPr>
        <w:spacing w:afterLines="60" w:after="144"/>
        <w:ind w:left="1800" w:right="720"/>
        <w:rPr>
          <w:rFonts w:ascii="Tahoma" w:hAnsi="Tahoma" w:cs="Tahoma"/>
        </w:rPr>
      </w:pPr>
      <w:r w:rsidRPr="000A1C8E">
        <w:rPr>
          <w:rFonts w:ascii="Tahoma" w:hAnsi="Tahoma" w:cs="Tahoma"/>
          <w:color w:val="000000"/>
          <w:sz w:val="18"/>
          <w:szCs w:val="18"/>
        </w:rPr>
        <w:t>Os clientes com Software Assurance atual para CALs podem alternar entre Usuário e</w:t>
      </w:r>
      <w:r w:rsidR="00F30802">
        <w:rPr>
          <w:rFonts w:ascii="Tahoma" w:hAnsi="Tahoma" w:cs="Tahoma"/>
          <w:color w:val="000000"/>
          <w:sz w:val="18"/>
          <w:szCs w:val="18"/>
        </w:rPr>
        <w:t> </w:t>
      </w:r>
      <w:r w:rsidRPr="000A1C8E">
        <w:rPr>
          <w:rFonts w:ascii="Tahoma" w:hAnsi="Tahoma" w:cs="Tahoma"/>
          <w:color w:val="000000"/>
          <w:sz w:val="18"/>
          <w:szCs w:val="18"/>
        </w:rPr>
        <w:t>Dispositivo na renovação da cobertura do Software Assurance.</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Essa transição não muda a edição da CAL (ou seja, de Standard para Empresarial). Consulte as Notas do</w:t>
      </w:r>
      <w:r w:rsidR="00F30802">
        <w:rPr>
          <w:rFonts w:ascii="Tahoma" w:hAnsi="Tahoma" w:cs="Tahoma"/>
          <w:color w:val="000000"/>
          <w:sz w:val="18"/>
          <w:szCs w:val="18"/>
        </w:rPr>
        <w:t> </w:t>
      </w:r>
      <w:r w:rsidRPr="000A1C8E">
        <w:rPr>
          <w:rFonts w:ascii="Tahoma" w:hAnsi="Tahoma" w:cs="Tahoma"/>
          <w:color w:val="000000"/>
          <w:sz w:val="18"/>
          <w:szCs w:val="18"/>
        </w:rPr>
        <w:t xml:space="preserve">Produto referentes aos produtos individuais </w:t>
      </w:r>
    </w:p>
    <w:p w:rsidR="008A1637" w:rsidRPr="000A1C8E" w:rsidRDefault="008A1637" w:rsidP="00346F4B">
      <w:pPr>
        <w:pStyle w:val="AppendixFlushBulletedList"/>
        <w:numPr>
          <w:ilvl w:val="0"/>
          <w:numId w:val="79"/>
        </w:numPr>
        <w:ind w:left="1440" w:right="720"/>
        <w:rPr>
          <w:rFonts w:ascii="Tahoma" w:hAnsi="Tahoma" w:cs="Tahoma"/>
        </w:rPr>
      </w:pPr>
      <w:r w:rsidRPr="000A1C8E">
        <w:rPr>
          <w:rFonts w:ascii="Tahoma" w:hAnsi="Tahoma" w:cs="Tahoma"/>
          <w:b/>
          <w:bCs/>
          <w:color w:val="000000"/>
          <w:sz w:val="18"/>
          <w:szCs w:val="18"/>
        </w:rPr>
        <w:t>Transição entre MLs de cliente para Usuário e OSE</w:t>
      </w:r>
    </w:p>
    <w:p w:rsidR="008A1637" w:rsidRPr="000A1C8E" w:rsidRDefault="008A1637" w:rsidP="004F6A95">
      <w:pPr>
        <w:pStyle w:val="AppendixBodyText"/>
        <w:numPr>
          <w:ilvl w:val="0"/>
          <w:numId w:val="80"/>
        </w:numPr>
        <w:spacing w:afterLines="60" w:after="144"/>
        <w:ind w:left="1800" w:right="720"/>
        <w:rPr>
          <w:rFonts w:ascii="Tahoma" w:hAnsi="Tahoma" w:cs="Tahoma"/>
        </w:rPr>
      </w:pPr>
      <w:r w:rsidRPr="000A1C8E">
        <w:rPr>
          <w:rFonts w:ascii="Tahoma" w:hAnsi="Tahoma" w:cs="Tahoma"/>
          <w:color w:val="000000"/>
          <w:sz w:val="18"/>
          <w:szCs w:val="18"/>
        </w:rPr>
        <w:t xml:space="preserve">Os clientes com Software Assurance atual para MLs de cliente podem alternar entre Usuário e OSE na renovação da cobertura do Software Assurance. Consulte as Notas do Produto referentes aos produtos individuais para obter detalhes. </w:t>
      </w:r>
    </w:p>
    <w:p w:rsidR="008A1637" w:rsidRPr="000A1C8E" w:rsidRDefault="008A1637" w:rsidP="00346F4B">
      <w:pPr>
        <w:pStyle w:val="AppendixFlushBulletedList"/>
        <w:numPr>
          <w:ilvl w:val="0"/>
          <w:numId w:val="79"/>
        </w:numPr>
        <w:ind w:left="1440" w:right="720"/>
        <w:rPr>
          <w:rFonts w:ascii="Tahoma" w:hAnsi="Tahoma" w:cs="Tahoma"/>
        </w:rPr>
      </w:pPr>
      <w:r w:rsidRPr="000A1C8E">
        <w:rPr>
          <w:rFonts w:ascii="Tahoma" w:hAnsi="Tahoma" w:cs="Tahoma"/>
          <w:b/>
          <w:bCs/>
          <w:color w:val="000000"/>
          <w:sz w:val="18"/>
          <w:szCs w:val="18"/>
        </w:rPr>
        <w:t>Na renovação</w:t>
      </w:r>
    </w:p>
    <w:p w:rsidR="008A1637" w:rsidRPr="000A1C8E" w:rsidRDefault="008A1637" w:rsidP="00F30802">
      <w:pPr>
        <w:pStyle w:val="AppendixBodyText"/>
        <w:numPr>
          <w:ilvl w:val="0"/>
          <w:numId w:val="80"/>
        </w:numPr>
        <w:spacing w:afterLines="60" w:after="144"/>
        <w:ind w:left="1800" w:right="720"/>
        <w:rPr>
          <w:rFonts w:ascii="Tahoma" w:hAnsi="Tahoma" w:cs="Tahoma"/>
        </w:rPr>
      </w:pPr>
      <w:r w:rsidRPr="000A1C8E">
        <w:rPr>
          <w:rFonts w:ascii="Tahoma" w:hAnsi="Tahoma" w:cs="Tahoma"/>
          <w:color w:val="000000"/>
          <w:sz w:val="18"/>
          <w:szCs w:val="18"/>
        </w:rPr>
        <w:t>Caso estejam disponíveis CALs do Usuário e do Dispositivo, os clientes poderão renovar o Software Assurance para qualquer um dos dois tipos. Os direitos de uso de</w:t>
      </w:r>
      <w:r w:rsidR="00F30802">
        <w:rPr>
          <w:rFonts w:ascii="Tahoma" w:hAnsi="Tahoma" w:cs="Tahoma"/>
          <w:color w:val="000000"/>
          <w:sz w:val="18"/>
          <w:szCs w:val="18"/>
        </w:rPr>
        <w:t> </w:t>
      </w:r>
      <w:r w:rsidRPr="000A1C8E">
        <w:rPr>
          <w:rFonts w:ascii="Tahoma" w:hAnsi="Tahoma" w:cs="Tahoma"/>
          <w:color w:val="000000"/>
          <w:sz w:val="18"/>
          <w:szCs w:val="18"/>
        </w:rPr>
        <w:t>produto referentes ao tipo de CAL para a qual o Software Assurance é solicitado determinam como as CALs poderão ser alocadas e usadas.</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Os clientes de Registro Enterprise que optarem por solicitar o Software Assurance para CALs do Usuário podem adquirir CALs com base na contagem de usuários.</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 xml:space="preserve">Consulte as notas referentes aos produtos individuais para obter detalhes. </w:t>
      </w:r>
    </w:p>
    <w:p w:rsidR="008A1637" w:rsidRPr="000A1C8E" w:rsidRDefault="008A1637" w:rsidP="00346F4B">
      <w:pPr>
        <w:pStyle w:val="AppendixFlushBulletedList"/>
        <w:numPr>
          <w:ilvl w:val="0"/>
          <w:numId w:val="79"/>
        </w:numPr>
        <w:ind w:left="1440" w:right="720"/>
        <w:rPr>
          <w:rFonts w:ascii="Tahoma" w:hAnsi="Tahoma" w:cs="Tahoma"/>
        </w:rPr>
      </w:pPr>
      <w:r w:rsidRPr="000A1C8E">
        <w:rPr>
          <w:rFonts w:ascii="Tahoma" w:hAnsi="Tahoma" w:cs="Tahoma"/>
          <w:b/>
          <w:bCs/>
          <w:color w:val="000000"/>
          <w:sz w:val="18"/>
          <w:szCs w:val="18"/>
        </w:rPr>
        <w:t>CALs excedentes</w:t>
      </w:r>
    </w:p>
    <w:p w:rsidR="008A1637" w:rsidRPr="000A1C8E" w:rsidRDefault="008A1637" w:rsidP="004F6A95">
      <w:pPr>
        <w:pStyle w:val="AppendixBodyText"/>
        <w:numPr>
          <w:ilvl w:val="0"/>
          <w:numId w:val="80"/>
        </w:numPr>
        <w:spacing w:afterLines="60" w:after="144"/>
        <w:ind w:left="1800" w:right="720"/>
        <w:rPr>
          <w:rFonts w:ascii="Tahoma" w:hAnsi="Tahoma" w:cs="Tahoma"/>
        </w:rPr>
      </w:pPr>
      <w:r w:rsidRPr="000A1C8E">
        <w:rPr>
          <w:rFonts w:ascii="Tahoma" w:hAnsi="Tahoma" w:cs="Tahoma"/>
          <w:color w:val="000000"/>
          <w:sz w:val="18"/>
          <w:szCs w:val="18"/>
        </w:rPr>
        <w:t xml:space="preserve">A transição entre CALs do Usuário e do Dispositivo, conforme permitido acima, poderia resultar em um excesso de CALs. Os clientes poderão transferir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rsidR="008A1637" w:rsidRPr="000A1C8E" w:rsidRDefault="008A1637" w:rsidP="00346F4B">
      <w:pPr>
        <w:pStyle w:val="AppendixFlushBulletedList"/>
        <w:numPr>
          <w:ilvl w:val="0"/>
          <w:numId w:val="79"/>
        </w:numPr>
        <w:ind w:left="1440" w:right="720"/>
        <w:rPr>
          <w:rFonts w:ascii="Tahoma" w:hAnsi="Tahoma" w:cs="Tahoma"/>
        </w:rPr>
      </w:pPr>
      <w:r w:rsidRPr="000A1C8E">
        <w:rPr>
          <w:rFonts w:ascii="Tahoma" w:hAnsi="Tahoma" w:cs="Tahoma"/>
          <w:b/>
          <w:bCs/>
          <w:color w:val="000000"/>
          <w:sz w:val="18"/>
          <w:szCs w:val="18"/>
        </w:rPr>
        <w:t>MLs excedentes</w:t>
      </w:r>
    </w:p>
    <w:p w:rsidR="008A1637" w:rsidRPr="000A1C8E" w:rsidRDefault="008A1637" w:rsidP="00D83BEB">
      <w:pPr>
        <w:pStyle w:val="AppendixBodyText"/>
        <w:numPr>
          <w:ilvl w:val="0"/>
          <w:numId w:val="80"/>
        </w:numPr>
        <w:spacing w:afterLines="60" w:after="144"/>
        <w:ind w:left="1800" w:right="720"/>
        <w:rPr>
          <w:rFonts w:ascii="Tahoma" w:hAnsi="Tahoma" w:cs="Tahoma"/>
        </w:rPr>
      </w:pPr>
      <w:r w:rsidRPr="000A1C8E">
        <w:rPr>
          <w:rFonts w:ascii="Tahoma" w:hAnsi="Tahoma" w:cs="Tahoma"/>
          <w:color w:val="000000"/>
          <w:sz w:val="18"/>
          <w:szCs w:val="18"/>
        </w:rPr>
        <w:t>A transição entre MLs de cliente para Usuário e OSE, conforme permitido acima, poderia resultar em um excesso de MLs. Os clientes poderão transferir as MLs excedentes à medida que o número de usuários ou OSEs gerenciados aumentar. Na</w:t>
      </w:r>
      <w:r w:rsidR="00D83BEB" w:rsidRPr="000A1C8E">
        <w:rPr>
          <w:rFonts w:ascii="Tahoma" w:hAnsi="Tahoma" w:cs="Tahoma"/>
          <w:color w:val="000000"/>
          <w:sz w:val="18"/>
          <w:szCs w:val="18"/>
        </w:rPr>
        <w:t> </w:t>
      </w:r>
      <w:r w:rsidRPr="000A1C8E">
        <w:rPr>
          <w:rFonts w:ascii="Tahoma" w:hAnsi="Tahoma" w:cs="Tahoma"/>
          <w:color w:val="000000"/>
          <w:sz w:val="18"/>
          <w:szCs w:val="18"/>
        </w:rPr>
        <w:t xml:space="preserve">época da renovação, os clientes poderão optar por manter o Software Assurance nas MLs excedentes. Os clientes não poderão renovar posteriormente o Software Assurance de qualquer ML excedente cuja cobertura tiver expirado. </w:t>
      </w:r>
    </w:p>
    <w:p w:rsidR="008A1637" w:rsidRPr="000A1C8E" w:rsidRDefault="008A1637" w:rsidP="00346F4B">
      <w:pPr>
        <w:pStyle w:val="AppendixFlushBulletedList"/>
        <w:numPr>
          <w:ilvl w:val="0"/>
          <w:numId w:val="79"/>
        </w:numPr>
        <w:ind w:left="1440" w:right="720"/>
        <w:rPr>
          <w:rFonts w:ascii="Tahoma" w:hAnsi="Tahoma" w:cs="Tahoma"/>
        </w:rPr>
      </w:pPr>
      <w:r w:rsidRPr="000A1C8E">
        <w:rPr>
          <w:rFonts w:ascii="Tahoma" w:hAnsi="Tahoma" w:cs="Tahoma"/>
          <w:b/>
          <w:bCs/>
          <w:color w:val="000000"/>
          <w:sz w:val="18"/>
          <w:szCs w:val="18"/>
        </w:rPr>
        <w:t>Comprovante de Licenças</w:t>
      </w:r>
    </w:p>
    <w:p w:rsidR="007022C1" w:rsidRPr="000A1C8E" w:rsidRDefault="008A1637" w:rsidP="00D83BEB">
      <w:pPr>
        <w:pStyle w:val="AppendixBodyText"/>
        <w:numPr>
          <w:ilvl w:val="0"/>
          <w:numId w:val="80"/>
        </w:numPr>
        <w:spacing w:after="0"/>
        <w:ind w:left="1800" w:right="720"/>
        <w:rPr>
          <w:rFonts w:ascii="Tahoma" w:hAnsi="Tahoma" w:cs="Tahoma"/>
        </w:rPr>
      </w:pPr>
      <w:r w:rsidRPr="000A1C8E">
        <w:rPr>
          <w:rFonts w:ascii="Tahoma" w:hAnsi="Tahoma" w:cs="Tahoma"/>
          <w:color w:val="000000"/>
          <w:sz w:val="18"/>
          <w:szCs w:val="18"/>
        </w:rPr>
        <w:t>O direito de migrar para e utilizar CALs do Usuário é comprovado por esta Lista de Produtos, pelos registros do Software Assurance e pelas CALs básicas dos clientes. O</w:t>
      </w:r>
      <w:r w:rsidR="00D83BEB" w:rsidRPr="000A1C8E">
        <w:rPr>
          <w:rFonts w:ascii="Tahoma" w:hAnsi="Tahoma" w:cs="Tahoma"/>
          <w:color w:val="000000"/>
          <w:sz w:val="18"/>
          <w:szCs w:val="18"/>
        </w:rPr>
        <w:t> </w:t>
      </w:r>
      <w:r w:rsidRPr="000A1C8E">
        <w:rPr>
          <w:rFonts w:ascii="Tahoma" w:hAnsi="Tahoma" w:cs="Tahoma"/>
          <w:color w:val="000000"/>
          <w:sz w:val="18"/>
          <w:szCs w:val="18"/>
        </w:rPr>
        <w:t>direito de migrar para e utilizar MLs do Usuário é comprovado por esta Lista de Produtos, pelos registros do Software Assurance e pelas MLs básicas dos clientes.</w:t>
      </w:r>
    </w:p>
    <w:p w:rsidR="007022C1" w:rsidRPr="000A1C8E" w:rsidRDefault="007022C1" w:rsidP="00944EE1">
      <w:pPr>
        <w:pStyle w:val="AppendixBodyText"/>
        <w:spacing w:after="0"/>
        <w:ind w:right="720"/>
        <w:rPr>
          <w:rFonts w:ascii="Tahoma" w:hAnsi="Tahoma" w:cs="Tahoma"/>
        </w:rPr>
      </w:pPr>
    </w:p>
    <w:p w:rsidR="008A1637" w:rsidRPr="000A1C8E" w:rsidRDefault="008A1637" w:rsidP="008A1637">
      <w:pPr>
        <w:pStyle w:val="Heading3"/>
        <w:ind w:right="720"/>
        <w:rPr>
          <w:rFonts w:ascii="Tahoma" w:hAnsi="Tahoma" w:cs="Tahoma"/>
        </w:rPr>
      </w:pPr>
      <w:bookmarkStart w:id="937" w:name="_Toc323159782"/>
      <w:bookmarkStart w:id="938" w:name="_Toc336338251"/>
      <w:bookmarkStart w:id="939" w:name="_Toc361829335"/>
      <w:r w:rsidRPr="000A1C8E">
        <w:rPr>
          <w:rFonts w:ascii="Tahoma" w:hAnsi="Tahoma" w:cs="Tahoma"/>
          <w:sz w:val="24"/>
          <w:szCs w:val="22"/>
        </w:rPr>
        <w:t>Restrições dos Controles de EI</w:t>
      </w:r>
      <w:bookmarkEnd w:id="937"/>
      <w:bookmarkEnd w:id="938"/>
      <w:bookmarkEnd w:id="939"/>
    </w:p>
    <w:p w:rsidR="008A1637" w:rsidRPr="000A1C8E" w:rsidRDefault="008A1637" w:rsidP="008A1637">
      <w:pPr>
        <w:ind w:right="720"/>
        <w:rPr>
          <w:rFonts w:cs="Tahoma"/>
        </w:rPr>
      </w:pPr>
    </w:p>
    <w:p w:rsidR="008A1637" w:rsidRPr="000A1C8E" w:rsidRDefault="008A1637" w:rsidP="00D83BEB">
      <w:pPr>
        <w:pStyle w:val="AppendixBodyText"/>
        <w:ind w:right="720"/>
        <w:rPr>
          <w:rFonts w:ascii="Tahoma" w:hAnsi="Tahoma" w:cs="Tahoma"/>
        </w:rPr>
      </w:pPr>
      <w:r w:rsidRPr="000A1C8E">
        <w:rPr>
          <w:rFonts w:ascii="Tahoma" w:hAnsi="Tahoma" w:cs="Tahoma"/>
          <w:sz w:val="18"/>
        </w:rPr>
        <w:t>A exportação de determinados produtos da Microsoft para fora dos Estados Unidos é regulamentada pelos</w:t>
      </w:r>
      <w:r w:rsidR="00D83BEB" w:rsidRPr="000A1C8E">
        <w:rPr>
          <w:rFonts w:ascii="Tahoma" w:hAnsi="Tahoma" w:cs="Tahoma"/>
          <w:sz w:val="18"/>
        </w:rPr>
        <w:t> </w:t>
      </w:r>
      <w:r w:rsidRPr="000A1C8E">
        <w:rPr>
          <w:rFonts w:ascii="Tahoma" w:hAnsi="Tahoma" w:cs="Tahoma"/>
          <w:sz w:val="18"/>
        </w:rPr>
        <w:t>“Controles de EI” das Export Administration Regulations (Normas de Administração de Exportações) (EAR,</w:t>
      </w:r>
      <w:r w:rsidR="00D83BEB" w:rsidRPr="000A1C8E">
        <w:rPr>
          <w:rFonts w:ascii="Tahoma" w:hAnsi="Tahoma" w:cs="Tahoma"/>
          <w:sz w:val="18"/>
        </w:rPr>
        <w:t> </w:t>
      </w:r>
      <w:r w:rsidRPr="000A1C8E">
        <w:rPr>
          <w:rFonts w:ascii="Tahoma" w:hAnsi="Tahoma" w:cs="Tahoma"/>
          <w:sz w:val="18"/>
        </w:rPr>
        <w:t xml:space="preserve">15 CFR 730-744) emitidas pelo BXA (Bureau de Administração de Exportações) do Departamento de Comércio dos EUA. Para obter mais informações, visite: </w:t>
      </w:r>
      <w:hyperlink r:id="rId32" w:history="1">
        <w:r w:rsidRPr="000A1C8E">
          <w:rPr>
            <w:rStyle w:val="Hyperlink"/>
            <w:rFonts w:ascii="Tahoma" w:hAnsi="Tahoma" w:cs="Tahoma"/>
            <w:sz w:val="18"/>
          </w:rPr>
          <w:t>www.microsoft.com/products/exporting/basics.htm</w:t>
        </w:r>
      </w:hyperlink>
    </w:p>
    <w:p w:rsidR="008A1637" w:rsidRPr="000A1C8E" w:rsidRDefault="008A1637" w:rsidP="008A1637">
      <w:pPr>
        <w:rPr>
          <w:rFonts w:cs="Tahoma"/>
        </w:rPr>
      </w:pPr>
    </w:p>
    <w:p w:rsidR="00D83BEB" w:rsidRPr="000A1C8E" w:rsidRDefault="00D83BEB" w:rsidP="008A1637">
      <w:pPr>
        <w:rPr>
          <w:rFonts w:cs="Tahoma"/>
        </w:rPr>
      </w:pPr>
    </w:p>
    <w:p w:rsidR="008A1637" w:rsidRPr="000A1C8E" w:rsidRDefault="008A1637" w:rsidP="00944EE1">
      <w:pPr>
        <w:pStyle w:val="Heading3"/>
        <w:spacing w:after="60"/>
        <w:ind w:right="720"/>
        <w:rPr>
          <w:rFonts w:ascii="Tahoma" w:hAnsi="Tahoma" w:cs="Tahoma"/>
        </w:rPr>
      </w:pPr>
      <w:bookmarkStart w:id="940" w:name="_Toc323159783"/>
      <w:bookmarkStart w:id="941" w:name="_Toc336338252"/>
      <w:bookmarkStart w:id="942" w:name="_Toc361829336"/>
      <w:r w:rsidRPr="000A1C8E">
        <w:rPr>
          <w:rFonts w:ascii="Tahoma" w:hAnsi="Tahoma" w:cs="Tahoma"/>
          <w:bCs/>
        </w:rPr>
        <w:lastRenderedPageBreak/>
        <w:t>Pacotes Multilíngues (MLPs), funcionalidade de MUIs (Multilanguage User Interface) e direitos a novos idiomas</w:t>
      </w:r>
      <w:bookmarkEnd w:id="940"/>
      <w:bookmarkEnd w:id="941"/>
      <w:bookmarkEnd w:id="942"/>
    </w:p>
    <w:p w:rsidR="008A1637" w:rsidRPr="000A1C8E" w:rsidRDefault="008A1637" w:rsidP="008A1637">
      <w:pPr>
        <w:rPr>
          <w:rFonts w:cs="Tahoma"/>
        </w:rPr>
      </w:pPr>
      <w:r w:rsidRPr="000A1C8E">
        <w:rPr>
          <w:rFonts w:cs="Tahoma"/>
        </w:rPr>
        <w:t>Os MLPs e MUIs permitem que os clientes executem e alternem entre diferentes versões de idioma dos produtos licenciados.</w:t>
      </w:r>
      <w:r w:rsidR="00DC6D8B" w:rsidRPr="000A1C8E">
        <w:rPr>
          <w:rFonts w:cs="Tahoma"/>
        </w:rPr>
        <w:t xml:space="preserve"> </w:t>
      </w:r>
      <w:r w:rsidRPr="000A1C8E">
        <w:rPr>
          <w:rFonts w:cs="Tahoma"/>
        </w:rPr>
        <w:t>O direito de usar MLPs e MUIs varia de acordo com o produto, o programa e o tipo de licença.</w:t>
      </w:r>
      <w:r w:rsidR="00DC6D8B" w:rsidRPr="000A1C8E">
        <w:rPr>
          <w:rFonts w:cs="Tahoma"/>
        </w:rPr>
        <w:t xml:space="preserve"> </w:t>
      </w:r>
    </w:p>
    <w:p w:rsidR="008A1637" w:rsidRPr="00F30802" w:rsidRDefault="008A1637" w:rsidP="008A1637">
      <w:pPr>
        <w:pStyle w:val="Heading3"/>
        <w:ind w:right="720"/>
        <w:rPr>
          <w:rFonts w:ascii="Tahoma" w:hAnsi="Tahoma" w:cs="Tahoma"/>
          <w:sz w:val="18"/>
          <w:szCs w:val="18"/>
        </w:rPr>
      </w:pPr>
    </w:p>
    <w:p w:rsidR="008A1637" w:rsidRPr="000A1C8E" w:rsidRDefault="008A1637" w:rsidP="007022C1">
      <w:pPr>
        <w:numPr>
          <w:ilvl w:val="0"/>
          <w:numId w:val="17"/>
        </w:numPr>
        <w:tabs>
          <w:tab w:val="left" w:pos="1440"/>
        </w:tabs>
        <w:spacing w:after="60"/>
        <w:rPr>
          <w:rFonts w:cs="Tahoma"/>
        </w:rPr>
      </w:pPr>
      <w:r w:rsidRPr="000A1C8E">
        <w:rPr>
          <w:rFonts w:cs="Tahoma"/>
        </w:rPr>
        <w:t>No caso da maioria dos produtos de servidor (por exemplo, Windows Server), o MUI está incluído no produto básico. O clientes que licenciarem esses produtos poderão usar o MUI sujeitos aos direitos de uso desses produtos.</w:t>
      </w:r>
      <w:r w:rsidR="00DC6D8B" w:rsidRPr="000A1C8E">
        <w:rPr>
          <w:rFonts w:cs="Tahoma"/>
        </w:rPr>
        <w:t xml:space="preserve"> </w:t>
      </w:r>
    </w:p>
    <w:p w:rsidR="008A1637" w:rsidRPr="000A1C8E" w:rsidRDefault="008A1637" w:rsidP="00D83BEB">
      <w:pPr>
        <w:numPr>
          <w:ilvl w:val="0"/>
          <w:numId w:val="17"/>
        </w:numPr>
        <w:tabs>
          <w:tab w:val="left" w:pos="1440"/>
        </w:tabs>
        <w:spacing w:after="60"/>
        <w:rPr>
          <w:rFonts w:cs="Tahoma"/>
        </w:rPr>
      </w:pPr>
      <w:r w:rsidRPr="000A1C8E">
        <w:rPr>
          <w:rFonts w:cs="Tahoma"/>
          <w:szCs w:val="18"/>
        </w:rPr>
        <w:t>N</w:t>
      </w:r>
      <w:r w:rsidRPr="000A1C8E">
        <w:rPr>
          <w:rFonts w:cs="Tahoma"/>
        </w:rPr>
        <w:t>o caso de produtos (exceto servidores) e pacotes do Office System, a partir de 1° de outubro de</w:t>
      </w:r>
      <w:r w:rsidR="00D83BEB" w:rsidRPr="000A1C8E">
        <w:rPr>
          <w:rFonts w:cs="Tahoma"/>
        </w:rPr>
        <w:t> </w:t>
      </w:r>
      <w:r w:rsidRPr="000A1C8E">
        <w:rPr>
          <w:rFonts w:cs="Tahoma"/>
        </w:rPr>
        <w:t xml:space="preserve">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separadamente fora do Software Assurance. </w:t>
      </w:r>
    </w:p>
    <w:p w:rsidR="008A1637" w:rsidRPr="000A1C8E" w:rsidRDefault="008A1637" w:rsidP="007022C1">
      <w:pPr>
        <w:numPr>
          <w:ilvl w:val="0"/>
          <w:numId w:val="17"/>
        </w:numPr>
        <w:spacing w:after="60"/>
        <w:rPr>
          <w:rFonts w:cs="Tahoma"/>
        </w:rPr>
      </w:pPr>
      <w:r w:rsidRPr="000A1C8E">
        <w:rPr>
          <w:rFonts w:cs="Tahoma"/>
        </w:rPr>
        <w:t>No caso do Windows 8, o MUI está incluído no Windows 8 Pro.</w:t>
      </w:r>
      <w:r w:rsidR="00DC6D8B" w:rsidRPr="000A1C8E">
        <w:rPr>
          <w:rFonts w:cs="Tahoma"/>
        </w:rPr>
        <w:t xml:space="preserve"> </w:t>
      </w:r>
    </w:p>
    <w:p w:rsidR="008A1637" w:rsidRPr="000A1C8E" w:rsidRDefault="008A1637" w:rsidP="008A1637">
      <w:pPr>
        <w:rPr>
          <w:rFonts w:cs="Tahoma"/>
        </w:rPr>
      </w:pPr>
    </w:p>
    <w:p w:rsidR="008A1637" w:rsidRPr="000A1C8E" w:rsidRDefault="008A1637" w:rsidP="008A1637">
      <w:pPr>
        <w:rPr>
          <w:rFonts w:cs="Tahoma"/>
        </w:rPr>
      </w:pPr>
      <w:r w:rsidRPr="000A1C8E">
        <w:rPr>
          <w:rFonts w:cs="Tahoma"/>
        </w:rPr>
        <w:t>As versões de idioma com as quais os clientes têm permissão de usar MUIs and MLPs também variam por programa, produto e região.</w:t>
      </w:r>
      <w:r w:rsidR="00DC6D8B" w:rsidRPr="000A1C8E">
        <w:rPr>
          <w:rFonts w:cs="Tahoma"/>
        </w:rPr>
        <w:t xml:space="preserve"> </w:t>
      </w:r>
    </w:p>
    <w:p w:rsidR="008A1637" w:rsidRPr="00F30802" w:rsidRDefault="008A1637" w:rsidP="008A1637">
      <w:pPr>
        <w:pStyle w:val="Heading3"/>
        <w:ind w:right="720"/>
        <w:rPr>
          <w:rFonts w:ascii="Tahoma" w:hAnsi="Tahoma" w:cs="Tahoma"/>
          <w:sz w:val="18"/>
          <w:szCs w:val="18"/>
        </w:rPr>
      </w:pPr>
    </w:p>
    <w:p w:rsidR="008A1637" w:rsidRPr="000A1C8E" w:rsidRDefault="008A1637" w:rsidP="00024C3C">
      <w:pPr>
        <w:numPr>
          <w:ilvl w:val="0"/>
          <w:numId w:val="18"/>
        </w:numPr>
        <w:tabs>
          <w:tab w:val="clear" w:pos="1080"/>
          <w:tab w:val="num" w:pos="1440"/>
        </w:tabs>
        <w:ind w:left="1440"/>
        <w:rPr>
          <w:rFonts w:cs="Tahoma"/>
        </w:rPr>
      </w:pPr>
      <w:r w:rsidRPr="000A1C8E">
        <w:rPr>
          <w:rFonts w:cs="Tahoma"/>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0A1C8E">
        <w:rPr>
          <w:rFonts w:cs="Tahoma"/>
          <w:b/>
        </w:rPr>
        <w:t xml:space="preserve"> </w:t>
      </w:r>
      <w:r w:rsidRPr="000A1C8E">
        <w:rPr>
          <w:rFonts w:cs="Tahoma"/>
          <w:b/>
          <w:u w:val="single"/>
        </w:rPr>
        <w:t>em todas as versões de idioma</w:t>
      </w:r>
      <w:r w:rsidRPr="000A1C8E">
        <w:rPr>
          <w:rFonts w:cs="Tahoma"/>
          <w:b/>
        </w:rPr>
        <w:t xml:space="preserve"> </w:t>
      </w:r>
      <w:r w:rsidRPr="000A1C8E">
        <w:rPr>
          <w:rFonts w:cs="Tahoma"/>
        </w:rPr>
        <w:t xml:space="preserve">não obstante quaisquer limitações nesses contratos quanto ao uso de determinados idiomas. </w:t>
      </w:r>
    </w:p>
    <w:p w:rsidR="008A1637" w:rsidRPr="00F30802" w:rsidRDefault="008A1637" w:rsidP="008A1637">
      <w:pPr>
        <w:pStyle w:val="Heading3"/>
        <w:ind w:right="720"/>
        <w:rPr>
          <w:rFonts w:ascii="Tahoma" w:hAnsi="Tahoma" w:cs="Tahoma"/>
          <w:sz w:val="18"/>
          <w:szCs w:val="18"/>
        </w:rPr>
      </w:pPr>
    </w:p>
    <w:p w:rsidR="008A1637" w:rsidRPr="000A1C8E" w:rsidRDefault="008A1637" w:rsidP="008A1637">
      <w:pPr>
        <w:rPr>
          <w:rFonts w:cs="Tahoma"/>
        </w:rPr>
      </w:pPr>
      <w:r w:rsidRPr="000A1C8E">
        <w:rPr>
          <w:rFonts w:cs="Tahoma"/>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DC6D8B" w:rsidRPr="000A1C8E">
        <w:rPr>
          <w:rFonts w:cs="Tahoma"/>
        </w:rPr>
        <w:t xml:space="preserve"> </w:t>
      </w:r>
      <w:r w:rsidRPr="000A1C8E">
        <w:rPr>
          <w:rFonts w:cs="Tahoma"/>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DC6D8B" w:rsidRPr="000A1C8E">
        <w:rPr>
          <w:rFonts w:cs="Tahoma"/>
        </w:rPr>
        <w:t xml:space="preserve"> </w:t>
      </w:r>
      <w:r w:rsidRPr="000A1C8E">
        <w:rPr>
          <w:rFonts w:cs="Tahoma"/>
        </w:rPr>
        <w:t xml:space="preserve">Os clientes devem examinar o Contrato de Licença ou consultar o Revendedor ou o Gerente de Conta Microsoft para obter mais informações sobre o direito de usar outros idiomas. </w:t>
      </w:r>
    </w:p>
    <w:p w:rsidR="007022C1" w:rsidRPr="000A1C8E" w:rsidRDefault="007022C1" w:rsidP="008A1637">
      <w:pPr>
        <w:rPr>
          <w:rFonts w:cs="Tahoma"/>
        </w:rPr>
      </w:pPr>
    </w:p>
    <w:p w:rsidR="008A1637" w:rsidRPr="000A1C8E" w:rsidRDefault="008A1637" w:rsidP="007022C1">
      <w:pPr>
        <w:pStyle w:val="Heading2"/>
        <w:ind w:left="0"/>
        <w:rPr>
          <w:rFonts w:ascii="Tahoma" w:hAnsi="Tahoma" w:cs="Tahoma"/>
        </w:rPr>
      </w:pPr>
      <w:bookmarkStart w:id="943" w:name="_Toc323159784"/>
      <w:bookmarkStart w:id="944" w:name="_Toc336338253"/>
      <w:bookmarkStart w:id="945" w:name="_Toc361829337"/>
      <w:r w:rsidRPr="000A1C8E">
        <w:rPr>
          <w:rFonts w:ascii="Tahoma" w:hAnsi="Tahoma" w:cs="Tahoma"/>
        </w:rPr>
        <w:t>Licenças independentes da plataforma</w:t>
      </w:r>
      <w:bookmarkEnd w:id="943"/>
      <w:bookmarkEnd w:id="944"/>
      <w:bookmarkEnd w:id="945"/>
    </w:p>
    <w:p w:rsidR="008A1637" w:rsidRPr="000A1C8E" w:rsidRDefault="008A1637" w:rsidP="007022C1">
      <w:pPr>
        <w:tabs>
          <w:tab w:val="num" w:pos="0"/>
        </w:tabs>
        <w:ind w:right="720"/>
        <w:rPr>
          <w:rFonts w:cs="Tahoma"/>
        </w:rPr>
      </w:pPr>
    </w:p>
    <w:p w:rsidR="008A1637" w:rsidRPr="00F30802" w:rsidRDefault="008A1637" w:rsidP="007022C1">
      <w:pPr>
        <w:pStyle w:val="AppendixBodyText"/>
        <w:spacing w:after="0"/>
        <w:ind w:right="720"/>
        <w:rPr>
          <w:rFonts w:ascii="Tahoma" w:hAnsi="Tahoma" w:cs="Tahoma"/>
          <w:sz w:val="18"/>
          <w:szCs w:val="18"/>
        </w:rPr>
      </w:pPr>
      <w:r w:rsidRPr="00F30802">
        <w:rPr>
          <w:rFonts w:ascii="Tahoma" w:hAnsi="Tahoma" w:cs="Tahoma"/>
          <w:color w:val="000000"/>
          <w:sz w:val="18"/>
          <w:szCs w:val="18"/>
        </w:rPr>
        <w:t>Microsoft Office Standard, Office Professional Plus, Word, Excel, PowerPoint, Outlook, Lync, Office para Mac, Word para Mac, Excel para Mac, PowerPoint para Mac, Lync para Mac e Outlook para Mac são licenças “independentes da plataforma”.</w:t>
      </w:r>
      <w:r w:rsidR="00DC6D8B" w:rsidRPr="00F30802">
        <w:rPr>
          <w:rFonts w:ascii="Tahoma" w:hAnsi="Tahoma" w:cs="Tahoma"/>
          <w:color w:val="000000"/>
          <w:sz w:val="18"/>
          <w:szCs w:val="18"/>
        </w:rPr>
        <w:t xml:space="preserve"> </w:t>
      </w:r>
      <w:r w:rsidRPr="00F30802">
        <w:rPr>
          <w:rFonts w:ascii="Tahoma" w:hAnsi="Tahoma" w:cs="Tahoma"/>
          <w:color w:val="000000"/>
          <w:sz w:val="18"/>
          <w:szCs w:val="18"/>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DC6D8B" w:rsidRPr="00F30802">
        <w:rPr>
          <w:rFonts w:ascii="Tahoma" w:hAnsi="Tahoma" w:cs="Tahoma"/>
          <w:color w:val="000000"/>
          <w:sz w:val="18"/>
          <w:szCs w:val="18"/>
        </w:rPr>
        <w:t xml:space="preserve"> </w:t>
      </w:r>
      <w:r w:rsidRPr="00F30802">
        <w:rPr>
          <w:rFonts w:ascii="Tahoma" w:hAnsi="Tahoma" w:cs="Tahoma"/>
          <w:color w:val="000000"/>
          <w:sz w:val="18"/>
          <w:szCs w:val="18"/>
        </w:rPr>
        <w:t>Por exemplo, um cliente licenciado para o Office para Mac Standard 2011 pode optar pelo uso dessa licença para executar o Office Standard 2010 para Windows.</w:t>
      </w:r>
    </w:p>
    <w:p w:rsidR="008A1637" w:rsidRPr="00F30802" w:rsidRDefault="008A1637" w:rsidP="007022C1">
      <w:pPr>
        <w:pStyle w:val="AppendixBodyText"/>
        <w:spacing w:after="0"/>
        <w:rPr>
          <w:rFonts w:ascii="Tahoma" w:hAnsi="Tahoma" w:cs="Tahoma"/>
          <w:sz w:val="18"/>
          <w:szCs w:val="18"/>
        </w:rPr>
      </w:pPr>
    </w:p>
    <w:p w:rsidR="008A1637" w:rsidRPr="00F30802" w:rsidRDefault="008A1637" w:rsidP="00D83BEB">
      <w:pPr>
        <w:pStyle w:val="AppendixBodyText"/>
        <w:spacing w:after="0"/>
        <w:ind w:right="720"/>
        <w:rPr>
          <w:rFonts w:ascii="Tahoma" w:hAnsi="Tahoma" w:cs="Tahoma"/>
          <w:sz w:val="18"/>
          <w:szCs w:val="18"/>
        </w:rPr>
      </w:pPr>
      <w:r w:rsidRPr="00F30802">
        <w:rPr>
          <w:rFonts w:ascii="Tahoma" w:hAnsi="Tahoma" w:cs="Tahoma"/>
          <w:color w:val="000000"/>
          <w:sz w:val="18"/>
          <w:szCs w:val="18"/>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D83BEB" w:rsidRPr="00F30802">
        <w:rPr>
          <w:rFonts w:ascii="Tahoma" w:hAnsi="Tahoma" w:cs="Tahoma"/>
          <w:color w:val="000000"/>
          <w:sz w:val="18"/>
          <w:szCs w:val="18"/>
        </w:rPr>
        <w:t> </w:t>
      </w:r>
      <w:r w:rsidRPr="00F30802">
        <w:rPr>
          <w:rFonts w:ascii="Tahoma" w:hAnsi="Tahoma" w:cs="Tahoma"/>
          <w:color w:val="000000"/>
          <w:sz w:val="18"/>
          <w:szCs w:val="18"/>
        </w:rPr>
        <w:t>não terá o direito de executar o Lync, mas terá o direito de executar o OneNote.</w:t>
      </w:r>
    </w:p>
    <w:p w:rsidR="008A1637" w:rsidRPr="00F30802" w:rsidRDefault="008A1637" w:rsidP="007022C1">
      <w:pPr>
        <w:pStyle w:val="AppendixBodyText"/>
        <w:spacing w:after="0"/>
        <w:ind w:right="720"/>
        <w:rPr>
          <w:rFonts w:ascii="Tahoma" w:hAnsi="Tahoma" w:cs="Tahoma"/>
          <w:sz w:val="18"/>
          <w:szCs w:val="18"/>
        </w:rPr>
      </w:pPr>
      <w:r w:rsidRPr="00F30802">
        <w:rPr>
          <w:rFonts w:ascii="Tahoma" w:hAnsi="Tahoma" w:cs="Tahoma"/>
          <w:color w:val="000000"/>
          <w:sz w:val="18"/>
          <w:szCs w:val="18"/>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rsidR="008A1637" w:rsidRPr="000A1C8E" w:rsidRDefault="008A1637" w:rsidP="007022C1">
      <w:pPr>
        <w:tabs>
          <w:tab w:val="left" w:pos="360"/>
        </w:tabs>
        <w:ind w:right="720"/>
        <w:rPr>
          <w:rFonts w:cs="Tahoma"/>
        </w:rPr>
      </w:pPr>
    </w:p>
    <w:p w:rsidR="008A1637" w:rsidRPr="000A1C8E" w:rsidRDefault="008A1637" w:rsidP="00D83BEB">
      <w:pPr>
        <w:pStyle w:val="AppendixBodyText"/>
        <w:spacing w:after="0"/>
        <w:ind w:right="720"/>
        <w:rPr>
          <w:rFonts w:ascii="Tahoma" w:hAnsi="Tahoma" w:cs="Tahoma"/>
        </w:rPr>
      </w:pPr>
      <w:r w:rsidRPr="000A1C8E">
        <w:rPr>
          <w:rFonts w:ascii="Tahoma" w:hAnsi="Tahoma" w:cs="Tahoma"/>
          <w:sz w:val="18"/>
        </w:rPr>
        <w:lastRenderedPageBreak/>
        <w:t>O Microsoft SQL Server é uma licença “independente da plataforma”. Uma licença independente da plataforma permite que um produto específico seja usado em qualquer plataforma de computador em que o</w:t>
      </w:r>
      <w:r w:rsidR="00D83BEB" w:rsidRPr="000A1C8E">
        <w:rPr>
          <w:rFonts w:ascii="Tahoma" w:hAnsi="Tahoma" w:cs="Tahoma"/>
          <w:sz w:val="18"/>
        </w:rPr>
        <w:t> </w:t>
      </w:r>
      <w:r w:rsidRPr="000A1C8E">
        <w:rPr>
          <w:rFonts w:ascii="Tahoma" w:hAnsi="Tahoma" w:cs="Tahoma"/>
          <w:sz w:val="18"/>
        </w:rPr>
        <w:t>software seja executado, desde que a versão seja igual ou anterior à versão original que foi licenciada.</w:t>
      </w:r>
    </w:p>
    <w:p w:rsidR="008A1637" w:rsidRPr="000A1C8E" w:rsidRDefault="008A1637" w:rsidP="007022C1">
      <w:pPr>
        <w:pStyle w:val="AppendixBodyText"/>
        <w:spacing w:after="0"/>
        <w:ind w:right="720"/>
        <w:rPr>
          <w:rFonts w:ascii="Tahoma" w:hAnsi="Tahoma" w:cs="Tahoma"/>
        </w:rPr>
      </w:pPr>
    </w:p>
    <w:p w:rsidR="008A1637" w:rsidRPr="000A1C8E" w:rsidRDefault="008A1637" w:rsidP="00D83BEB">
      <w:pPr>
        <w:pStyle w:val="AppendixBodyText"/>
        <w:spacing w:after="0"/>
        <w:ind w:right="720"/>
        <w:rPr>
          <w:rFonts w:ascii="Tahoma" w:hAnsi="Tahoma" w:cs="Tahoma"/>
        </w:rPr>
      </w:pPr>
      <w:r w:rsidRPr="000A1C8E">
        <w:rPr>
          <w:rFonts w:ascii="Tahoma" w:hAnsi="Tahoma" w:cs="Tahoma"/>
          <w:sz w:val="18"/>
        </w:rPr>
        <w:t>Além disso, um cliente que registrar uma licença independente da plataforma no Software Assurance está qualificado para usar a versão mais atual desse produto particular que esteja disponível durante o prazo da</w:t>
      </w:r>
      <w:r w:rsidR="00D83BEB" w:rsidRPr="000A1C8E">
        <w:rPr>
          <w:rFonts w:ascii="Tahoma" w:hAnsi="Tahoma" w:cs="Tahoma"/>
          <w:sz w:val="18"/>
        </w:rPr>
        <w:t> </w:t>
      </w:r>
      <w:r w:rsidRPr="000A1C8E">
        <w:rPr>
          <w:rFonts w:ascii="Tahoma" w:hAnsi="Tahoma" w:cs="Tahoma"/>
          <w:sz w:val="18"/>
        </w:rPr>
        <w:t>cobertura de Software Assurance, seja qual for a plataforma (desde que somente uma versão seja instalada/usada de cada vez).</w:t>
      </w:r>
    </w:p>
    <w:p w:rsidR="00973A93" w:rsidRPr="000A1C8E" w:rsidRDefault="00973A93">
      <w:pPr>
        <w:rPr>
          <w:rFonts w:cs="Tahoma"/>
        </w:rPr>
      </w:pPr>
      <w:bookmarkStart w:id="946" w:name="_Toc336338254"/>
    </w:p>
    <w:p w:rsidR="008A1637" w:rsidRPr="000A1C8E" w:rsidRDefault="008A1637" w:rsidP="008A1637">
      <w:pPr>
        <w:pStyle w:val="Heading2"/>
        <w:ind w:left="0"/>
        <w:rPr>
          <w:rFonts w:ascii="Tahoma" w:hAnsi="Tahoma" w:cs="Tahoma"/>
        </w:rPr>
      </w:pPr>
      <w:bookmarkStart w:id="947" w:name="_Toc361829338"/>
      <w:r w:rsidRPr="000A1C8E">
        <w:rPr>
          <w:rFonts w:ascii="Tahoma" w:hAnsi="Tahoma" w:cs="Tahoma"/>
        </w:rPr>
        <w:t>Chaves de Produto em Licenças por Volume</w:t>
      </w:r>
      <w:bookmarkEnd w:id="946"/>
      <w:bookmarkEnd w:id="947"/>
    </w:p>
    <w:p w:rsidR="008A1637" w:rsidRPr="000A1C8E" w:rsidRDefault="008A1637" w:rsidP="008A1637">
      <w:pPr>
        <w:spacing w:after="60"/>
        <w:ind w:right="720"/>
        <w:rPr>
          <w:rFonts w:cs="Tahoma"/>
        </w:rPr>
      </w:pPr>
    </w:p>
    <w:p w:rsidR="008A1637" w:rsidRPr="000A1C8E" w:rsidRDefault="004829AF" w:rsidP="007022C1">
      <w:pPr>
        <w:ind w:right="720"/>
        <w:rPr>
          <w:rFonts w:cs="Tahoma"/>
          <w:spacing w:val="-2"/>
        </w:rPr>
      </w:pPr>
      <w:r w:rsidRPr="000A1C8E">
        <w:rPr>
          <w:rFonts w:cs="Tahoma"/>
          <w:color w:val="000000"/>
          <w:spacing w:val="-2"/>
          <w:szCs w:val="18"/>
        </w:rPr>
        <w:t>As chaves de produto (Product Keys) habilitam as organizações a utilizarem o software e os produtos que licenciaram.</w:t>
      </w:r>
      <w:r w:rsidR="00DC6D8B" w:rsidRPr="000A1C8E">
        <w:rPr>
          <w:rFonts w:cs="Tahoma"/>
          <w:color w:val="000000"/>
          <w:spacing w:val="-2"/>
          <w:szCs w:val="18"/>
        </w:rPr>
        <w:t xml:space="preserve"> </w:t>
      </w:r>
      <w:r w:rsidRPr="000A1C8E">
        <w:rPr>
          <w:rFonts w:cs="Tahoma"/>
          <w:color w:val="000000"/>
          <w:spacing w:val="-2"/>
          <w:szCs w:val="18"/>
        </w:rPr>
        <w:t>Todas as chaves de produto são emitidas para um cliente de acordo com um contrato de licença específico.</w:t>
      </w:r>
      <w:r w:rsidR="00DC6D8B" w:rsidRPr="000A1C8E">
        <w:rPr>
          <w:rFonts w:cs="Tahoma"/>
          <w:color w:val="000000"/>
          <w:spacing w:val="-2"/>
          <w:szCs w:val="18"/>
        </w:rPr>
        <w:t xml:space="preserve"> </w:t>
      </w:r>
      <w:r w:rsidRPr="000A1C8E">
        <w:rPr>
          <w:rFonts w:cs="Tahoma"/>
          <w:color w:val="000000"/>
          <w:spacing w:val="-2"/>
          <w:szCs w:val="18"/>
        </w:rPr>
        <w:t xml:space="preserve">Para obter as chaves de produto, visite os sites </w:t>
      </w:r>
      <w:hyperlink r:id="rId33" w:history="1">
        <w:r w:rsidRPr="000A1C8E">
          <w:rPr>
            <w:rStyle w:val="Hyperlink"/>
            <w:rFonts w:cs="Tahoma"/>
            <w:spacing w:val="-2"/>
            <w:szCs w:val="18"/>
          </w:rPr>
          <w:t>Microsoft Volume Licensing Service Center (VLSC)</w:t>
        </w:r>
      </w:hyperlink>
      <w:r w:rsidRPr="000A1C8E">
        <w:rPr>
          <w:rFonts w:cs="Tahoma"/>
          <w:color w:val="000000"/>
          <w:spacing w:val="-2"/>
          <w:szCs w:val="18"/>
        </w:rPr>
        <w:t xml:space="preserve">. Você também pode ligar para o </w:t>
      </w:r>
      <w:hyperlink r:id="rId34" w:history="1">
        <w:r w:rsidRPr="000A1C8E">
          <w:rPr>
            <w:rStyle w:val="Hyperlink"/>
            <w:rFonts w:cs="Tahoma"/>
            <w:spacing w:val="-2"/>
            <w:szCs w:val="18"/>
          </w:rPr>
          <w:t>Centro de Ativação de Licenciamento por Volume da Microsoft</w:t>
        </w:r>
      </w:hyperlink>
      <w:r w:rsidRPr="000A1C8E">
        <w:rPr>
          <w:rFonts w:cs="Tahoma"/>
          <w:color w:val="0070C0"/>
          <w:spacing w:val="-2"/>
          <w:szCs w:val="18"/>
        </w:rPr>
        <w:t>.</w:t>
      </w:r>
      <w:r w:rsidRPr="000A1C8E">
        <w:rPr>
          <w:rFonts w:cs="Tahoma"/>
          <w:color w:val="000000"/>
          <w:spacing w:val="-2"/>
          <w:szCs w:val="18"/>
        </w:rPr>
        <w:t xml:space="preserve"> </w:t>
      </w:r>
    </w:p>
    <w:p w:rsidR="008A1637" w:rsidRPr="000A1C8E" w:rsidRDefault="008A1637" w:rsidP="007022C1">
      <w:pPr>
        <w:ind w:right="720"/>
        <w:rPr>
          <w:rFonts w:cs="Tahoma"/>
        </w:rPr>
      </w:pPr>
    </w:p>
    <w:p w:rsidR="008A1637" w:rsidRPr="000A1C8E" w:rsidRDefault="008A1637" w:rsidP="00D83BEB">
      <w:pPr>
        <w:ind w:right="720"/>
        <w:rPr>
          <w:rFonts w:cs="Tahoma"/>
        </w:rPr>
      </w:pPr>
      <w:r w:rsidRPr="000A1C8E">
        <w:rPr>
          <w:rFonts w:cs="Tahoma"/>
          <w:color w:val="000000"/>
          <w:szCs w:val="18"/>
        </w:rPr>
        <w:t>Para ver uma lista de produtos do Licenciamento por Volume que requerem chaves</w:t>
      </w:r>
      <w:r w:rsidR="00D83BEB" w:rsidRPr="000A1C8E">
        <w:rPr>
          <w:rFonts w:cs="Tahoma"/>
          <w:color w:val="000000"/>
          <w:szCs w:val="18"/>
        </w:rPr>
        <w:t> </w:t>
      </w:r>
      <w:r w:rsidRPr="000A1C8E">
        <w:rPr>
          <w:rFonts w:cs="Tahoma"/>
          <w:color w:val="000000"/>
          <w:szCs w:val="18"/>
        </w:rPr>
        <w:t>de</w:t>
      </w:r>
      <w:r w:rsidR="00D83BEB" w:rsidRPr="000A1C8E">
        <w:rPr>
          <w:rFonts w:cs="Tahoma"/>
          <w:color w:val="000000"/>
          <w:szCs w:val="18"/>
        </w:rPr>
        <w:t> </w:t>
      </w:r>
      <w:r w:rsidRPr="000A1C8E">
        <w:rPr>
          <w:rFonts w:cs="Tahoma"/>
          <w:color w:val="000000"/>
          <w:szCs w:val="18"/>
        </w:rPr>
        <w:t>produto</w:t>
      </w:r>
      <w:r w:rsidR="00D83BEB" w:rsidRPr="000A1C8E">
        <w:rPr>
          <w:rFonts w:cs="Tahoma"/>
          <w:color w:val="000000"/>
          <w:szCs w:val="18"/>
        </w:rPr>
        <w:t> </w:t>
      </w:r>
      <w:r w:rsidRPr="000A1C8E">
        <w:rPr>
          <w:rFonts w:cs="Tahoma"/>
          <w:color w:val="000000"/>
          <w:szCs w:val="18"/>
        </w:rPr>
        <w:t>e</w:t>
      </w:r>
      <w:r w:rsidR="00D83BEB" w:rsidRPr="000A1C8E">
        <w:rPr>
          <w:rFonts w:cs="Tahoma"/>
          <w:color w:val="000000"/>
          <w:szCs w:val="18"/>
        </w:rPr>
        <w:t> </w:t>
      </w:r>
      <w:r w:rsidRPr="000A1C8E">
        <w:rPr>
          <w:rFonts w:cs="Tahoma"/>
          <w:color w:val="000000"/>
          <w:szCs w:val="18"/>
        </w:rPr>
        <w:t>obter</w:t>
      </w:r>
      <w:r w:rsidR="00D83BEB" w:rsidRPr="000A1C8E">
        <w:rPr>
          <w:rFonts w:cs="Tahoma"/>
          <w:color w:val="000000"/>
          <w:szCs w:val="18"/>
        </w:rPr>
        <w:t> </w:t>
      </w:r>
      <w:r w:rsidRPr="000A1C8E">
        <w:rPr>
          <w:rFonts w:cs="Tahoma"/>
          <w:color w:val="000000"/>
          <w:szCs w:val="18"/>
        </w:rPr>
        <w:t xml:space="preserve">informações adicionais, consulte: </w:t>
      </w:r>
      <w:hyperlink r:id="rId35" w:history="1">
        <w:r w:rsidRPr="000A1C8E">
          <w:rPr>
            <w:rStyle w:val="Hyperlink"/>
            <w:rFonts w:cs="Tahoma"/>
            <w:szCs w:val="18"/>
          </w:rPr>
          <w:t>http://www.microsoft.com/licensing/resources/vol/volumelicensekey/default.mspx</w:t>
        </w:r>
      </w:hyperlink>
      <w:r w:rsidRPr="000A1C8E">
        <w:rPr>
          <w:rFonts w:cs="Tahoma"/>
          <w:szCs w:val="18"/>
        </w:rPr>
        <w:t>.</w:t>
      </w:r>
      <w:r w:rsidRPr="000A1C8E">
        <w:rPr>
          <w:rFonts w:cs="Tahoma"/>
          <w:color w:val="000000"/>
          <w:szCs w:val="18"/>
        </w:rPr>
        <w:t xml:space="preserve"> </w:t>
      </w:r>
    </w:p>
    <w:p w:rsidR="008A1637" w:rsidRPr="000A1C8E" w:rsidRDefault="008A1637" w:rsidP="007022C1">
      <w:pPr>
        <w:ind w:right="720"/>
        <w:rPr>
          <w:rFonts w:cs="Tahoma"/>
        </w:rPr>
      </w:pPr>
      <w:r w:rsidRPr="000A1C8E">
        <w:rPr>
          <w:rFonts w:cs="Tahoma"/>
          <w:color w:val="1F497D"/>
          <w:szCs w:val="18"/>
        </w:rPr>
        <w:br/>
      </w:r>
      <w:r w:rsidRPr="000A1C8E">
        <w:rPr>
          <w:rFonts w:cs="Tahoma"/>
          <w:color w:val="000000"/>
          <w:szCs w:val="18"/>
        </w:rPr>
        <w:t>Nem todos os produtos do Licenciamento por Volume requerem uma chave de produto.</w:t>
      </w:r>
      <w:r w:rsidRPr="000A1C8E">
        <w:rPr>
          <w:rFonts w:cs="Tahoma"/>
          <w:color w:val="333333"/>
          <w:sz w:val="17"/>
          <w:szCs w:val="17"/>
        </w:rPr>
        <w:t xml:space="preserve"> </w:t>
      </w:r>
      <w:r w:rsidRPr="000A1C8E">
        <w:rPr>
          <w:rFonts w:cs="Tahoma"/>
          <w:color w:val="000000"/>
          <w:szCs w:val="18"/>
        </w:rPr>
        <w:t>Se um produto não estiver listado, nenhuma chave de produto será exigida.</w:t>
      </w:r>
    </w:p>
    <w:p w:rsidR="008A1637" w:rsidRPr="000A1C8E" w:rsidRDefault="008A1637" w:rsidP="007022C1">
      <w:pPr>
        <w:ind w:right="720"/>
        <w:rPr>
          <w:rFonts w:cs="Tahoma"/>
        </w:rPr>
      </w:pPr>
    </w:p>
    <w:p w:rsidR="001B413E" w:rsidRPr="000A1C8E" w:rsidRDefault="008A1637" w:rsidP="007022C1">
      <w:pPr>
        <w:ind w:right="720"/>
        <w:rPr>
          <w:rFonts w:cs="Tahoma"/>
        </w:rPr>
      </w:pPr>
      <w:r w:rsidRPr="000A1C8E">
        <w:rPr>
          <w:rFonts w:cs="Tahoma"/>
          <w:b/>
          <w:bCs/>
          <w:color w:val="000000"/>
          <w:szCs w:val="18"/>
        </w:rPr>
        <w:t>Observação:</w:t>
      </w:r>
      <w:r w:rsidR="00DC6D8B" w:rsidRPr="000A1C8E">
        <w:rPr>
          <w:rFonts w:cs="Tahoma"/>
          <w:color w:val="000000"/>
          <w:szCs w:val="18"/>
        </w:rPr>
        <w:t xml:space="preserve"> </w:t>
      </w:r>
      <w:r w:rsidRPr="000A1C8E">
        <w:rPr>
          <w:rFonts w:cs="Tahoma"/>
          <w:color w:val="000000"/>
          <w:szCs w:val="18"/>
        </w:rPr>
        <w:t xml:space="preserve">as chaves de produto são cedidas e destinadas para o uso exclusivo da sua organização. Você será responsabilizado por qualquer uso não autorizado das chaves de produto emitidas de acordo com o seu contrato. Tome providências para manter suas chaves de produto em segurança. Não as divulgue para pessoas não autorizadas. </w:t>
      </w:r>
    </w:p>
    <w:p w:rsidR="001B413E" w:rsidRPr="000A1C8E" w:rsidRDefault="001B413E">
      <w:pPr>
        <w:rPr>
          <w:rFonts w:cs="Tahoma"/>
        </w:rPr>
      </w:pPr>
      <w:r w:rsidRPr="000A1C8E">
        <w:rPr>
          <w:rFonts w:cs="Tahoma"/>
          <w:color w:val="000000"/>
          <w:szCs w:val="18"/>
        </w:rPr>
        <w:br w:type="page"/>
      </w:r>
    </w:p>
    <w:p w:rsidR="001B413E" w:rsidRPr="000A1C8E" w:rsidRDefault="001B413E" w:rsidP="006B21CE">
      <w:pPr>
        <w:pStyle w:val="Heading1"/>
        <w:rPr>
          <w:rFonts w:cs="Tahoma"/>
        </w:rPr>
      </w:pPr>
      <w:bookmarkStart w:id="948" w:name="_Section_10_–"/>
      <w:bookmarkStart w:id="949" w:name="_Toc361829339"/>
      <w:bookmarkEnd w:id="948"/>
      <w:r w:rsidRPr="000A1C8E">
        <w:rPr>
          <w:rFonts w:cs="Tahoma"/>
        </w:rPr>
        <w:lastRenderedPageBreak/>
        <w:t>Seção 10 – Termos Complementares para</w:t>
      </w:r>
      <w:r w:rsidR="006B21CE">
        <w:rPr>
          <w:rFonts w:cs="Tahoma"/>
        </w:rPr>
        <w:t> </w:t>
      </w:r>
      <w:r w:rsidRPr="000A1C8E">
        <w:rPr>
          <w:rFonts w:cs="Tahoma"/>
        </w:rPr>
        <w:t>Serviços Online Incluídos no Software Local</w:t>
      </w:r>
      <w:bookmarkEnd w:id="949"/>
    </w:p>
    <w:p w:rsidR="001B413E" w:rsidRPr="000A1C8E" w:rsidRDefault="001B413E" w:rsidP="001B413E">
      <w:pPr>
        <w:rPr>
          <w:rFonts w:cs="Tahoma"/>
        </w:rPr>
      </w:pPr>
    </w:p>
    <w:p w:rsidR="001B413E" w:rsidRPr="000A1C8E" w:rsidRDefault="001B413E" w:rsidP="001B413E">
      <w:pPr>
        <w:rPr>
          <w:rFonts w:cs="Tahoma"/>
        </w:rPr>
      </w:pPr>
      <w:r w:rsidRPr="000A1C8E">
        <w:rPr>
          <w:rFonts w:cs="Tahoma"/>
          <w:snapToGrid w:val="0"/>
        </w:rPr>
        <w:t>Algumas ofertas incluem softwares implementados e usados nas instalações dos clientes e um ou mais dos Serviços Online identificados acima sob a mesma licença. Por exemplo,</w:t>
      </w:r>
      <w:r w:rsidRPr="000A1C8E">
        <w:rPr>
          <w:rFonts w:cs="Tahoma"/>
          <w:szCs w:val="20"/>
        </w:rPr>
        <w:t xml:space="preserve"> o Arquivamento do Exchange Online para Exchange Server, Prevenção à Perda de Dados ou Exchange Online Protection estão disponíveis aos clientes como parte do seu Pacote de CAL Empresarial ou CAL Empresarial do Exchange com Serviços 2013. Os seguintes Termos e Condições Complementares (“Termos Complementares”) se aplicam à </w:t>
      </w:r>
      <w:r w:rsidRPr="000A1C8E">
        <w:rPr>
          <w:rFonts w:cs="Tahoma"/>
          <w:snapToGrid w:val="0"/>
        </w:rPr>
        <w:t>aquisição e ao uso que os clientes fazem de tais Serviços Online.</w:t>
      </w:r>
      <w:r w:rsidR="00DC6D8B" w:rsidRPr="000A1C8E">
        <w:rPr>
          <w:rFonts w:cs="Tahoma"/>
          <w:szCs w:val="20"/>
        </w:rPr>
        <w:t xml:space="preserve"> </w:t>
      </w:r>
      <w:r w:rsidRPr="000A1C8E">
        <w:rPr>
          <w:rFonts w:cs="Tahoma"/>
          <w:snapToGrid w:val="0"/>
        </w:rPr>
        <w:t>Além do mais, não obstante nenhuma disposição em contrário, os termos de pagamento e preços acima não se aplicam aos Serviços Online licenciados desta forma.</w:t>
      </w:r>
    </w:p>
    <w:p w:rsidR="001B413E" w:rsidRPr="000A1C8E" w:rsidRDefault="001B413E" w:rsidP="001B413E">
      <w:pPr>
        <w:keepNext/>
        <w:spacing w:before="120" w:after="60"/>
        <w:ind w:left="720"/>
        <w:outlineLvl w:val="0"/>
        <w:rPr>
          <w:rFonts w:cs="Tahoma"/>
        </w:rPr>
      </w:pPr>
      <w:r w:rsidRPr="000A1C8E">
        <w:rPr>
          <w:rFonts w:cs="Tahoma"/>
          <w:b/>
          <w:bCs/>
          <w:iCs/>
          <w:snapToGrid w:val="0"/>
          <w:szCs w:val="18"/>
        </w:rPr>
        <w:t>Definições.</w:t>
      </w:r>
    </w:p>
    <w:p w:rsidR="001B413E" w:rsidRPr="000A1C8E" w:rsidRDefault="001B413E" w:rsidP="001B413E">
      <w:pPr>
        <w:ind w:left="720"/>
        <w:jc w:val="both"/>
        <w:rPr>
          <w:rFonts w:cs="Tahoma"/>
        </w:rPr>
      </w:pPr>
      <w:r w:rsidRPr="000A1C8E">
        <w:rPr>
          <w:rFonts w:cs="Tahoma"/>
          <w:snapToGrid w:val="0"/>
          <w:color w:val="000000"/>
          <w:szCs w:val="18"/>
        </w:rPr>
        <w:t>“Dados do Cliente” significa todos os dados, incluindo quaisquer arquivos de texto, som, software ou imagens fornecidos à Microsoft ou em nome do cliente por meio do uso pelo cliente dos Serviços Online.</w:t>
      </w:r>
    </w:p>
    <w:p w:rsidR="001B413E" w:rsidRPr="000A1C8E" w:rsidRDefault="001B413E" w:rsidP="001B413E">
      <w:pPr>
        <w:spacing w:before="120"/>
        <w:ind w:left="720"/>
        <w:jc w:val="both"/>
        <w:rPr>
          <w:rFonts w:cs="Tahoma"/>
        </w:rPr>
      </w:pPr>
      <w:r w:rsidRPr="000A1C8E">
        <w:rPr>
          <w:rFonts w:cs="Tahoma"/>
          <w:snapToGrid w:val="0"/>
          <w:color w:val="000000"/>
          <w:szCs w:val="18"/>
        </w:rPr>
        <w:t>“Contrato de Níveis de Serviço” significa o documento que especifica os padrões que a Microsoft concorda em seguir e por meio dos quais medirá o nível de serviço de um Serviço Online.</w:t>
      </w:r>
    </w:p>
    <w:p w:rsidR="001B413E" w:rsidRPr="000A1C8E" w:rsidRDefault="001B413E" w:rsidP="001B413E">
      <w:pPr>
        <w:keepNext/>
        <w:spacing w:before="120" w:after="60"/>
        <w:ind w:left="720"/>
        <w:outlineLvl w:val="0"/>
        <w:rPr>
          <w:rFonts w:cs="Tahoma"/>
        </w:rPr>
      </w:pPr>
      <w:r w:rsidRPr="000A1C8E">
        <w:rPr>
          <w:rFonts w:cs="Tahoma"/>
          <w:b/>
          <w:bCs/>
          <w:iCs/>
          <w:snapToGrid w:val="0"/>
          <w:szCs w:val="18"/>
        </w:rPr>
        <w:t>Aplicabilidade dos Termos Complementares.</w:t>
      </w:r>
    </w:p>
    <w:p w:rsidR="001B413E" w:rsidRPr="000A1C8E" w:rsidRDefault="001B413E" w:rsidP="001B413E">
      <w:pPr>
        <w:ind w:left="720"/>
        <w:jc w:val="both"/>
        <w:rPr>
          <w:rFonts w:cs="Tahoma"/>
        </w:rPr>
      </w:pPr>
      <w:r w:rsidRPr="000A1C8E">
        <w:rPr>
          <w:rFonts w:cs="Tahoma"/>
          <w:snapToGrid w:val="0"/>
          <w:color w:val="000000"/>
          <w:szCs w:val="18"/>
        </w:rPr>
        <w:t>Estes Termos Complementares se aplicam somente à compra e ao uso pelo cliente dos Serviços Online e Serviços.</w:t>
      </w:r>
      <w:r w:rsidR="00DC6D8B" w:rsidRPr="000A1C8E">
        <w:rPr>
          <w:rFonts w:cs="Tahoma"/>
          <w:snapToGrid w:val="0"/>
          <w:color w:val="000000"/>
          <w:szCs w:val="18"/>
        </w:rPr>
        <w:t xml:space="preserve"> </w:t>
      </w:r>
      <w:r w:rsidRPr="000A1C8E">
        <w:rPr>
          <w:rFonts w:cs="Tahoma"/>
          <w:snapToGrid w:val="0"/>
          <w:color w:val="000000"/>
          <w:szCs w:val="18"/>
        </w:rPr>
        <w:t>Em caso de conflito entre esses Termos Complementares e os termos e as condições do Master Agreement ou Contrato que não sejam expressamente solucionados por eles, prevalecerão os Termos Complementares.</w:t>
      </w:r>
    </w:p>
    <w:p w:rsidR="001B413E" w:rsidRPr="000A1C8E" w:rsidRDefault="001B413E" w:rsidP="001B413E">
      <w:pPr>
        <w:keepNext/>
        <w:spacing w:before="120" w:after="60"/>
        <w:ind w:left="720"/>
        <w:outlineLvl w:val="0"/>
        <w:rPr>
          <w:rFonts w:cs="Tahoma"/>
        </w:rPr>
      </w:pPr>
      <w:r w:rsidRPr="000A1C8E">
        <w:rPr>
          <w:rFonts w:cs="Tahoma"/>
          <w:b/>
          <w:bCs/>
          <w:iCs/>
          <w:snapToGrid w:val="0"/>
          <w:szCs w:val="18"/>
        </w:rPr>
        <w:t>Garantia limitada dos Serviços Online.</w:t>
      </w:r>
    </w:p>
    <w:p w:rsidR="001B413E" w:rsidRPr="000A1C8E" w:rsidRDefault="001B413E" w:rsidP="001B413E">
      <w:pPr>
        <w:ind w:left="720"/>
        <w:jc w:val="both"/>
        <w:rPr>
          <w:rFonts w:cs="Tahoma"/>
        </w:rPr>
      </w:pPr>
      <w:r w:rsidRPr="000A1C8E">
        <w:rPr>
          <w:rFonts w:cs="Tahoma"/>
          <w:snapToGrid w:val="0"/>
          <w:color w:val="000000"/>
          <w:szCs w:val="18"/>
        </w:rPr>
        <w:t>A Microsoft garante que os Serviços Online funcionarão de acordo com o Contrato de Nível de Serviço aplicável.</w:t>
      </w:r>
      <w:r w:rsidR="00DC6D8B" w:rsidRPr="000A1C8E">
        <w:rPr>
          <w:rFonts w:cs="Tahoma"/>
          <w:snapToGrid w:val="0"/>
          <w:color w:val="000000"/>
          <w:szCs w:val="18"/>
        </w:rPr>
        <w:t xml:space="preserve"> </w:t>
      </w:r>
      <w:r w:rsidRPr="000A1C8E">
        <w:rPr>
          <w:rFonts w:cs="Tahoma"/>
          <w:snapToGrid w:val="0"/>
          <w:color w:val="000000"/>
          <w:szCs w:val="18"/>
        </w:rPr>
        <w:t>Esta garantia limitada equivale à duração do uso pelo cliente do Serviço Online, sujeita aos requisitos de notificação no Contrato de Nível de Serviços aplicável.</w:t>
      </w:r>
    </w:p>
    <w:p w:rsidR="001B413E" w:rsidRPr="000A1C8E" w:rsidRDefault="001B413E" w:rsidP="001B413E">
      <w:pPr>
        <w:spacing w:before="120"/>
        <w:ind w:left="720"/>
        <w:jc w:val="both"/>
        <w:rPr>
          <w:rFonts w:cs="Tahoma"/>
        </w:rPr>
      </w:pPr>
      <w:r w:rsidRPr="000A1C8E">
        <w:rPr>
          <w:rFonts w:cs="Tahoma"/>
          <w:snapToGrid w:val="0"/>
          <w:color w:val="000000"/>
          <w:szCs w:val="18"/>
        </w:rPr>
        <w:t>Se a Microsoft não cumprir esta garantia limitada e o cliente notificar a Microsoft dentro do período de garantia, a Microsoft fornecerá as medidas identificadas no Contrato de Nível de Serviço do Serviço Online afetado.</w:t>
      </w:r>
      <w:r w:rsidR="00DC6D8B" w:rsidRPr="000A1C8E">
        <w:rPr>
          <w:rFonts w:cs="Tahoma"/>
          <w:snapToGrid w:val="0"/>
          <w:color w:val="000000"/>
          <w:szCs w:val="18"/>
        </w:rPr>
        <w:t xml:space="preserve"> </w:t>
      </w:r>
      <w:r w:rsidRPr="000A1C8E">
        <w:rPr>
          <w:rFonts w:cs="Tahoma"/>
          <w:snapToGrid w:val="0"/>
          <w:color w:val="000000"/>
          <w:szCs w:val="18"/>
        </w:rPr>
        <w:t>Essas são as únicas medidas disponíveis ao cliente em caso de violação da garantia limitada, salvo se a lei aplicável estabelecer outras.</w:t>
      </w:r>
    </w:p>
    <w:p w:rsidR="001B413E" w:rsidRPr="000A1C8E" w:rsidRDefault="001B413E" w:rsidP="001B413E">
      <w:pPr>
        <w:spacing w:before="120"/>
        <w:ind w:left="720"/>
        <w:jc w:val="both"/>
        <w:rPr>
          <w:rFonts w:cs="Tahoma"/>
        </w:rPr>
      </w:pPr>
      <w:r w:rsidRPr="000A1C8E">
        <w:rPr>
          <w:rFonts w:cs="Tahoma"/>
          <w:snapToGrid w:val="0"/>
          <w:color w:val="000000"/>
          <w:szCs w:val="18"/>
        </w:rPr>
        <w:t>A garantia limitada está sujeita às seguintes limitações:</w:t>
      </w:r>
    </w:p>
    <w:p w:rsidR="001B413E" w:rsidRPr="000A1C8E" w:rsidRDefault="001B413E" w:rsidP="001B413E">
      <w:pPr>
        <w:numPr>
          <w:ilvl w:val="0"/>
          <w:numId w:val="124"/>
        </w:numPr>
        <w:spacing w:before="120"/>
        <w:ind w:left="1080"/>
        <w:contextualSpacing/>
        <w:jc w:val="both"/>
        <w:rPr>
          <w:rFonts w:cs="Tahoma"/>
        </w:rPr>
      </w:pPr>
      <w:r w:rsidRPr="000A1C8E">
        <w:rPr>
          <w:rFonts w:cs="Tahoma"/>
          <w:snapToGrid w:val="0"/>
          <w:color w:val="000000"/>
          <w:szCs w:val="18"/>
        </w:rPr>
        <w:t>quaisquer garantias ou condições legais que não podem ser isentadas como uma questão legal permanecerão somente durante um ano a partir do início do garantia limitada;</w:t>
      </w:r>
    </w:p>
    <w:p w:rsidR="001B413E" w:rsidRPr="000A1C8E" w:rsidRDefault="001B413E" w:rsidP="001B413E">
      <w:pPr>
        <w:numPr>
          <w:ilvl w:val="0"/>
          <w:numId w:val="124"/>
        </w:numPr>
        <w:spacing w:before="120"/>
        <w:ind w:left="1080"/>
        <w:contextualSpacing/>
        <w:jc w:val="both"/>
        <w:rPr>
          <w:rFonts w:cs="Tahoma"/>
        </w:rPr>
      </w:pPr>
      <w:r w:rsidRPr="000A1C8E">
        <w:rPr>
          <w:rFonts w:cs="Tahoma"/>
          <w:snapToGrid w:val="0"/>
          <w:color w:val="000000"/>
          <w:szCs w:val="18"/>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rsidR="001B413E" w:rsidRPr="000A1C8E" w:rsidRDefault="001B413E" w:rsidP="001B413E">
      <w:pPr>
        <w:numPr>
          <w:ilvl w:val="0"/>
          <w:numId w:val="124"/>
        </w:numPr>
        <w:spacing w:before="120"/>
        <w:ind w:left="1080"/>
        <w:contextualSpacing/>
        <w:jc w:val="both"/>
        <w:rPr>
          <w:rFonts w:cs="Tahoma"/>
        </w:rPr>
      </w:pPr>
      <w:r w:rsidRPr="000A1C8E">
        <w:rPr>
          <w:rFonts w:cs="Tahoma"/>
          <w:snapToGrid w:val="0"/>
          <w:color w:val="000000"/>
          <w:szCs w:val="18"/>
        </w:rPr>
        <w:t>a garantia limitada não se aplica às versões gratuitas, de avaliação, pré-lançamento ou beta dos Serviços Online e</w:t>
      </w:r>
    </w:p>
    <w:p w:rsidR="001B413E" w:rsidRPr="000A1C8E" w:rsidRDefault="001B413E" w:rsidP="001B413E">
      <w:pPr>
        <w:numPr>
          <w:ilvl w:val="0"/>
          <w:numId w:val="124"/>
        </w:numPr>
        <w:spacing w:before="120"/>
        <w:ind w:left="1080"/>
        <w:contextualSpacing/>
        <w:jc w:val="both"/>
        <w:rPr>
          <w:rFonts w:cs="Tahoma"/>
        </w:rPr>
      </w:pPr>
      <w:r w:rsidRPr="000A1C8E">
        <w:rPr>
          <w:rFonts w:cs="Tahoma"/>
          <w:snapToGrid w:val="0"/>
          <w:color w:val="000000"/>
          <w:szCs w:val="18"/>
        </w:rPr>
        <w:t>a garantia limitada não se aplica a problemas causados pela não observância dos requisitos mínimos do sistema.</w:t>
      </w:r>
    </w:p>
    <w:p w:rsidR="001B413E" w:rsidRPr="000A1C8E" w:rsidRDefault="001B413E" w:rsidP="001B413E">
      <w:pPr>
        <w:spacing w:before="120"/>
        <w:ind w:left="720"/>
        <w:jc w:val="both"/>
        <w:rPr>
          <w:rFonts w:cs="Tahoma"/>
        </w:rPr>
      </w:pPr>
      <w:r w:rsidRPr="000A1C8E">
        <w:rPr>
          <w:rFonts w:cs="Tahoma"/>
          <w:b/>
          <w:bCs/>
          <w:snapToGrid w:val="0"/>
          <w:color w:val="000000"/>
          <w:szCs w:val="18"/>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DC6D8B" w:rsidRPr="000A1C8E">
        <w:rPr>
          <w:rFonts w:cs="Tahoma"/>
          <w:b/>
          <w:bCs/>
          <w:snapToGrid w:val="0"/>
          <w:color w:val="000000"/>
          <w:szCs w:val="18"/>
        </w:rPr>
        <w:t xml:space="preserve"> </w:t>
      </w:r>
      <w:r w:rsidRPr="000A1C8E">
        <w:rPr>
          <w:rFonts w:cs="Tahoma"/>
          <w:b/>
          <w:bCs/>
          <w:snapToGrid w:val="0"/>
          <w:color w:val="000000"/>
          <w:szCs w:val="18"/>
        </w:rPr>
        <w:t>A REFERIDA DECLARAÇÃO DE INEXISTÊNCIA DE OUTRAS GARANTIAS APLICAR-SE-Á SEMPRE, SALVO QUANDO A LEI APLICÁVEL NÃO A PERMITIR.</w:t>
      </w:r>
    </w:p>
    <w:p w:rsidR="00E61E5C" w:rsidRPr="000A1C8E" w:rsidRDefault="00E61E5C" w:rsidP="00E61E5C">
      <w:pPr>
        <w:spacing w:before="120" w:after="60"/>
        <w:ind w:left="720"/>
        <w:outlineLvl w:val="0"/>
        <w:rPr>
          <w:rFonts w:cs="Tahoma"/>
          <w:b/>
          <w:bCs/>
          <w:iCs/>
          <w:snapToGrid w:val="0"/>
          <w:szCs w:val="18"/>
        </w:rPr>
      </w:pPr>
    </w:p>
    <w:p w:rsidR="001B413E" w:rsidRPr="000A1C8E" w:rsidRDefault="001B413E" w:rsidP="001B413E">
      <w:pPr>
        <w:keepNext/>
        <w:spacing w:before="120" w:after="60"/>
        <w:ind w:left="720"/>
        <w:outlineLvl w:val="0"/>
        <w:rPr>
          <w:rFonts w:cs="Tahoma"/>
        </w:rPr>
      </w:pPr>
      <w:r w:rsidRPr="000A1C8E">
        <w:rPr>
          <w:rFonts w:cs="Tahoma"/>
          <w:b/>
          <w:bCs/>
          <w:iCs/>
          <w:snapToGrid w:val="0"/>
          <w:szCs w:val="18"/>
        </w:rPr>
        <w:lastRenderedPageBreak/>
        <w:t>Privacidade e segurança.</w:t>
      </w:r>
    </w:p>
    <w:p w:rsidR="001B413E" w:rsidRPr="000A1C8E" w:rsidRDefault="001B413E" w:rsidP="001B413E">
      <w:pPr>
        <w:numPr>
          <w:ilvl w:val="1"/>
          <w:numId w:val="129"/>
        </w:numPr>
        <w:spacing w:before="120"/>
        <w:ind w:left="1080"/>
        <w:contextualSpacing/>
        <w:jc w:val="both"/>
        <w:rPr>
          <w:rFonts w:cs="Tahoma"/>
        </w:rPr>
      </w:pPr>
      <w:r w:rsidRPr="000A1C8E">
        <w:rPr>
          <w:rFonts w:cs="Tahoma"/>
          <w:snapToGrid w:val="0"/>
          <w:color w:val="000000"/>
          <w:szCs w:val="18"/>
        </w:rPr>
        <w:t>A Microsoft e o cliente deverão cumprir todas as leis e regulamentos aplicáveis (inclusive a lei de notificação de violação de segurança aplicável).</w:t>
      </w:r>
      <w:r w:rsidR="00DC6D8B" w:rsidRPr="000A1C8E">
        <w:rPr>
          <w:rFonts w:cs="Tahoma"/>
          <w:snapToGrid w:val="0"/>
          <w:color w:val="000000"/>
          <w:szCs w:val="18"/>
        </w:rPr>
        <w:t xml:space="preserve"> </w:t>
      </w:r>
      <w:r w:rsidRPr="000A1C8E">
        <w:rPr>
          <w:rFonts w:cs="Tahoma"/>
          <w:snapToGrid w:val="0"/>
          <w:color w:val="000000"/>
          <w:szCs w:val="18"/>
        </w:rPr>
        <w:t>No entanto, a Microsoft não é responsável pelo cumprimento de nenhuma lei ou regulamento aplicável ao cliente ou ao seu setor de atividade e que não seja geralmente aplicável a services providers de tecnologia da informação.</w:t>
      </w:r>
      <w:r w:rsidR="00DC6D8B" w:rsidRPr="000A1C8E">
        <w:rPr>
          <w:rFonts w:cs="Tahoma"/>
          <w:snapToGrid w:val="0"/>
          <w:color w:val="000000"/>
          <w:szCs w:val="18"/>
        </w:rPr>
        <w:t xml:space="preserve"> </w:t>
      </w:r>
      <w:r w:rsidRPr="000A1C8E">
        <w:rPr>
          <w:rFonts w:cs="Tahoma"/>
          <w:snapToGrid w:val="0"/>
          <w:color w:val="000000"/>
          <w:szCs w:val="18"/>
        </w:rPr>
        <w:t>O Cliente autoriza o processamento de informações pessoais pela Microsoft e seus representantes para facilitar o assunto em questão deste Contrato, incluindo esses Termos Complementares.</w:t>
      </w:r>
    </w:p>
    <w:p w:rsidR="001B413E" w:rsidRPr="000A1C8E" w:rsidRDefault="001B413E" w:rsidP="001B413E">
      <w:pPr>
        <w:numPr>
          <w:ilvl w:val="1"/>
          <w:numId w:val="129"/>
        </w:numPr>
        <w:spacing w:before="120"/>
        <w:ind w:left="1080"/>
        <w:contextualSpacing/>
        <w:jc w:val="both"/>
        <w:rPr>
          <w:rFonts w:cs="Tahoma"/>
        </w:rPr>
      </w:pPr>
      <w:r w:rsidRPr="000A1C8E">
        <w:rPr>
          <w:rFonts w:cs="Tahoma"/>
          <w:snapToGrid w:val="0"/>
          <w:color w:val="000000"/>
          <w:szCs w:val="18"/>
        </w:rPr>
        <w:t>O Cliente poderá decidir fornecer informações pessoais à Microsoft em nome de terceiros (incluindo os contatos, revendedores, distribuidores e administradores, e funcionários do cliente) junto com o uso dos Serviços Online ou como parte do Contrato.</w:t>
      </w:r>
      <w:r w:rsidR="00DC6D8B" w:rsidRPr="000A1C8E">
        <w:rPr>
          <w:rFonts w:cs="Tahoma"/>
          <w:snapToGrid w:val="0"/>
          <w:color w:val="000000"/>
          <w:szCs w:val="18"/>
        </w:rPr>
        <w:t xml:space="preserve"> </w:t>
      </w:r>
      <w:r w:rsidRPr="000A1C8E">
        <w:rPr>
          <w:rFonts w:cs="Tahoma"/>
          <w:snapToGrid w:val="0"/>
          <w:color w:val="000000"/>
          <w:szCs w:val="18"/>
        </w:rPr>
        <w:t>O Cliente obterá todos os consentimentos necessários de terceiros relacionados às leis de proteção de dados e privacidade aplicáveis antes de fornecer informações pessoais à Microsoft.</w:t>
      </w:r>
    </w:p>
    <w:p w:rsidR="001B413E" w:rsidRPr="000A1C8E" w:rsidRDefault="001B413E" w:rsidP="001B413E">
      <w:pPr>
        <w:numPr>
          <w:ilvl w:val="1"/>
          <w:numId w:val="129"/>
        </w:numPr>
        <w:spacing w:before="120"/>
        <w:ind w:left="1080"/>
        <w:contextualSpacing/>
        <w:jc w:val="both"/>
        <w:rPr>
          <w:rFonts w:cs="Tahoma"/>
        </w:rPr>
      </w:pPr>
      <w:r w:rsidRPr="000A1C8E">
        <w:rPr>
          <w:rFonts w:cs="Tahoma"/>
          <w:snapToGrid w:val="0"/>
          <w:color w:val="000000"/>
          <w:szCs w:val="18"/>
        </w:rPr>
        <w:t xml:space="preserve">As informações pessoais fornecidas pelo cliente em razão deste Contrato ou do uso dos Serviços Online serão processadas de acordo com a política de privacidade disponível no site </w:t>
      </w:r>
      <w:hyperlink r:id="rId36" w:history="1">
        <w:r w:rsidRPr="000A1C8E">
          <w:rPr>
            <w:rFonts w:cs="Tahoma"/>
            <w:snapToGrid w:val="0"/>
            <w:color w:val="0000FF"/>
            <w:szCs w:val="18"/>
            <w:u w:val="single"/>
          </w:rPr>
          <w:t>https://www.microsoft.com/licensing/servicecenter</w:t>
        </w:r>
      </w:hyperlink>
      <w:r w:rsidRPr="000A1C8E">
        <w:rPr>
          <w:rFonts w:cs="Tahoma"/>
          <w:snapToGrid w:val="0"/>
          <w:color w:val="000000"/>
          <w:szCs w:val="18"/>
        </w:rPr>
        <w:t>, desde que as políticas de privacidade específicas do Produto e os detalhes de segurança e privacidade adicionais relacionados aos Serviços Online específicos estejam nos Direitos de Uso do Produto.</w:t>
      </w:r>
      <w:r w:rsidR="00DC6D8B" w:rsidRPr="000A1C8E">
        <w:rPr>
          <w:rFonts w:cs="Tahoma"/>
          <w:snapToGrid w:val="0"/>
          <w:color w:val="000000"/>
          <w:szCs w:val="18"/>
        </w:rPr>
        <w:t xml:space="preserve"> </w:t>
      </w:r>
      <w:r w:rsidRPr="000A1C8E">
        <w:rPr>
          <w:rFonts w:cs="Tahoma"/>
          <w:snapToGrid w:val="0"/>
          <w:color w:val="000000"/>
          <w:szCs w:val="18"/>
        </w:rPr>
        <w:t>Dados pessoais coletados pelos Serviços Online podem ser transferidos, armazenados e processados nos Estados Unidos ou em qualquer outro país no qual a Microsoft ou service providers mantenham instalações.</w:t>
      </w:r>
      <w:r w:rsidR="00DC6D8B" w:rsidRPr="000A1C8E">
        <w:rPr>
          <w:rFonts w:cs="Tahoma"/>
          <w:snapToGrid w:val="0"/>
          <w:color w:val="000000"/>
          <w:szCs w:val="18"/>
        </w:rPr>
        <w:t xml:space="preserve"> </w:t>
      </w:r>
      <w:r w:rsidRPr="000A1C8E">
        <w:rPr>
          <w:rFonts w:cs="Tahoma"/>
          <w:snapToGrid w:val="0"/>
          <w:color w:val="000000"/>
          <w:szCs w:val="18"/>
        </w:rPr>
        <w:t>Ao usar os Serviços Online, o cliente consente com o exposto acima.</w:t>
      </w:r>
      <w:r w:rsidR="00DC6D8B" w:rsidRPr="000A1C8E">
        <w:rPr>
          <w:rFonts w:cs="Tahoma"/>
          <w:snapToGrid w:val="0"/>
          <w:color w:val="000000"/>
          <w:szCs w:val="18"/>
        </w:rPr>
        <w:t xml:space="preserve"> </w:t>
      </w:r>
      <w:r w:rsidRPr="000A1C8E">
        <w:rPr>
          <w:rFonts w:cs="Tahoma"/>
          <w:snapToGrid w:val="0"/>
          <w:color w:val="000000"/>
          <w:szCs w:val="18"/>
        </w:rPr>
        <w:t>A Microsoft segue as estruturas de "EU Safe Harbor" (porto seguro americano) e “Swiss Safe Harbor” (porto seguro suíço) estabelecidas pelo Departamento de Comércio dos Estados Unidos da América para a coleta, o uso e a retenção de dados coletados na União Europeia, Área Econômica Europeia e Suíça.</w:t>
      </w:r>
      <w:r w:rsidR="00DC6D8B" w:rsidRPr="000A1C8E">
        <w:rPr>
          <w:rFonts w:cs="Tahoma"/>
          <w:snapToGrid w:val="0"/>
          <w:color w:val="000000"/>
          <w:szCs w:val="18"/>
        </w:rPr>
        <w:t xml:space="preserve"> </w:t>
      </w:r>
    </w:p>
    <w:p w:rsidR="001B413E" w:rsidRPr="000A1C8E" w:rsidRDefault="001B413E" w:rsidP="001B413E">
      <w:pPr>
        <w:keepNext/>
        <w:spacing w:before="120" w:after="60"/>
        <w:ind w:left="720"/>
        <w:outlineLvl w:val="0"/>
        <w:rPr>
          <w:rFonts w:cs="Tahoma"/>
        </w:rPr>
      </w:pPr>
      <w:r w:rsidRPr="000A1C8E">
        <w:rPr>
          <w:rFonts w:cs="Tahoma"/>
          <w:b/>
          <w:bCs/>
          <w:iCs/>
          <w:snapToGrid w:val="0"/>
          <w:szCs w:val="18"/>
        </w:rPr>
        <w:t>Compromisso de proteção do cliente.</w:t>
      </w:r>
    </w:p>
    <w:p w:rsidR="001B413E" w:rsidRPr="000A1C8E" w:rsidRDefault="001B413E" w:rsidP="001B413E">
      <w:pPr>
        <w:ind w:left="720"/>
        <w:jc w:val="both"/>
        <w:rPr>
          <w:rFonts w:cs="Tahoma"/>
        </w:rPr>
      </w:pPr>
      <w:r w:rsidRPr="000A1C8E">
        <w:rPr>
          <w:rFonts w:cs="Tahoma"/>
          <w:snapToGrid w:val="0"/>
          <w:color w:val="000000"/>
          <w:szCs w:val="18"/>
        </w:rPr>
        <w:t>O Cliente defenderá a Microsoft contra qualquer requerimento judicial ou extrajudicial feito por terceiros não afiliados que:</w:t>
      </w:r>
    </w:p>
    <w:p w:rsidR="001B413E" w:rsidRPr="000A1C8E" w:rsidRDefault="001B413E" w:rsidP="001B413E">
      <w:pPr>
        <w:numPr>
          <w:ilvl w:val="0"/>
          <w:numId w:val="130"/>
        </w:numPr>
        <w:spacing w:before="120"/>
        <w:ind w:left="1260" w:hanging="540"/>
        <w:contextualSpacing/>
        <w:jc w:val="both"/>
        <w:rPr>
          <w:rFonts w:cs="Tahoma"/>
        </w:rPr>
      </w:pPr>
      <w:r w:rsidRPr="000A1C8E">
        <w:rPr>
          <w:rFonts w:cs="Tahoma"/>
          <w:snapToGrid w:val="0"/>
          <w:color w:val="000000"/>
          <w:szCs w:val="18"/>
        </w:rPr>
        <w:t>quaisquer Dados do Cliente ou software que não seja da Microsoft que a Microsoft hospeda em nome do cliente violam a patente, os direitos autorais ou a marca comercial de terceiros ou fazem uso ilegal do Segredo Comercial ou</w:t>
      </w:r>
    </w:p>
    <w:p w:rsidR="001B413E" w:rsidRPr="000A1C8E" w:rsidRDefault="001B413E" w:rsidP="001B413E">
      <w:pPr>
        <w:numPr>
          <w:ilvl w:val="0"/>
          <w:numId w:val="130"/>
        </w:numPr>
        <w:spacing w:before="120"/>
        <w:ind w:left="1260" w:hanging="540"/>
        <w:contextualSpacing/>
        <w:jc w:val="both"/>
        <w:rPr>
          <w:rFonts w:cs="Tahoma"/>
        </w:rPr>
      </w:pPr>
      <w:r w:rsidRPr="000A1C8E">
        <w:rPr>
          <w:rFonts w:cs="Tahoma"/>
          <w:snapToGrid w:val="0"/>
          <w:color w:val="000000"/>
          <w:szCs w:val="18"/>
        </w:rPr>
        <w:t>seja decorrente da violação dos termos da Política de Uso Aceitável, descrita nos Direitos de Uso do Produto.</w:t>
      </w:r>
    </w:p>
    <w:p w:rsidR="001B413E" w:rsidRPr="000A1C8E" w:rsidRDefault="001B413E" w:rsidP="001B413E">
      <w:pPr>
        <w:spacing w:before="120"/>
        <w:ind w:left="720"/>
        <w:jc w:val="both"/>
        <w:rPr>
          <w:rFonts w:cs="Tahoma"/>
        </w:rPr>
      </w:pPr>
      <w:r w:rsidRPr="000A1C8E">
        <w:rPr>
          <w:rFonts w:cs="Tahoma"/>
          <w:snapToGrid w:val="0"/>
          <w:color w:val="000000"/>
          <w:szCs w:val="18"/>
        </w:rPr>
        <w:t>O Cliente deverá pagar o valor resultante de qualquer decisão judicial desfavorável transitada em julgado (ou acordo ratificado pelo cliente).</w:t>
      </w:r>
      <w:r w:rsidR="00DC6D8B" w:rsidRPr="000A1C8E">
        <w:rPr>
          <w:rFonts w:cs="Tahoma"/>
          <w:snapToGrid w:val="0"/>
          <w:color w:val="000000"/>
          <w:szCs w:val="18"/>
        </w:rPr>
        <w:t xml:space="preserve"> </w:t>
      </w:r>
      <w:r w:rsidRPr="000A1C8E">
        <w:rPr>
          <w:rFonts w:cs="Tahoma"/>
          <w:snapToGrid w:val="0"/>
          <w:color w:val="000000"/>
          <w:szCs w:val="18"/>
        </w:rPr>
        <w:t>A presente seção estabelece o recurso exclusivo disponível da Microsoft para esses requerimentos judiciais ou extrajudiciais.</w:t>
      </w:r>
    </w:p>
    <w:p w:rsidR="001B413E" w:rsidRPr="000A1C8E" w:rsidRDefault="001B413E" w:rsidP="001B413E">
      <w:pPr>
        <w:spacing w:before="120"/>
        <w:ind w:left="720"/>
        <w:jc w:val="both"/>
        <w:rPr>
          <w:rFonts w:cs="Tahoma"/>
        </w:rPr>
      </w:pPr>
      <w:r w:rsidRPr="000A1C8E">
        <w:rPr>
          <w:rFonts w:cs="Tahoma"/>
          <w:snapToGrid w:val="0"/>
          <w:color w:val="000000"/>
          <w:szCs w:val="18"/>
        </w:rPr>
        <w:t>A Microsoft deverá notificar imediatamente o cliente por escrito sobre um requerimento judicial ou extrajudicial sujeito a esta seção.</w:t>
      </w:r>
      <w:r w:rsidR="00DC6D8B" w:rsidRPr="000A1C8E">
        <w:rPr>
          <w:rFonts w:cs="Tahoma"/>
          <w:snapToGrid w:val="0"/>
          <w:color w:val="000000"/>
          <w:szCs w:val="18"/>
        </w:rPr>
        <w:t xml:space="preserve"> </w:t>
      </w:r>
      <w:r w:rsidRPr="000A1C8E">
        <w:rPr>
          <w:rFonts w:cs="Tahoma"/>
          <w:snapToGrid w:val="0"/>
          <w:color w:val="000000"/>
          <w:szCs w:val="18"/>
        </w:rPr>
        <w:t>A Microsoft (1) fornecerá ao cliente controle exclusivo de sua defesa ou acordo referente a tal requerimento e (2) fornecerá assistência razoável na defesa do requerimento. O cliente reembolsará a Microsoft por qualquer despesa razoável incorrida na prestação dessa assistência.</w:t>
      </w:r>
    </w:p>
    <w:p w:rsidR="001B413E" w:rsidRPr="000A1C8E" w:rsidRDefault="001B413E" w:rsidP="001B413E">
      <w:pPr>
        <w:keepNext/>
        <w:spacing w:before="120" w:after="60"/>
        <w:ind w:left="720"/>
        <w:outlineLvl w:val="0"/>
        <w:rPr>
          <w:rFonts w:cs="Tahoma"/>
        </w:rPr>
      </w:pPr>
      <w:r w:rsidRPr="000A1C8E">
        <w:rPr>
          <w:rFonts w:cs="Tahoma"/>
          <w:b/>
          <w:bCs/>
          <w:iCs/>
          <w:snapToGrid w:val="0"/>
          <w:szCs w:val="18"/>
        </w:rPr>
        <w:t>Limitação de responsabilidade.</w:t>
      </w:r>
    </w:p>
    <w:p w:rsidR="001B413E" w:rsidRPr="000A1C8E" w:rsidRDefault="001B413E" w:rsidP="001B413E">
      <w:pPr>
        <w:ind w:left="720"/>
        <w:jc w:val="both"/>
        <w:rPr>
          <w:rFonts w:cs="Tahoma"/>
        </w:rPr>
      </w:pPr>
      <w:r w:rsidRPr="000A1C8E">
        <w:rPr>
          <w:rFonts w:cs="Tahoma"/>
          <w:snapToGrid w:val="0"/>
          <w:color w:val="000000"/>
          <w:szCs w:val="18"/>
        </w:rPr>
        <w:t>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w:t>
      </w:r>
      <w:r w:rsidR="00DC6D8B" w:rsidRPr="000A1C8E">
        <w:rPr>
          <w:rFonts w:cs="Tahoma"/>
          <w:snapToGrid w:val="0"/>
          <w:color w:val="000000"/>
          <w:szCs w:val="18"/>
        </w:rPr>
        <w:t xml:space="preserve"> </w:t>
      </w:r>
      <w:r w:rsidRPr="000A1C8E">
        <w:rPr>
          <w:rFonts w:cs="Tahoma"/>
          <w:snapToGrid w:val="0"/>
          <w:color w:val="000000"/>
          <w:szCs w:val="18"/>
        </w:rPr>
        <w:t>Essas limitações se aplicam independentemente de a obrigação se basear em violação de contrato, ato ilícito extracontratual (incluindo negligência), responsabilidade objetiva, violação das garantias ou qualquer outro embasamento jurídico.</w:t>
      </w:r>
      <w:r w:rsidR="00DC6D8B" w:rsidRPr="000A1C8E">
        <w:rPr>
          <w:rFonts w:cs="Tahoma"/>
          <w:snapToGrid w:val="0"/>
          <w:color w:val="000000"/>
          <w:szCs w:val="18"/>
        </w:rPr>
        <w:t xml:space="preserve"> </w:t>
      </w:r>
      <w:r w:rsidRPr="000A1C8E">
        <w:rPr>
          <w:rFonts w:cs="Tahoma"/>
          <w:snapToGrid w:val="0"/>
          <w:color w:val="000000"/>
          <w:szCs w:val="18"/>
        </w:rPr>
        <w:t>No entanto, essas limitações monetárias não se aplicarão a:</w:t>
      </w:r>
    </w:p>
    <w:p w:rsidR="001B413E" w:rsidRPr="000A1C8E" w:rsidRDefault="001B413E" w:rsidP="001B413E">
      <w:pPr>
        <w:numPr>
          <w:ilvl w:val="0"/>
          <w:numId w:val="125"/>
        </w:numPr>
        <w:spacing w:before="120"/>
        <w:ind w:left="1170" w:hanging="450"/>
        <w:contextualSpacing/>
        <w:jc w:val="both"/>
        <w:rPr>
          <w:rFonts w:cs="Tahoma"/>
        </w:rPr>
      </w:pPr>
      <w:r w:rsidRPr="000A1C8E">
        <w:rPr>
          <w:rFonts w:cs="Tahoma"/>
          <w:snapToGrid w:val="0"/>
          <w:color w:val="000000"/>
          <w:szCs w:val="18"/>
        </w:rPr>
        <w:t>obrigações da Microsoft de acordo com a seção do Master Agreement intitulada "Defesa contra violação, apropriação indébita e requerimentos judiciais ou extrajudiciais de terceiros" ou obrigações do cliente de acordo com a seção dos Termos Complementares intitulada “Compromisso de proteção do cliente”;</w:t>
      </w:r>
    </w:p>
    <w:p w:rsidR="001B413E" w:rsidRPr="000A1C8E" w:rsidRDefault="001B413E" w:rsidP="001B413E">
      <w:pPr>
        <w:numPr>
          <w:ilvl w:val="0"/>
          <w:numId w:val="125"/>
        </w:numPr>
        <w:spacing w:before="120"/>
        <w:ind w:left="1170" w:hanging="450"/>
        <w:contextualSpacing/>
        <w:jc w:val="both"/>
        <w:rPr>
          <w:rFonts w:cs="Tahoma"/>
        </w:rPr>
      </w:pPr>
      <w:r w:rsidRPr="000A1C8E">
        <w:rPr>
          <w:rFonts w:cs="Tahoma"/>
          <w:snapToGrid w:val="0"/>
          <w:color w:val="000000"/>
          <w:szCs w:val="18"/>
        </w:rP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rsidR="001B413E" w:rsidRPr="000A1C8E" w:rsidRDefault="001B413E" w:rsidP="001B413E">
      <w:pPr>
        <w:numPr>
          <w:ilvl w:val="0"/>
          <w:numId w:val="125"/>
        </w:numPr>
        <w:spacing w:before="120"/>
        <w:ind w:left="1170" w:hanging="450"/>
        <w:contextualSpacing/>
        <w:jc w:val="both"/>
        <w:rPr>
          <w:rFonts w:cs="Tahoma"/>
        </w:rPr>
      </w:pPr>
      <w:r w:rsidRPr="000A1C8E">
        <w:rPr>
          <w:rFonts w:cs="Tahoma"/>
          <w:snapToGrid w:val="0"/>
          <w:color w:val="000000"/>
          <w:szCs w:val="18"/>
        </w:rPr>
        <w:t>violação por uma parte dos direitos de propriedade intelectual da outra parte.</w:t>
      </w:r>
    </w:p>
    <w:p w:rsidR="001B413E" w:rsidRPr="000A1C8E" w:rsidRDefault="001B413E" w:rsidP="001B413E">
      <w:pPr>
        <w:spacing w:before="120"/>
        <w:ind w:left="720"/>
        <w:jc w:val="both"/>
        <w:rPr>
          <w:rFonts w:cs="Tahoma"/>
        </w:rPr>
      </w:pPr>
      <w:r w:rsidRPr="000A1C8E">
        <w:rPr>
          <w:rFonts w:cs="Tahoma"/>
          <w:b/>
          <w:bCs/>
          <w:snapToGrid w:val="0"/>
          <w:color w:val="000000"/>
          <w:szCs w:val="18"/>
        </w:rPr>
        <w:t xml:space="preserve">NA EXTENSÃO MÁXIMA PERMITIDA PELA LEI APLICÁVEL, INDEPENDENTEMENTE DO FUNDAMENTO JURÍDICO DO REQUERIMENTO JUDICIAL OU EXTRAJUDICIAL, NENHUMA DAS </w:t>
      </w:r>
      <w:r w:rsidRPr="000A1C8E">
        <w:rPr>
          <w:rFonts w:cs="Tahoma"/>
          <w:b/>
          <w:bCs/>
          <w:snapToGrid w:val="0"/>
          <w:color w:val="000000"/>
          <w:szCs w:val="18"/>
        </w:rPr>
        <w:lastRenderedPageBreak/>
        <w:t>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DC6D8B" w:rsidRPr="000A1C8E">
        <w:rPr>
          <w:rFonts w:cs="Tahoma"/>
          <w:b/>
          <w:bCs/>
          <w:snapToGrid w:val="0"/>
          <w:color w:val="000000"/>
          <w:szCs w:val="18"/>
        </w:rPr>
        <w:t xml:space="preserve"> </w:t>
      </w:r>
      <w:r w:rsidRPr="000A1C8E">
        <w:rPr>
          <w:rFonts w:cs="Tahoma"/>
          <w:b/>
          <w:bCs/>
          <w:snapToGrid w:val="0"/>
          <w:color w:val="000000"/>
          <w:szCs w:val="18"/>
        </w:rPr>
        <w:t>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"DEFESA CONTRA VIOLAÇÃO, APROPRIAÇÃO INDÉBITA E REQUERIMENTOS JUDICIAIS OU EXTRAJUDICIAIS DE TERCEIROS" OU OBRIGAÇÕES DO CLIENTE DE ACORDO COM A SEÇÃO DOS TERMOS COMPLEMENTARES INTITULADA "COMPROMISSO DE PROTEÇÃO DO CLIENTE".</w:t>
      </w:r>
    </w:p>
    <w:p w:rsidR="001B413E" w:rsidRPr="000A1C8E" w:rsidRDefault="001B413E" w:rsidP="001B413E">
      <w:pPr>
        <w:keepNext/>
        <w:spacing w:before="120" w:after="60"/>
        <w:ind w:left="720"/>
        <w:outlineLvl w:val="0"/>
        <w:rPr>
          <w:rFonts w:cs="Tahoma"/>
        </w:rPr>
      </w:pPr>
      <w:r w:rsidRPr="000A1C8E">
        <w:rPr>
          <w:rFonts w:cs="Tahoma"/>
          <w:b/>
          <w:bCs/>
          <w:iCs/>
          <w:snapToGrid w:val="0"/>
          <w:szCs w:val="18"/>
        </w:rPr>
        <w:t>Subcontratados.</w:t>
      </w:r>
    </w:p>
    <w:p w:rsidR="008A1637" w:rsidRPr="000A1C8E" w:rsidRDefault="001B413E" w:rsidP="001B413E">
      <w:pPr>
        <w:ind w:left="720" w:right="720"/>
        <w:rPr>
          <w:rFonts w:cs="Tahoma"/>
        </w:rPr>
      </w:pPr>
      <w:r w:rsidRPr="000A1C8E">
        <w:rPr>
          <w:rFonts w:cs="Tahoma"/>
          <w:snapToGrid w:val="0"/>
          <w:szCs w:val="18"/>
        </w:rPr>
        <w:t>A Microsoft usará Prestadores de Serviços para dar suporte aos Serviços Online.</w:t>
      </w:r>
      <w:r w:rsidR="00DC6D8B" w:rsidRPr="000A1C8E">
        <w:rPr>
          <w:rFonts w:cs="Tahoma"/>
          <w:snapToGrid w:val="0"/>
          <w:szCs w:val="18"/>
        </w:rPr>
        <w:t xml:space="preserve"> </w:t>
      </w:r>
      <w:r w:rsidRPr="000A1C8E">
        <w:rPr>
          <w:rFonts w:cs="Tahoma"/>
          <w:snapToGrid w:val="0"/>
          <w:szCs w:val="18"/>
        </w:rPr>
        <w:t>A Microsoft se responsabiliza pelo desempenho deles, sujeitos aos termos do contrato de Licenciamento por Volume do Cliente.</w:t>
      </w:r>
    </w:p>
    <w:p w:rsidR="00023FE7" w:rsidRPr="000A1C8E" w:rsidRDefault="008A1637" w:rsidP="0033459E">
      <w:pPr>
        <w:pStyle w:val="Heading1"/>
        <w:rPr>
          <w:rFonts w:cs="Tahoma"/>
        </w:rPr>
      </w:pPr>
      <w:r w:rsidRPr="000A1C8E">
        <w:rPr>
          <w:rFonts w:cs="Tahoma"/>
        </w:rPr>
        <w:br w:type="page"/>
      </w:r>
      <w:bookmarkStart w:id="950" w:name="_Toc336338255"/>
      <w:bookmarkStart w:id="951" w:name="_Toc361829340"/>
      <w:r w:rsidRPr="000A1C8E">
        <w:rPr>
          <w:rFonts w:cs="Tahoma"/>
        </w:rPr>
        <w:lastRenderedPageBreak/>
        <w:t>NoTAS do Produto</w:t>
      </w:r>
      <w:bookmarkEnd w:id="950"/>
      <w:bookmarkEnd w:id="951"/>
    </w:p>
    <w:p w:rsidR="00023FE7" w:rsidRPr="000A1C8E" w:rsidRDefault="00023FE7">
      <w:pPr>
        <w:pStyle w:val="Heading2"/>
        <w:ind w:hanging="540"/>
        <w:rPr>
          <w:rFonts w:ascii="Tahoma" w:hAnsi="Tahoma" w:cs="Tahoma"/>
        </w:rPr>
      </w:pPr>
    </w:p>
    <w:p w:rsidR="00023FE7" w:rsidRPr="000A1C8E" w:rsidRDefault="00023FE7">
      <w:pPr>
        <w:pStyle w:val="Heading2"/>
        <w:ind w:left="0"/>
        <w:rPr>
          <w:rFonts w:ascii="Tahoma" w:hAnsi="Tahoma" w:cs="Tahoma"/>
        </w:rPr>
      </w:pPr>
      <w:bookmarkStart w:id="952" w:name="_Toc336338256"/>
      <w:bookmarkStart w:id="953" w:name="_Toc361829341"/>
      <w:r w:rsidRPr="000A1C8E">
        <w:rPr>
          <w:rFonts w:ascii="Tahoma" w:hAnsi="Tahoma" w:cs="Tahoma"/>
          <w:sz w:val="28"/>
        </w:rPr>
        <w:t>Pool de Aplicativos</w:t>
      </w:r>
      <w:bookmarkEnd w:id="952"/>
      <w:bookmarkEnd w:id="953"/>
    </w:p>
    <w:p w:rsidR="00023FE7" w:rsidRPr="000A1C8E" w:rsidRDefault="00023FE7" w:rsidP="00D94745">
      <w:pPr>
        <w:rPr>
          <w:rFonts w:cs="Tahoma"/>
        </w:rPr>
      </w:pPr>
      <w:bookmarkStart w:id="954" w:name="_1_Data_Analyzer"/>
      <w:bookmarkStart w:id="955" w:name="Aps_1BingMapsDesktopandContentPack"/>
      <w:bookmarkEnd w:id="954"/>
    </w:p>
    <w:p w:rsidR="004A2FC2" w:rsidRPr="000A1C8E" w:rsidRDefault="004A2FC2" w:rsidP="004A2FC2">
      <w:pPr>
        <w:rPr>
          <w:rFonts w:cs="Tahoma"/>
        </w:rPr>
      </w:pPr>
      <w:bookmarkStart w:id="956" w:name="Aps_ExpStudioproducts"/>
      <w:bookmarkStart w:id="957" w:name="Aps_ExpStudio2"/>
      <w:bookmarkStart w:id="958" w:name="Aps_1ExpStudio3"/>
      <w:bookmarkEnd w:id="955"/>
    </w:p>
    <w:p w:rsidR="00176313" w:rsidRPr="000A1C8E" w:rsidRDefault="00B54C21" w:rsidP="004A2FC2">
      <w:pPr>
        <w:pStyle w:val="Heading3"/>
        <w:ind w:left="180" w:hanging="180"/>
        <w:rPr>
          <w:rFonts w:ascii="Tahoma" w:hAnsi="Tahoma" w:cs="Tahoma"/>
        </w:rPr>
      </w:pPr>
      <w:bookmarkStart w:id="959" w:name="_12_Expression_Encoder"/>
      <w:bookmarkStart w:id="960" w:name="_1_Expression_Encoder"/>
      <w:bookmarkStart w:id="961" w:name="_Toc336338258"/>
      <w:bookmarkStart w:id="962" w:name="_Toc361829342"/>
      <w:bookmarkEnd w:id="959"/>
      <w:bookmarkEnd w:id="960"/>
      <w:r w:rsidRPr="000A1C8E">
        <w:rPr>
          <w:rFonts w:ascii="Tahoma" w:hAnsi="Tahoma" w:cs="Tahoma"/>
          <w:caps/>
          <w:color w:val="F66400"/>
          <w:sz w:val="22"/>
          <w:vertAlign w:val="superscript"/>
        </w:rPr>
        <w:t>1</w:t>
      </w:r>
      <w:r w:rsidRPr="000A1C8E">
        <w:rPr>
          <w:rFonts w:ascii="Tahoma" w:hAnsi="Tahoma" w:cs="Tahoma"/>
          <w:color w:val="F66400"/>
          <w:sz w:val="22"/>
        </w:rPr>
        <w:t xml:space="preserve"> Expression Encoder Pro 4</w:t>
      </w:r>
      <w:bookmarkEnd w:id="956"/>
      <w:bookmarkEnd w:id="961"/>
      <w:bookmarkEnd w:id="962"/>
    </w:p>
    <w:p w:rsidR="00176313" w:rsidRPr="000A1C8E" w:rsidRDefault="00176313" w:rsidP="004A2FC2">
      <w:pPr>
        <w:rPr>
          <w:rFonts w:cs="Tahoma"/>
        </w:rPr>
      </w:pPr>
    </w:p>
    <w:p w:rsidR="00176313" w:rsidRPr="000A1C8E" w:rsidRDefault="00176313" w:rsidP="00864B8A">
      <w:pPr>
        <w:spacing w:after="60"/>
        <w:ind w:left="720"/>
        <w:rPr>
          <w:rFonts w:cs="Tahoma"/>
        </w:rPr>
      </w:pPr>
      <w:r w:rsidRPr="000A1C8E">
        <w:rPr>
          <w:rFonts w:cs="Tahoma"/>
          <w:b/>
          <w:szCs w:val="20"/>
        </w:rPr>
        <w:t>Expression Encoder Pro 4</w:t>
      </w:r>
    </w:p>
    <w:p w:rsidR="00176313" w:rsidRPr="000A1C8E" w:rsidRDefault="00176313" w:rsidP="00E61E5C">
      <w:pPr>
        <w:ind w:left="720"/>
        <w:rPr>
          <w:rFonts w:cs="Tahoma"/>
        </w:rPr>
      </w:pPr>
      <w:r w:rsidRPr="000A1C8E">
        <w:rPr>
          <w:rFonts w:cs="Tahoma"/>
          <w:color w:val="000000"/>
          <w:szCs w:val="18"/>
        </w:rPr>
        <w:t>A linha de produtos Expression foi atualizada.</w:t>
      </w:r>
      <w:r w:rsidR="00DC6D8B" w:rsidRPr="000A1C8E">
        <w:rPr>
          <w:rFonts w:cs="Tahoma"/>
          <w:color w:val="000000"/>
          <w:szCs w:val="18"/>
        </w:rPr>
        <w:t xml:space="preserve"> </w:t>
      </w:r>
      <w:r w:rsidRPr="000A1C8E">
        <w:rPr>
          <w:rFonts w:cs="Tahoma"/>
          <w:color w:val="000000"/>
          <w:szCs w:val="18"/>
        </w:rPr>
        <w:t>Somente a marca do produto foi alterada; o software da versão 3 e o software da versão 4 são os mesmos.</w:t>
      </w:r>
      <w:r w:rsidR="00DC6D8B" w:rsidRPr="000A1C8E">
        <w:rPr>
          <w:rFonts w:cs="Tahoma"/>
          <w:color w:val="000000"/>
          <w:szCs w:val="18"/>
        </w:rPr>
        <w:t xml:space="preserve"> </w:t>
      </w:r>
      <w:r w:rsidRPr="000A1C8E">
        <w:rPr>
          <w:rFonts w:cs="Tahoma"/>
          <w:color w:val="000000"/>
          <w:szCs w:val="18"/>
        </w:rPr>
        <w:t>Dessa forma, os clientes licenciados para os produtos da</w:t>
      </w:r>
      <w:r w:rsidR="00E61E5C" w:rsidRPr="000A1C8E">
        <w:rPr>
          <w:rFonts w:cs="Tahoma"/>
          <w:color w:val="000000"/>
          <w:szCs w:val="18"/>
        </w:rPr>
        <w:t> </w:t>
      </w:r>
      <w:r w:rsidRPr="000A1C8E">
        <w:rPr>
          <w:rFonts w:cs="Tahoma"/>
          <w:color w:val="000000"/>
          <w:szCs w:val="18"/>
        </w:rPr>
        <w:t>versão 3 serão considerados licenciados para os produtos correspondentes da versão 4 (conforme apresentado abaixo) e poderão usar o software marcado como versão 4 em vez do software marcado como</w:t>
      </w:r>
      <w:r w:rsidR="00E61E5C" w:rsidRPr="000A1C8E">
        <w:rPr>
          <w:rFonts w:cs="Tahoma"/>
          <w:color w:val="000000"/>
          <w:szCs w:val="18"/>
        </w:rPr>
        <w:t> </w:t>
      </w:r>
      <w:r w:rsidRPr="000A1C8E">
        <w:rPr>
          <w:rFonts w:cs="Tahoma"/>
          <w:color w:val="000000"/>
          <w:szCs w:val="18"/>
        </w:rPr>
        <w:t>versão 3. O direito de usar o software continua a ser regido pelos termos e pelas condições do contrato de Licenciamento por Volume do Cliente e pelos direitos de uso de produto do software conforme suplementado por esta nota de condição de produto.</w:t>
      </w:r>
      <w:r w:rsidR="00DC6D8B" w:rsidRPr="000A1C8E">
        <w:rPr>
          <w:rFonts w:cs="Tahoma"/>
          <w:color w:val="000000"/>
          <w:szCs w:val="18"/>
        </w:rPr>
        <w:t xml:space="preserve"> </w:t>
      </w:r>
      <w:r w:rsidRPr="000A1C8E">
        <w:rPr>
          <w:rFonts w:cs="Tahoma"/>
          <w:color w:val="000000"/>
          <w:szCs w:val="18"/>
        </w:rPr>
        <w:t>A atualização não abrange a garantia nem qualquer obrigação de suporte da Microsoft relacionada à cobertura de Software Assurance dos produtos.</w:t>
      </w:r>
    </w:p>
    <w:p w:rsidR="00973A93" w:rsidRPr="000A1C8E" w:rsidRDefault="00973A93">
      <w:pPr>
        <w:rPr>
          <w:rFonts w:cs="Tahoma"/>
        </w:rPr>
      </w:pPr>
    </w:p>
    <w:p w:rsidR="004A2FC2" w:rsidRPr="000A1C8E" w:rsidRDefault="004A2FC2" w:rsidP="004A2FC2">
      <w:pPr>
        <w:rPr>
          <w:rFonts w:cs="Tahoma"/>
        </w:rPr>
      </w:pPr>
      <w:bookmarkStart w:id="963" w:name="_Toc254806117"/>
      <w:bookmarkStart w:id="964" w:name="Aps_MSDNOPSystems"/>
      <w:bookmarkStart w:id="965" w:name="Aps_3MSDNOPSystems"/>
      <w:bookmarkStart w:id="966" w:name="Aps_5OffCommunicator07"/>
      <w:bookmarkEnd w:id="957"/>
      <w:bookmarkEnd w:id="958"/>
    </w:p>
    <w:p w:rsidR="00E316C2" w:rsidRPr="000A1C8E" w:rsidRDefault="00B54C21" w:rsidP="00E316C2">
      <w:pPr>
        <w:pStyle w:val="Heading3"/>
        <w:rPr>
          <w:rFonts w:ascii="Tahoma" w:hAnsi="Tahoma" w:cs="Tahoma"/>
        </w:rPr>
      </w:pPr>
      <w:bookmarkStart w:id="967" w:name="_23_Lync_for"/>
      <w:bookmarkStart w:id="968" w:name="_2_Lync_for"/>
      <w:bookmarkStart w:id="969" w:name="_2_Lync_para"/>
      <w:bookmarkStart w:id="970" w:name="_Toc336338259"/>
      <w:bookmarkStart w:id="971" w:name="_Toc361829343"/>
      <w:bookmarkStart w:id="972" w:name="Aps_3Lync2010"/>
      <w:bookmarkEnd w:id="967"/>
      <w:bookmarkEnd w:id="968"/>
      <w:bookmarkEnd w:id="969"/>
      <w:r w:rsidRPr="000A1C8E">
        <w:rPr>
          <w:rFonts w:ascii="Tahoma" w:hAnsi="Tahoma" w:cs="Tahoma"/>
          <w:caps/>
          <w:color w:val="F66400"/>
          <w:sz w:val="22"/>
          <w:vertAlign w:val="superscript"/>
        </w:rPr>
        <w:t>2</w:t>
      </w:r>
      <w:r w:rsidRPr="000A1C8E">
        <w:rPr>
          <w:rFonts w:ascii="Tahoma" w:hAnsi="Tahoma" w:cs="Tahoma"/>
          <w:color w:val="F66400"/>
          <w:sz w:val="22"/>
        </w:rPr>
        <w:t xml:space="preserve"> </w:t>
      </w:r>
      <w:bookmarkStart w:id="973" w:name="Aps_4LyncforMac2011"/>
      <w:r w:rsidRPr="000A1C8E">
        <w:rPr>
          <w:rFonts w:ascii="Tahoma" w:hAnsi="Tahoma" w:cs="Tahoma"/>
          <w:color w:val="F66400"/>
          <w:sz w:val="22"/>
        </w:rPr>
        <w:t xml:space="preserve">Lync </w:t>
      </w:r>
      <w:bookmarkEnd w:id="970"/>
      <w:r w:rsidRPr="000A1C8E">
        <w:rPr>
          <w:rFonts w:ascii="Tahoma" w:hAnsi="Tahoma" w:cs="Tahoma"/>
          <w:color w:val="F66400"/>
          <w:sz w:val="22"/>
        </w:rPr>
        <w:t>para Mac 2011</w:t>
      </w:r>
      <w:bookmarkEnd w:id="971"/>
      <w:bookmarkEnd w:id="973"/>
    </w:p>
    <w:p w:rsidR="00AE5A9F" w:rsidRPr="000A1C8E" w:rsidRDefault="00AE5A9F" w:rsidP="00AE5A9F">
      <w:pPr>
        <w:rPr>
          <w:rFonts w:cs="Tahoma"/>
        </w:rPr>
      </w:pPr>
    </w:p>
    <w:bookmarkEnd w:id="972"/>
    <w:p w:rsidR="004A2FC2" w:rsidRPr="000A1C8E" w:rsidRDefault="00E316C2" w:rsidP="00864B8A">
      <w:pPr>
        <w:spacing w:after="60"/>
        <w:ind w:left="720"/>
        <w:rPr>
          <w:rFonts w:cs="Tahoma"/>
        </w:rPr>
      </w:pPr>
      <w:r w:rsidRPr="000A1C8E">
        <w:rPr>
          <w:rFonts w:cs="Tahoma"/>
          <w:b/>
          <w:szCs w:val="20"/>
        </w:rPr>
        <w:t xml:space="preserve">Caminho de Migração do Software Assurance para o Communicator para Mac 2011 </w:t>
      </w:r>
    </w:p>
    <w:p w:rsidR="00B9674D" w:rsidRPr="000A1C8E" w:rsidRDefault="00E316C2" w:rsidP="004A2FC2">
      <w:pPr>
        <w:adjustRightInd w:val="0"/>
        <w:ind w:left="720"/>
        <w:textAlignment w:val="baseline"/>
        <w:rPr>
          <w:rFonts w:cs="Tahoma"/>
        </w:rPr>
      </w:pPr>
      <w:r w:rsidRPr="000A1C8E">
        <w:rPr>
          <w:rFonts w:cs="Tahoma"/>
        </w:rPr>
        <w:t>A versão substituta do Communicator para Mac 2011 é o Lync para Mac 2011.</w:t>
      </w:r>
    </w:p>
    <w:p w:rsidR="004A2FC2" w:rsidRPr="000A1C8E" w:rsidRDefault="004A2FC2" w:rsidP="004A2FC2">
      <w:pPr>
        <w:adjustRightInd w:val="0"/>
        <w:textAlignment w:val="baseline"/>
        <w:rPr>
          <w:rFonts w:cs="Tahoma"/>
        </w:rPr>
      </w:pPr>
    </w:p>
    <w:p w:rsidR="00DC2291" w:rsidRPr="000A1C8E" w:rsidRDefault="00B54C21" w:rsidP="00DC2291">
      <w:pPr>
        <w:pStyle w:val="Heading3"/>
        <w:rPr>
          <w:rFonts w:ascii="Tahoma" w:hAnsi="Tahoma" w:cs="Tahoma"/>
        </w:rPr>
      </w:pPr>
      <w:bookmarkStart w:id="974" w:name="_34_MSDN_Operating"/>
      <w:bookmarkStart w:id="975" w:name="_3_MSDN_Operating"/>
      <w:bookmarkStart w:id="976" w:name="_3_Sistemas_Operacionais"/>
      <w:bookmarkStart w:id="977" w:name="_Toc336338261"/>
      <w:bookmarkStart w:id="978" w:name="_Toc361829344"/>
      <w:bookmarkEnd w:id="974"/>
      <w:bookmarkEnd w:id="975"/>
      <w:bookmarkEnd w:id="976"/>
      <w:r w:rsidRPr="000A1C8E">
        <w:rPr>
          <w:rFonts w:ascii="Tahoma" w:hAnsi="Tahoma" w:cs="Tahoma"/>
          <w:caps/>
          <w:color w:val="F66400"/>
          <w:sz w:val="22"/>
          <w:vertAlign w:val="superscript"/>
        </w:rPr>
        <w:t>3</w:t>
      </w:r>
      <w:r w:rsidRPr="000A1C8E">
        <w:rPr>
          <w:rFonts w:ascii="Tahoma" w:hAnsi="Tahoma" w:cs="Tahoma"/>
          <w:color w:val="F66400"/>
          <w:sz w:val="22"/>
        </w:rPr>
        <w:t xml:space="preserve"> Sistemas Operacionais MSDN</w:t>
      </w:r>
      <w:bookmarkEnd w:id="963"/>
      <w:bookmarkEnd w:id="977"/>
      <w:bookmarkEnd w:id="978"/>
    </w:p>
    <w:bookmarkEnd w:id="964"/>
    <w:bookmarkEnd w:id="965"/>
    <w:p w:rsidR="00D16EA8" w:rsidRPr="000A1C8E" w:rsidRDefault="00D16EA8" w:rsidP="00D16EA8">
      <w:pPr>
        <w:pStyle w:val="FootnoteBulletLevel1"/>
        <w:tabs>
          <w:tab w:val="clear" w:pos="900"/>
        </w:tabs>
        <w:spacing w:before="0" w:after="0"/>
        <w:ind w:left="720" w:firstLine="0"/>
        <w:rPr>
          <w:rFonts w:ascii="Tahoma" w:hAnsi="Tahoma" w:cs="Tahoma"/>
        </w:rPr>
      </w:pPr>
    </w:p>
    <w:p w:rsidR="00D16EA8" w:rsidRPr="000A1C8E" w:rsidRDefault="00DC2291" w:rsidP="00864B8A">
      <w:pPr>
        <w:spacing w:after="60"/>
        <w:ind w:left="720"/>
        <w:rPr>
          <w:rFonts w:cs="Tahoma"/>
        </w:rPr>
      </w:pPr>
      <w:r w:rsidRPr="000A1C8E">
        <w:rPr>
          <w:rFonts w:cs="Tahoma"/>
          <w:b/>
          <w:szCs w:val="20"/>
        </w:rPr>
        <w:t>Qualificação do Software Assurance</w:t>
      </w:r>
    </w:p>
    <w:p w:rsidR="008368B4" w:rsidRPr="000A1C8E" w:rsidRDefault="00DC2291" w:rsidP="008368B4">
      <w:pPr>
        <w:pStyle w:val="EndnoteText"/>
        <w:tabs>
          <w:tab w:val="num" w:pos="1080"/>
        </w:tabs>
        <w:ind w:left="720"/>
        <w:rPr>
          <w:rFonts w:ascii="Tahoma" w:hAnsi="Tahoma" w:cs="Tahoma"/>
        </w:rPr>
      </w:pPr>
      <w:r w:rsidRPr="000A1C8E">
        <w:rPr>
          <w:rFonts w:ascii="Tahoma" w:hAnsi="Tahoma" w:cs="Tahoma"/>
          <w:sz w:val="18"/>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rsidR="00DC2291" w:rsidRPr="000A1C8E" w:rsidRDefault="00DC2291" w:rsidP="00D16EA8">
      <w:pPr>
        <w:pStyle w:val="EndnoteText"/>
        <w:tabs>
          <w:tab w:val="num" w:pos="1080"/>
        </w:tabs>
        <w:ind w:left="720"/>
        <w:rPr>
          <w:rFonts w:ascii="Tahoma" w:hAnsi="Tahoma" w:cs="Tahoma"/>
        </w:rPr>
      </w:pP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Ultimate com MSDN</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Premium com MSDN</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Professional com MSDN</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Professional com MSDN Embedded</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Test Professional com MSDN</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Professional com MSDN Professional</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Professional com MSDN Premium</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Team System Team Suite com MSDN Premium</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Team System Test Edition com MSDN Premium</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Team System Development Edition com MSDN Premium</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 xml:space="preserve">Visual Studio Team System Architecture Edition com MSDN Premium </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Team System Database Edition com MSDN Premium</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MSDN Operating Systems</w:t>
      </w:r>
    </w:p>
    <w:p w:rsidR="00DC2291" w:rsidRPr="000A1C8E" w:rsidRDefault="00DC2291" w:rsidP="00D16EA8">
      <w:pPr>
        <w:pStyle w:val="FootnoteBulletLevel2"/>
        <w:numPr>
          <w:ilvl w:val="0"/>
          <w:numId w:val="4"/>
        </w:numPr>
        <w:spacing w:before="0" w:after="60"/>
        <w:ind w:left="1440"/>
        <w:rPr>
          <w:rFonts w:ascii="Tahoma" w:hAnsi="Tahoma" w:cs="Tahoma"/>
        </w:rPr>
      </w:pPr>
      <w:r w:rsidRPr="000A1C8E">
        <w:rPr>
          <w:rFonts w:ascii="Tahoma" w:hAnsi="Tahoma" w:cs="Tahoma"/>
          <w:sz w:val="18"/>
        </w:rPr>
        <w:t>Clientes com uma assinatura de varejo ativa para qualquer um dos softwares acima</w:t>
      </w:r>
    </w:p>
    <w:p w:rsidR="00413D8A" w:rsidRPr="000A1C8E" w:rsidRDefault="00413D8A">
      <w:pPr>
        <w:rPr>
          <w:rFonts w:cs="Tahoma"/>
          <w:sz w:val="14"/>
          <w:szCs w:val="14"/>
        </w:rPr>
      </w:pPr>
    </w:p>
    <w:p w:rsidR="00D16EA8" w:rsidRPr="000A1C8E" w:rsidRDefault="00F51051" w:rsidP="00864B8A">
      <w:pPr>
        <w:spacing w:after="60"/>
        <w:ind w:left="720"/>
        <w:rPr>
          <w:rFonts w:cs="Tahoma"/>
        </w:rPr>
      </w:pPr>
      <w:r w:rsidRPr="000A1C8E">
        <w:rPr>
          <w:rFonts w:cs="Tahoma"/>
          <w:b/>
          <w:szCs w:val="20"/>
        </w:rPr>
        <w:t>Serviços de Assinatura</w:t>
      </w:r>
    </w:p>
    <w:p w:rsidR="00B26237" w:rsidRPr="000A1C8E" w:rsidRDefault="002333B5" w:rsidP="00D16EA8">
      <w:pPr>
        <w:pStyle w:val="FootnoteBulletLevel2"/>
        <w:tabs>
          <w:tab w:val="clear" w:pos="1260"/>
        </w:tabs>
        <w:spacing w:before="0"/>
        <w:ind w:left="720" w:firstLine="0"/>
        <w:rPr>
          <w:rFonts w:ascii="Tahoma" w:hAnsi="Tahoma" w:cs="Tahoma"/>
        </w:rPr>
      </w:pPr>
      <w:r w:rsidRPr="000A1C8E">
        <w:rPr>
          <w:rFonts w:ascii="Tahoma" w:hAnsi="Tahoma" w:cs="Tahoma"/>
          <w:sz w:val="18"/>
        </w:rPr>
        <w:t>Os serviços de assinatura MSDN, que podem incluir downloads, chaves de produto, benefícios do Windows Azure, e-learning, suporte técnico, benefícios do Windows Store e outros serviços, só estarão disponíveis enquanto a assinatura estiver ativa.</w:t>
      </w:r>
    </w:p>
    <w:p w:rsidR="000C6DBC" w:rsidRPr="000A1C8E" w:rsidRDefault="00B54C21" w:rsidP="00B26237">
      <w:pPr>
        <w:pStyle w:val="Heading2"/>
        <w:ind w:left="0"/>
        <w:rPr>
          <w:rFonts w:ascii="Tahoma" w:hAnsi="Tahoma" w:cs="Tahoma"/>
        </w:rPr>
      </w:pPr>
      <w:bookmarkStart w:id="979" w:name="_6_Office_365"/>
      <w:bookmarkStart w:id="980" w:name="_45_Office_365"/>
      <w:bookmarkStart w:id="981" w:name="_4_MSDN_Platforms"/>
      <w:bookmarkStart w:id="982" w:name="_4_Plataformas_MSDN"/>
      <w:bookmarkStart w:id="983" w:name="_Toc361829345"/>
      <w:bookmarkStart w:id="984" w:name="_Toc336338262"/>
      <w:bookmarkEnd w:id="979"/>
      <w:bookmarkEnd w:id="980"/>
      <w:bookmarkEnd w:id="981"/>
      <w:bookmarkEnd w:id="982"/>
      <w:r w:rsidRPr="000A1C8E">
        <w:rPr>
          <w:rFonts w:ascii="Tahoma" w:hAnsi="Tahoma" w:cs="Tahoma"/>
          <w:caps/>
          <w:color w:val="F66400"/>
          <w:sz w:val="22"/>
          <w:szCs w:val="20"/>
          <w:vertAlign w:val="superscript"/>
        </w:rPr>
        <w:lastRenderedPageBreak/>
        <w:t>4</w:t>
      </w:r>
      <w:r w:rsidRPr="000A1C8E">
        <w:rPr>
          <w:rFonts w:ascii="Tahoma" w:hAnsi="Tahoma" w:cs="Tahoma"/>
          <w:color w:val="F66400"/>
          <w:sz w:val="22"/>
          <w:szCs w:val="20"/>
        </w:rPr>
        <w:t xml:space="preserve"> </w:t>
      </w:r>
      <w:r w:rsidRPr="000A1C8E">
        <w:rPr>
          <w:rFonts w:ascii="Tahoma" w:hAnsi="Tahoma" w:cs="Tahoma"/>
          <w:color w:val="FF6600"/>
          <w:sz w:val="22"/>
          <w:szCs w:val="22"/>
        </w:rPr>
        <w:t>Plataformas MSDN</w:t>
      </w:r>
      <w:bookmarkEnd w:id="983"/>
    </w:p>
    <w:p w:rsidR="000C6DBC" w:rsidRPr="000A1C8E" w:rsidRDefault="000C6DBC" w:rsidP="000C6DBC">
      <w:pPr>
        <w:pStyle w:val="FootnoteBulletLevel2"/>
        <w:tabs>
          <w:tab w:val="clear" w:pos="1260"/>
        </w:tabs>
        <w:spacing w:before="0"/>
        <w:ind w:left="0" w:firstLine="0"/>
        <w:rPr>
          <w:rFonts w:ascii="Tahoma" w:hAnsi="Tahoma" w:cs="Tahoma"/>
        </w:rPr>
      </w:pPr>
    </w:p>
    <w:p w:rsidR="000C6DBC" w:rsidRPr="000A1C8E" w:rsidRDefault="000C6DBC" w:rsidP="000C6DBC">
      <w:pPr>
        <w:spacing w:after="60"/>
        <w:ind w:left="720"/>
        <w:rPr>
          <w:rFonts w:cs="Tahoma"/>
        </w:rPr>
      </w:pPr>
      <w:r w:rsidRPr="000A1C8E">
        <w:rPr>
          <w:rFonts w:cs="Tahoma"/>
          <w:b/>
          <w:szCs w:val="18"/>
        </w:rPr>
        <w:t>Visual Studio Team Foundation Server 2012</w:t>
      </w:r>
    </w:p>
    <w:p w:rsidR="000C6DBC" w:rsidRPr="000A1C8E" w:rsidRDefault="000C6DBC" w:rsidP="000C6DBC">
      <w:pPr>
        <w:pStyle w:val="EndnoteText"/>
        <w:ind w:left="720"/>
        <w:rPr>
          <w:rFonts w:ascii="Tahoma" w:hAnsi="Tahoma" w:cs="Tahoma"/>
          <w:spacing w:val="-2"/>
        </w:rPr>
      </w:pPr>
      <w:r w:rsidRPr="000A1C8E">
        <w:rPr>
          <w:rFonts w:ascii="Tahoma" w:hAnsi="Tahoma" w:cs="Tahoma"/>
          <w:spacing w:val="-2"/>
          <w:sz w:val="18"/>
          <w:szCs w:val="18"/>
        </w:rPr>
        <w:t>O assinante está qualificado para uma licença de servidor para o Visual Studio Team Foundation Server 2012 e uma CAL de Usuário do Team Foundation Server.</w:t>
      </w:r>
      <w:r w:rsidR="00DC6D8B" w:rsidRPr="000A1C8E">
        <w:rPr>
          <w:rFonts w:ascii="Tahoma" w:hAnsi="Tahoma" w:cs="Tahoma"/>
          <w:spacing w:val="-2"/>
          <w:sz w:val="18"/>
          <w:szCs w:val="18"/>
        </w:rPr>
        <w:t xml:space="preserve"> </w:t>
      </w:r>
      <w:r w:rsidRPr="000A1C8E">
        <w:rPr>
          <w:rFonts w:ascii="Tahoma" w:hAnsi="Tahoma" w:cs="Tahoma"/>
          <w:spacing w:val="-2"/>
          <w:sz w:val="18"/>
          <w:szCs w:val="18"/>
        </w:rPr>
        <w:t>A CAL é reservada unicamente para uso do assinante.</w:t>
      </w:r>
    </w:p>
    <w:p w:rsidR="000C6DBC" w:rsidRPr="000A1C8E" w:rsidRDefault="000C6DBC" w:rsidP="000C6DBC">
      <w:pPr>
        <w:rPr>
          <w:rFonts w:cs="Tahoma"/>
        </w:rPr>
      </w:pPr>
    </w:p>
    <w:p w:rsidR="000C6DBC" w:rsidRPr="000A1C8E" w:rsidRDefault="000C6DBC" w:rsidP="000C6DBC">
      <w:pPr>
        <w:spacing w:after="60"/>
        <w:ind w:left="720"/>
        <w:rPr>
          <w:rFonts w:cs="Tahoma"/>
        </w:rPr>
      </w:pPr>
      <w:r w:rsidRPr="000A1C8E">
        <w:rPr>
          <w:rFonts w:cs="Tahoma"/>
          <w:b/>
          <w:szCs w:val="18"/>
        </w:rPr>
        <w:t>Serviços de Assinatura</w:t>
      </w:r>
    </w:p>
    <w:p w:rsidR="000C6DBC" w:rsidRPr="000A1C8E" w:rsidRDefault="000C6DBC" w:rsidP="000C6DBC">
      <w:pPr>
        <w:ind w:left="720"/>
        <w:rPr>
          <w:rFonts w:cs="Tahoma"/>
        </w:rPr>
      </w:pPr>
      <w:r w:rsidRPr="000A1C8E">
        <w:rPr>
          <w:rFonts w:cs="Tahoma"/>
          <w:szCs w:val="18"/>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rsidR="000C6DBC" w:rsidRPr="000A1C8E" w:rsidRDefault="000C6DBC" w:rsidP="00B26237">
      <w:pPr>
        <w:pStyle w:val="Heading2"/>
        <w:ind w:left="0"/>
        <w:rPr>
          <w:rFonts w:ascii="Tahoma" w:hAnsi="Tahoma" w:cs="Tahoma"/>
        </w:rPr>
      </w:pPr>
    </w:p>
    <w:p w:rsidR="000C6DBC" w:rsidRPr="000A1C8E" w:rsidRDefault="000C6DBC" w:rsidP="00B26237">
      <w:pPr>
        <w:pStyle w:val="Heading2"/>
        <w:ind w:left="0"/>
        <w:rPr>
          <w:rFonts w:ascii="Tahoma" w:hAnsi="Tahoma" w:cs="Tahoma"/>
        </w:rPr>
      </w:pPr>
    </w:p>
    <w:p w:rsidR="00B26237" w:rsidRPr="000A1C8E" w:rsidRDefault="00513265" w:rsidP="00B26237">
      <w:pPr>
        <w:pStyle w:val="Heading2"/>
        <w:ind w:left="0"/>
        <w:rPr>
          <w:rFonts w:ascii="Tahoma" w:hAnsi="Tahoma" w:cs="Tahoma"/>
        </w:rPr>
      </w:pPr>
      <w:bookmarkStart w:id="985" w:name="_5_Office_365_1"/>
      <w:bookmarkStart w:id="986" w:name="_Toc361829346"/>
      <w:bookmarkEnd w:id="985"/>
      <w:r w:rsidRPr="000A1C8E">
        <w:rPr>
          <w:rFonts w:ascii="Tahoma" w:hAnsi="Tahoma" w:cs="Tahoma"/>
          <w:caps/>
          <w:color w:val="FF6600"/>
          <w:sz w:val="22"/>
          <w:szCs w:val="22"/>
          <w:vertAlign w:val="superscript"/>
        </w:rPr>
        <w:t>5</w:t>
      </w:r>
      <w:r w:rsidRPr="000A1C8E">
        <w:rPr>
          <w:rFonts w:ascii="Tahoma" w:hAnsi="Tahoma" w:cs="Tahoma"/>
          <w:color w:val="FF6600"/>
        </w:rPr>
        <w:t xml:space="preserve"> </w:t>
      </w:r>
      <w:r w:rsidRPr="000A1C8E">
        <w:rPr>
          <w:rFonts w:ascii="Tahoma" w:hAnsi="Tahoma" w:cs="Tahoma"/>
          <w:color w:val="FF6600"/>
          <w:sz w:val="22"/>
          <w:szCs w:val="22"/>
        </w:rPr>
        <w:t>Office 365 Education A2-A4 (SL de Usuário)</w:t>
      </w:r>
      <w:bookmarkEnd w:id="984"/>
      <w:bookmarkEnd w:id="986"/>
    </w:p>
    <w:p w:rsidR="00B26237" w:rsidRPr="000A1C8E" w:rsidRDefault="00B26237" w:rsidP="00AE5A9F">
      <w:pPr>
        <w:rPr>
          <w:rFonts w:cs="Tahoma"/>
        </w:rPr>
      </w:pPr>
    </w:p>
    <w:p w:rsidR="00B26237" w:rsidRPr="000A1C8E" w:rsidRDefault="00B26237" w:rsidP="00B26237">
      <w:pPr>
        <w:ind w:left="720"/>
        <w:rPr>
          <w:rFonts w:cs="Tahoma"/>
        </w:rPr>
      </w:pPr>
      <w:r w:rsidRPr="000A1C8E">
        <w:rPr>
          <w:rFonts w:eastAsia="Calibri" w:cs="Tahoma"/>
          <w:color w:val="000000"/>
          <w:szCs w:val="18"/>
        </w:rPr>
        <w:t>O Office 365 Education A2-A4 são compostos por versões acadêmicas específicas dos mesmos serviços online que abrangem o Office 365 Enterprise E2-E4 com a exceção do Yammer Enterprise.</w:t>
      </w:r>
      <w:r w:rsidR="00DC6D8B" w:rsidRPr="000A1C8E">
        <w:rPr>
          <w:rFonts w:eastAsia="Calibri" w:cs="Tahoma"/>
          <w:color w:val="000000"/>
          <w:szCs w:val="18"/>
        </w:rPr>
        <w:t xml:space="preserve"> </w:t>
      </w:r>
      <w:r w:rsidRPr="000A1C8E">
        <w:rPr>
          <w:rFonts w:eastAsia="Calibri" w:cs="Tahoma"/>
          <w:color w:val="000000"/>
          <w:szCs w:val="18"/>
        </w:rPr>
        <w:t>Os direitos de uso para Education A2-A4 e seus componentes são equivalentes às suas contrapartidas comerciais.</w:t>
      </w:r>
      <w:r w:rsidR="00DC6D8B" w:rsidRPr="000A1C8E">
        <w:rPr>
          <w:rFonts w:eastAsia="Calibri" w:cs="Tahoma"/>
          <w:color w:val="000000"/>
          <w:szCs w:val="18"/>
        </w:rPr>
        <w:t xml:space="preserve"> </w:t>
      </w:r>
      <w:r w:rsidRPr="000A1C8E">
        <w:rPr>
          <w:rFonts w:eastAsia="Calibri" w:cs="Tahoma"/>
          <w:color w:val="000000"/>
          <w:szCs w:val="18"/>
        </w:rPr>
        <w:t>No entanto, os usuários com USLs do Office 365 Education A2 não podem acessar serviços locais, e o Yammer Enterprise não está disponível no A2-A4.</w:t>
      </w:r>
    </w:p>
    <w:p w:rsidR="00B26237" w:rsidRPr="000A1C8E" w:rsidRDefault="00B26237" w:rsidP="00B26237">
      <w:pPr>
        <w:ind w:left="720"/>
        <w:rPr>
          <w:rFonts w:cs="Tahoma"/>
        </w:rPr>
      </w:pPr>
    </w:p>
    <w:p w:rsidR="00B26237" w:rsidRPr="000A1C8E" w:rsidRDefault="00B26237" w:rsidP="00B26237">
      <w:pPr>
        <w:ind w:left="720"/>
        <w:rPr>
          <w:rFonts w:cs="Tahoma"/>
        </w:rPr>
      </w:pPr>
      <w:r w:rsidRPr="000A1C8E">
        <w:rPr>
          <w:rFonts w:eastAsia="Calibri" w:cs="Tahoma"/>
          <w:color w:val="000000"/>
          <w:szCs w:val="18"/>
        </w:rPr>
        <w:t>No Contrato School, as licenças de assinatura dos Planos do Office 365 devem ser adquiridas por usuário para toda a instituição ou não extensivas a toda a Instituição. Se as Licenças de Assinatura de Usuário adicionais forem exigidas para acessar o Plano do O365 a médio prazo, a Instituição deverá enviar um pedido para tais Licenças.</w:t>
      </w:r>
      <w:r w:rsidR="00DC6D8B" w:rsidRPr="000A1C8E">
        <w:rPr>
          <w:rFonts w:eastAsia="Calibri" w:cs="Tahoma"/>
          <w:color w:val="000000"/>
          <w:szCs w:val="18"/>
        </w:rPr>
        <w:t xml:space="preserve"> </w:t>
      </w:r>
      <w:r w:rsidRPr="000A1C8E">
        <w:rPr>
          <w:rFonts w:eastAsia="Calibri" w:cs="Tahoma"/>
          <w:color w:val="000000"/>
          <w:szCs w:val="18"/>
        </w:rPr>
        <w:t>A Instituição pode usar qualquer Plano do O365 para atender aos requisitos mínimos do programa. Ao licenciar o Complemento O365, o produto de qualificação correspondente deverá ser licenciado sob o mesmo registro.</w:t>
      </w:r>
      <w:r w:rsidR="00DC6D8B" w:rsidRPr="000A1C8E">
        <w:rPr>
          <w:rFonts w:eastAsia="Calibri" w:cs="Tahoma"/>
          <w:color w:val="000000"/>
          <w:szCs w:val="18"/>
        </w:rPr>
        <w:t xml:space="preserve"> </w:t>
      </w:r>
      <w:r w:rsidRPr="000A1C8E">
        <w:rPr>
          <w:rFonts w:cs="Tahoma"/>
          <w:color w:val="000000"/>
        </w:rPr>
        <w:t>Ao fazer pedidos anuais, a Instituição poderá pedir menos licenças para Serviços Online do que a quantidade de pedido inicial desde que o pedido anual atenda aos requisitos mínimos para Serviços Online da Plataforma</w:t>
      </w:r>
    </w:p>
    <w:p w:rsidR="00B26237" w:rsidRPr="000A1C8E" w:rsidRDefault="00B26237" w:rsidP="00B26237">
      <w:pPr>
        <w:ind w:left="720"/>
        <w:rPr>
          <w:rFonts w:cs="Tahoma"/>
        </w:rPr>
      </w:pPr>
    </w:p>
    <w:p w:rsidR="00996781" w:rsidRPr="000A1C8E" w:rsidRDefault="00996781" w:rsidP="00B26237">
      <w:pPr>
        <w:ind w:left="720"/>
        <w:rPr>
          <w:rFonts w:cs="Tahoma"/>
        </w:rPr>
      </w:pPr>
      <w:r w:rsidRPr="000A1C8E">
        <w:rPr>
          <w:rFonts w:cs="Tahoma"/>
          <w:iCs/>
        </w:rPr>
        <w:t>Como oferta por tempo limitado, os clientes licenciados para Office 365 Education A1, A2, A3 ou A4 receberão uma cópia licenciada gratuita do Lync 2013 (ou Lync for Mac 2011) com cada licença de avaliação de usuário para Office 365 Education A1, A2, A3 ou A4. O software só poderá ser usado com o Office 365 Education A1, A2, A3, A4 (que inclui o Lync Online), e todos os direitos de uso do software se encerrarão ao término da licença de assinatura básica ou da migração para a próxima nova versão principal do Office 365 Education A1, A2, A3, A4 e Lync Online, o que ocorrer primeiro</w:t>
      </w:r>
    </w:p>
    <w:p w:rsidR="00996781" w:rsidRPr="000A1C8E" w:rsidRDefault="00996781" w:rsidP="00B26237">
      <w:pPr>
        <w:ind w:left="720"/>
        <w:rPr>
          <w:rFonts w:cs="Tahoma"/>
        </w:rPr>
      </w:pPr>
    </w:p>
    <w:p w:rsidR="00B26237" w:rsidRPr="000A1C8E" w:rsidRDefault="000A0D35" w:rsidP="00864B8A">
      <w:pPr>
        <w:spacing w:after="60"/>
        <w:ind w:left="720"/>
        <w:rPr>
          <w:rFonts w:cs="Tahoma"/>
        </w:rPr>
      </w:pPr>
      <w:r w:rsidRPr="000A1C8E">
        <w:rPr>
          <w:rFonts w:cs="Tahoma"/>
          <w:b/>
          <w:szCs w:val="20"/>
        </w:rPr>
        <w:t>USLs Complementares</w:t>
      </w:r>
    </w:p>
    <w:p w:rsidR="00B26237" w:rsidRPr="000A1C8E" w:rsidRDefault="00B26237" w:rsidP="00B26237">
      <w:pPr>
        <w:ind w:left="720"/>
        <w:rPr>
          <w:rFonts w:cs="Tahoma"/>
        </w:rPr>
      </w:pPr>
      <w:r w:rsidRPr="000A1C8E">
        <w:rPr>
          <w:rFonts w:eastAsia="Calibri" w:cs="Tahoma"/>
          <w:color w:val="000000"/>
          <w:szCs w:val="18"/>
        </w:rPr>
        <w:t>As Instituições que possuem cobertura de produtos de qualificação poderão comprar a Licença de Assinatura de Usuário correspondente para o Plano do O365</w:t>
      </w:r>
      <w:r w:rsidR="00DC6D8B" w:rsidRPr="000A1C8E">
        <w:rPr>
          <w:rFonts w:eastAsia="Calibri" w:cs="Tahoma"/>
          <w:color w:val="000000"/>
          <w:szCs w:val="18"/>
        </w:rPr>
        <w:t xml:space="preserve"> </w:t>
      </w:r>
      <w:r w:rsidRPr="000A1C8E">
        <w:rPr>
          <w:rFonts w:eastAsia="Calibri" w:cs="Tahoma"/>
          <w:color w:val="000000"/>
          <w:szCs w:val="18"/>
        </w:rPr>
        <w:t>Complementar, conforme detalhado na tabela a seguir.</w:t>
      </w:r>
      <w:r w:rsidR="00DC6D8B" w:rsidRPr="000A1C8E">
        <w:rPr>
          <w:rFonts w:eastAsia="Calibri" w:cs="Tahoma"/>
          <w:color w:val="000000"/>
          <w:szCs w:val="18"/>
        </w:rPr>
        <w:t xml:space="preserve"> </w:t>
      </w:r>
      <w:r w:rsidRPr="000A1C8E">
        <w:rPr>
          <w:rFonts w:eastAsia="Calibri" w:cs="Tahoma"/>
          <w:color w:val="000000"/>
          <w:szCs w:val="18"/>
        </w:rPr>
        <w:t>Instituições com um Contrato School: As Instituições poderão comprar a Licença de Assinatura de Usuário correspondente para o Plano do O365 Completar para seus Usuários até uma quantidade igual à da sua contagem de PCs Qualificados, contanto que eles tenham cobertura para os produtos de qualificação.</w:t>
      </w:r>
      <w:r w:rsidR="00DC6D8B" w:rsidRPr="000A1C8E">
        <w:rPr>
          <w:rFonts w:eastAsia="Calibri" w:cs="Tahoma"/>
          <w:color w:val="000000"/>
          <w:szCs w:val="18"/>
        </w:rPr>
        <w:t xml:space="preserve"> </w:t>
      </w:r>
    </w:p>
    <w:p w:rsidR="00B26237" w:rsidRPr="000A1C8E" w:rsidRDefault="00B26237" w:rsidP="00B26237">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0A1C8E" w:rsidTr="00B42A20">
        <w:tc>
          <w:tcPr>
            <w:tcW w:w="4320" w:type="dxa"/>
            <w:shd w:val="clear" w:color="auto" w:fill="FABF8F"/>
          </w:tcPr>
          <w:p w:rsidR="00B26237" w:rsidRPr="000A1C8E" w:rsidRDefault="00B26237" w:rsidP="00B42A20">
            <w:pPr>
              <w:rPr>
                <w:rFonts w:eastAsia="Calibri" w:cs="Tahoma"/>
                <w:b/>
                <w:color w:val="000000"/>
                <w:szCs w:val="18"/>
              </w:rPr>
            </w:pPr>
            <w:r w:rsidRPr="000A1C8E">
              <w:rPr>
                <w:rFonts w:eastAsia="Calibri" w:cs="Tahoma"/>
                <w:b/>
                <w:color w:val="000000"/>
                <w:szCs w:val="18"/>
              </w:rPr>
              <w:t>Licença Qualificada</w:t>
            </w:r>
          </w:p>
        </w:tc>
        <w:tc>
          <w:tcPr>
            <w:tcW w:w="4320" w:type="dxa"/>
            <w:shd w:val="clear" w:color="auto" w:fill="FABF8F"/>
          </w:tcPr>
          <w:p w:rsidR="00B26237" w:rsidRPr="000A1C8E" w:rsidRDefault="000A0D35" w:rsidP="000A0D35">
            <w:pPr>
              <w:rPr>
                <w:rFonts w:eastAsia="Calibri" w:cs="Tahoma"/>
                <w:b/>
                <w:color w:val="000000"/>
                <w:szCs w:val="18"/>
              </w:rPr>
            </w:pPr>
            <w:r w:rsidRPr="000A1C8E">
              <w:rPr>
                <w:rFonts w:eastAsia="Calibri" w:cs="Tahoma"/>
                <w:b/>
                <w:color w:val="000000"/>
                <w:szCs w:val="18"/>
              </w:rPr>
              <w:t>SL de Usuário Complementar</w:t>
            </w:r>
          </w:p>
        </w:tc>
      </w:tr>
      <w:tr w:rsidR="00B26237" w:rsidRPr="000A1C8E" w:rsidTr="00B42A20">
        <w:tc>
          <w:tcPr>
            <w:tcW w:w="4320" w:type="dxa"/>
            <w:shd w:val="clear" w:color="auto" w:fill="auto"/>
          </w:tcPr>
          <w:p w:rsidR="00B26237" w:rsidRPr="000A1C8E" w:rsidRDefault="00B26237" w:rsidP="00B42A20">
            <w:pPr>
              <w:rPr>
                <w:rFonts w:eastAsia="Calibri" w:cs="Tahoma"/>
                <w:color w:val="000000"/>
                <w:szCs w:val="18"/>
              </w:rPr>
            </w:pPr>
            <w:r w:rsidRPr="000A1C8E">
              <w:rPr>
                <w:rFonts w:eastAsia="Calibri" w:cs="Tahoma"/>
                <w:color w:val="000000"/>
                <w:szCs w:val="18"/>
              </w:rPr>
              <w:t>Pacote de CALs Principais</w:t>
            </w:r>
            <w:r w:rsidRPr="000A1C8E">
              <w:rPr>
                <w:rFonts w:eastAsia="Calibri" w:cs="Tahoma"/>
                <w:color w:val="000000"/>
                <w:szCs w:val="18"/>
                <w:vertAlign w:val="superscript"/>
              </w:rPr>
              <w:t>1</w:t>
            </w:r>
            <w:r w:rsidRPr="000A1C8E">
              <w:rPr>
                <w:rFonts w:eastAsia="Calibri" w:cs="Tahoma"/>
                <w:color w:val="000000"/>
                <w:szCs w:val="18"/>
              </w:rPr>
              <w:t xml:space="preserve"> ou Pacote de E</w:t>
            </w:r>
            <w:r w:rsidR="00080C84">
              <w:rPr>
                <w:rFonts w:eastAsia="Calibri" w:cs="Tahoma"/>
                <w:color w:val="000000"/>
                <w:szCs w:val="18"/>
              </w:rPr>
              <w:t xml:space="preserve">nterprise </w:t>
            </w:r>
            <w:r w:rsidRPr="000A1C8E">
              <w:rPr>
                <w:rFonts w:eastAsia="Calibri" w:cs="Tahoma"/>
                <w:color w:val="000000"/>
                <w:szCs w:val="18"/>
              </w:rPr>
              <w:t>CAL</w:t>
            </w:r>
            <w:r w:rsidRPr="000A1C8E">
              <w:rPr>
                <w:rFonts w:eastAsia="Calibri" w:cs="Tahoma"/>
                <w:color w:val="000000"/>
                <w:szCs w:val="18"/>
                <w:vertAlign w:val="superscript"/>
              </w:rPr>
              <w:t>1</w:t>
            </w:r>
          </w:p>
        </w:tc>
        <w:tc>
          <w:tcPr>
            <w:tcW w:w="4320" w:type="dxa"/>
            <w:shd w:val="clear" w:color="auto" w:fill="auto"/>
          </w:tcPr>
          <w:p w:rsidR="00B26237" w:rsidRPr="000A1C8E" w:rsidRDefault="00B26237" w:rsidP="009B3FA2">
            <w:pPr>
              <w:rPr>
                <w:rFonts w:eastAsia="Calibri" w:cs="Tahoma"/>
                <w:color w:val="000000"/>
                <w:szCs w:val="18"/>
              </w:rPr>
            </w:pPr>
            <w:r w:rsidRPr="000A1C8E">
              <w:rPr>
                <w:rFonts w:eastAsia="Calibri" w:cs="Tahoma"/>
                <w:color w:val="000000"/>
                <w:szCs w:val="18"/>
              </w:rPr>
              <w:t>USL Complementar do Office 365 Education A3 para CAL Principal ou E</w:t>
            </w:r>
            <w:r w:rsidR="00080C84">
              <w:rPr>
                <w:rFonts w:eastAsia="Calibri" w:cs="Tahoma"/>
                <w:color w:val="000000"/>
                <w:szCs w:val="18"/>
              </w:rPr>
              <w:t xml:space="preserve">nterprise </w:t>
            </w:r>
            <w:r w:rsidRPr="000A1C8E">
              <w:rPr>
                <w:rFonts w:eastAsia="Calibri" w:cs="Tahoma"/>
                <w:color w:val="000000"/>
                <w:szCs w:val="18"/>
              </w:rPr>
              <w:t>CAL</w:t>
            </w:r>
          </w:p>
        </w:tc>
      </w:tr>
      <w:tr w:rsidR="00B26237" w:rsidRPr="000A1C8E" w:rsidTr="00B42A20">
        <w:tc>
          <w:tcPr>
            <w:tcW w:w="4320" w:type="dxa"/>
            <w:shd w:val="clear" w:color="auto" w:fill="auto"/>
          </w:tcPr>
          <w:p w:rsidR="00B26237" w:rsidRPr="000A1C8E" w:rsidRDefault="00B26237" w:rsidP="00B42A20">
            <w:pPr>
              <w:rPr>
                <w:rFonts w:eastAsia="Calibri" w:cs="Tahoma"/>
                <w:color w:val="000000"/>
                <w:szCs w:val="18"/>
              </w:rPr>
            </w:pPr>
            <w:r w:rsidRPr="000A1C8E">
              <w:rPr>
                <w:rFonts w:eastAsia="Calibri" w:cs="Tahoma"/>
                <w:color w:val="000000"/>
                <w:szCs w:val="18"/>
              </w:rPr>
              <w:t>Office Pro Plus</w:t>
            </w:r>
            <w:r w:rsidRPr="000A1C8E">
              <w:rPr>
                <w:rFonts w:eastAsia="Calibri" w:cs="Tahoma"/>
                <w:color w:val="000000"/>
                <w:szCs w:val="18"/>
                <w:vertAlign w:val="superscript"/>
              </w:rPr>
              <w:t>1</w:t>
            </w:r>
          </w:p>
        </w:tc>
        <w:tc>
          <w:tcPr>
            <w:tcW w:w="4320" w:type="dxa"/>
            <w:shd w:val="clear" w:color="auto" w:fill="auto"/>
          </w:tcPr>
          <w:p w:rsidR="00B26237" w:rsidRPr="000A1C8E" w:rsidRDefault="00B26237" w:rsidP="009B3FA2">
            <w:pPr>
              <w:rPr>
                <w:rFonts w:eastAsia="Calibri" w:cs="Tahoma"/>
                <w:color w:val="000000"/>
                <w:szCs w:val="18"/>
              </w:rPr>
            </w:pPr>
            <w:r w:rsidRPr="000A1C8E">
              <w:rPr>
                <w:rFonts w:eastAsia="Calibri" w:cs="Tahoma"/>
                <w:color w:val="000000"/>
                <w:szCs w:val="18"/>
              </w:rPr>
              <w:t>USL Complementar do Office 365 Education A3 para Office Pro Plus</w:t>
            </w:r>
          </w:p>
        </w:tc>
      </w:tr>
      <w:tr w:rsidR="00B26237" w:rsidRPr="000A1C8E" w:rsidTr="00B42A20">
        <w:tc>
          <w:tcPr>
            <w:tcW w:w="4320" w:type="dxa"/>
            <w:shd w:val="clear" w:color="auto" w:fill="auto"/>
          </w:tcPr>
          <w:p w:rsidR="00B26237" w:rsidRPr="000A1C8E" w:rsidRDefault="00B26237" w:rsidP="00B42A20">
            <w:pPr>
              <w:rPr>
                <w:rFonts w:eastAsia="Calibri" w:cs="Tahoma"/>
                <w:color w:val="000000"/>
                <w:szCs w:val="18"/>
              </w:rPr>
            </w:pPr>
            <w:r w:rsidRPr="000A1C8E">
              <w:rPr>
                <w:rFonts w:eastAsia="Calibri" w:cs="Tahoma"/>
                <w:color w:val="000000"/>
                <w:szCs w:val="18"/>
              </w:rPr>
              <w:t>Pacote de CALs Principais</w:t>
            </w:r>
            <w:r w:rsidRPr="000A1C8E">
              <w:rPr>
                <w:rFonts w:eastAsia="Calibri" w:cs="Tahoma"/>
                <w:color w:val="000000"/>
                <w:szCs w:val="18"/>
                <w:vertAlign w:val="superscript"/>
              </w:rPr>
              <w:t>1</w:t>
            </w:r>
            <w:r w:rsidRPr="000A1C8E">
              <w:rPr>
                <w:rFonts w:eastAsia="Calibri" w:cs="Tahoma"/>
                <w:color w:val="000000"/>
                <w:szCs w:val="18"/>
              </w:rPr>
              <w:t xml:space="preserve"> ou Pacote de E</w:t>
            </w:r>
            <w:r w:rsidR="00080C84">
              <w:rPr>
                <w:rFonts w:eastAsia="Calibri" w:cs="Tahoma"/>
                <w:color w:val="000000"/>
                <w:szCs w:val="18"/>
              </w:rPr>
              <w:t xml:space="preserve">nterprise </w:t>
            </w:r>
            <w:r w:rsidRPr="000A1C8E">
              <w:rPr>
                <w:rFonts w:eastAsia="Calibri" w:cs="Tahoma"/>
                <w:color w:val="000000"/>
                <w:szCs w:val="18"/>
              </w:rPr>
              <w:t>CAL</w:t>
            </w:r>
            <w:r w:rsidRPr="000A1C8E">
              <w:rPr>
                <w:rFonts w:eastAsia="Calibri" w:cs="Tahoma"/>
                <w:color w:val="000000"/>
                <w:szCs w:val="18"/>
                <w:vertAlign w:val="superscript"/>
              </w:rPr>
              <w:t>1</w:t>
            </w:r>
            <w:r w:rsidRPr="000A1C8E">
              <w:rPr>
                <w:rFonts w:eastAsia="Calibri" w:cs="Tahoma"/>
                <w:color w:val="000000"/>
                <w:szCs w:val="18"/>
              </w:rPr>
              <w:t xml:space="preserve"> + Office Pro Plus</w:t>
            </w:r>
            <w:r w:rsidRPr="000A1C8E">
              <w:rPr>
                <w:rFonts w:eastAsia="Calibri" w:cs="Tahoma"/>
                <w:color w:val="000000"/>
                <w:szCs w:val="18"/>
                <w:vertAlign w:val="superscript"/>
              </w:rPr>
              <w:t>1</w:t>
            </w:r>
          </w:p>
        </w:tc>
        <w:tc>
          <w:tcPr>
            <w:tcW w:w="4320" w:type="dxa"/>
            <w:shd w:val="clear" w:color="auto" w:fill="auto"/>
          </w:tcPr>
          <w:p w:rsidR="00B26237" w:rsidRPr="000A1C8E" w:rsidRDefault="00B26237" w:rsidP="009B3FA2">
            <w:pPr>
              <w:rPr>
                <w:rFonts w:eastAsia="Calibri" w:cs="Tahoma"/>
                <w:color w:val="000000"/>
                <w:szCs w:val="18"/>
              </w:rPr>
            </w:pPr>
            <w:r w:rsidRPr="000A1C8E">
              <w:rPr>
                <w:rFonts w:eastAsia="Calibri" w:cs="Tahoma"/>
                <w:color w:val="000000"/>
                <w:szCs w:val="18"/>
              </w:rPr>
              <w:t>USL Complementar do Office 365 Education A3 para CAL Principal ou E</w:t>
            </w:r>
            <w:r w:rsidR="00080C84">
              <w:rPr>
                <w:rFonts w:eastAsia="Calibri" w:cs="Tahoma"/>
                <w:color w:val="000000"/>
                <w:szCs w:val="18"/>
              </w:rPr>
              <w:t xml:space="preserve">nterprise </w:t>
            </w:r>
            <w:r w:rsidRPr="000A1C8E">
              <w:rPr>
                <w:rFonts w:eastAsia="Calibri" w:cs="Tahoma"/>
                <w:color w:val="000000"/>
                <w:szCs w:val="18"/>
              </w:rPr>
              <w:t>CAL + Office Pro Plus</w:t>
            </w:r>
          </w:p>
        </w:tc>
      </w:tr>
      <w:tr w:rsidR="00B26237" w:rsidRPr="000A1C8E" w:rsidTr="00B42A20">
        <w:tc>
          <w:tcPr>
            <w:tcW w:w="4320" w:type="dxa"/>
            <w:shd w:val="clear" w:color="auto" w:fill="auto"/>
          </w:tcPr>
          <w:p w:rsidR="00B26237" w:rsidRPr="000A1C8E" w:rsidRDefault="00B26237" w:rsidP="00B42A20">
            <w:pPr>
              <w:rPr>
                <w:rFonts w:eastAsia="Calibri" w:cs="Tahoma"/>
                <w:color w:val="000000"/>
                <w:szCs w:val="18"/>
              </w:rPr>
            </w:pPr>
            <w:r w:rsidRPr="000A1C8E">
              <w:rPr>
                <w:rFonts w:eastAsia="Calibri" w:cs="Tahoma"/>
                <w:color w:val="000000"/>
                <w:szCs w:val="18"/>
              </w:rPr>
              <w:t>Pacote de CALs Principais</w:t>
            </w:r>
            <w:r w:rsidRPr="000A1C8E">
              <w:rPr>
                <w:rFonts w:eastAsia="Calibri" w:cs="Tahoma"/>
                <w:color w:val="000000"/>
                <w:szCs w:val="18"/>
                <w:vertAlign w:val="superscript"/>
              </w:rPr>
              <w:t>1</w:t>
            </w:r>
            <w:r w:rsidRPr="000A1C8E">
              <w:rPr>
                <w:rFonts w:eastAsia="Calibri" w:cs="Tahoma"/>
                <w:color w:val="000000"/>
                <w:szCs w:val="18"/>
              </w:rPr>
              <w:t xml:space="preserve"> ou Pacote de E</w:t>
            </w:r>
            <w:r w:rsidR="00080C84">
              <w:rPr>
                <w:rFonts w:eastAsia="Calibri" w:cs="Tahoma"/>
                <w:color w:val="000000"/>
                <w:szCs w:val="18"/>
              </w:rPr>
              <w:t xml:space="preserve">nterprise </w:t>
            </w:r>
            <w:r w:rsidRPr="000A1C8E">
              <w:rPr>
                <w:rFonts w:eastAsia="Calibri" w:cs="Tahoma"/>
                <w:color w:val="000000"/>
                <w:szCs w:val="18"/>
              </w:rPr>
              <w:t>CAL</w:t>
            </w:r>
            <w:r w:rsidRPr="000A1C8E">
              <w:rPr>
                <w:rFonts w:eastAsia="Calibri" w:cs="Tahoma"/>
                <w:color w:val="000000"/>
                <w:szCs w:val="18"/>
                <w:vertAlign w:val="superscript"/>
              </w:rPr>
              <w:t>1</w:t>
            </w:r>
          </w:p>
        </w:tc>
        <w:tc>
          <w:tcPr>
            <w:tcW w:w="4320" w:type="dxa"/>
            <w:shd w:val="clear" w:color="auto" w:fill="auto"/>
          </w:tcPr>
          <w:p w:rsidR="00B26237" w:rsidRPr="000A1C8E" w:rsidRDefault="00B26237" w:rsidP="009B3FA2">
            <w:pPr>
              <w:rPr>
                <w:rFonts w:eastAsia="Calibri" w:cs="Tahoma"/>
                <w:color w:val="000000"/>
                <w:szCs w:val="18"/>
              </w:rPr>
            </w:pPr>
            <w:r w:rsidRPr="000A1C8E">
              <w:rPr>
                <w:rFonts w:eastAsia="Calibri" w:cs="Tahoma"/>
                <w:color w:val="000000"/>
                <w:szCs w:val="18"/>
              </w:rPr>
              <w:t>USL Complementar do Office 365 Education A4 para CAL Principal ou E</w:t>
            </w:r>
            <w:r w:rsidR="00080C84">
              <w:rPr>
                <w:rFonts w:eastAsia="Calibri" w:cs="Tahoma"/>
                <w:color w:val="000000"/>
                <w:szCs w:val="18"/>
              </w:rPr>
              <w:t xml:space="preserve">nterprise </w:t>
            </w:r>
            <w:r w:rsidRPr="000A1C8E">
              <w:rPr>
                <w:rFonts w:eastAsia="Calibri" w:cs="Tahoma"/>
                <w:color w:val="000000"/>
                <w:szCs w:val="18"/>
              </w:rPr>
              <w:t>CAL</w:t>
            </w:r>
          </w:p>
        </w:tc>
      </w:tr>
      <w:tr w:rsidR="00B26237" w:rsidRPr="000A1C8E" w:rsidTr="00B42A20">
        <w:tc>
          <w:tcPr>
            <w:tcW w:w="4320" w:type="dxa"/>
            <w:shd w:val="clear" w:color="auto" w:fill="auto"/>
          </w:tcPr>
          <w:p w:rsidR="00B26237" w:rsidRPr="000A1C8E" w:rsidRDefault="00B26237" w:rsidP="00B42A20">
            <w:pPr>
              <w:rPr>
                <w:rFonts w:eastAsia="Calibri" w:cs="Tahoma"/>
                <w:color w:val="000000"/>
                <w:szCs w:val="18"/>
              </w:rPr>
            </w:pPr>
            <w:r w:rsidRPr="000A1C8E">
              <w:rPr>
                <w:rFonts w:eastAsia="Calibri" w:cs="Tahoma"/>
                <w:color w:val="000000"/>
                <w:szCs w:val="18"/>
              </w:rPr>
              <w:t>Office Pro Plus</w:t>
            </w:r>
            <w:r w:rsidRPr="000A1C8E">
              <w:rPr>
                <w:rFonts w:eastAsia="Calibri" w:cs="Tahoma"/>
                <w:color w:val="000000"/>
                <w:szCs w:val="18"/>
                <w:vertAlign w:val="superscript"/>
              </w:rPr>
              <w:t>1</w:t>
            </w:r>
          </w:p>
        </w:tc>
        <w:tc>
          <w:tcPr>
            <w:tcW w:w="4320" w:type="dxa"/>
            <w:shd w:val="clear" w:color="auto" w:fill="auto"/>
          </w:tcPr>
          <w:p w:rsidR="00B26237" w:rsidRPr="000A1C8E" w:rsidRDefault="00B26237" w:rsidP="009B3FA2">
            <w:pPr>
              <w:rPr>
                <w:rFonts w:eastAsia="Calibri" w:cs="Tahoma"/>
                <w:color w:val="000000"/>
                <w:szCs w:val="18"/>
              </w:rPr>
            </w:pPr>
            <w:r w:rsidRPr="000A1C8E">
              <w:rPr>
                <w:rFonts w:eastAsia="Calibri" w:cs="Tahoma"/>
                <w:color w:val="000000"/>
                <w:szCs w:val="18"/>
              </w:rPr>
              <w:t>USL Complementar do Office 365 Education A4 para Office Pro Plus</w:t>
            </w:r>
          </w:p>
        </w:tc>
      </w:tr>
      <w:tr w:rsidR="00B26237" w:rsidRPr="000A1C8E" w:rsidTr="00B42A20">
        <w:tc>
          <w:tcPr>
            <w:tcW w:w="4320" w:type="dxa"/>
            <w:shd w:val="clear" w:color="auto" w:fill="auto"/>
          </w:tcPr>
          <w:p w:rsidR="00B26237" w:rsidRPr="000A1C8E" w:rsidRDefault="00B26237" w:rsidP="00080C84">
            <w:pPr>
              <w:keepNext/>
              <w:rPr>
                <w:rFonts w:eastAsia="Calibri" w:cs="Tahoma"/>
                <w:color w:val="000000"/>
                <w:szCs w:val="18"/>
              </w:rPr>
            </w:pPr>
            <w:r w:rsidRPr="000A1C8E">
              <w:rPr>
                <w:rFonts w:eastAsia="Calibri" w:cs="Tahoma"/>
                <w:color w:val="000000"/>
                <w:szCs w:val="18"/>
              </w:rPr>
              <w:lastRenderedPageBreak/>
              <w:t>Pacote de CALs Principais ou Pacote de E</w:t>
            </w:r>
            <w:r w:rsidR="00080C84">
              <w:rPr>
                <w:rFonts w:eastAsia="Calibri" w:cs="Tahoma"/>
                <w:color w:val="000000"/>
                <w:szCs w:val="18"/>
              </w:rPr>
              <w:t xml:space="preserve">nterprise </w:t>
            </w:r>
            <w:r w:rsidRPr="000A1C8E">
              <w:rPr>
                <w:rFonts w:eastAsia="Calibri" w:cs="Tahoma"/>
                <w:color w:val="000000"/>
                <w:szCs w:val="18"/>
              </w:rPr>
              <w:t>CAL</w:t>
            </w:r>
            <w:r w:rsidRPr="000A1C8E">
              <w:rPr>
                <w:rFonts w:eastAsia="Calibri" w:cs="Tahoma"/>
                <w:color w:val="000000"/>
                <w:szCs w:val="18"/>
                <w:vertAlign w:val="superscript"/>
              </w:rPr>
              <w:t>1</w:t>
            </w:r>
            <w:r w:rsidRPr="000A1C8E">
              <w:rPr>
                <w:rFonts w:eastAsia="Calibri" w:cs="Tahoma"/>
                <w:color w:val="000000"/>
                <w:szCs w:val="18"/>
              </w:rPr>
              <w:t xml:space="preserve"> + Office Pro Plus</w:t>
            </w:r>
            <w:r w:rsidRPr="000A1C8E">
              <w:rPr>
                <w:rFonts w:eastAsia="Calibri" w:cs="Tahoma"/>
                <w:color w:val="000000"/>
                <w:szCs w:val="18"/>
                <w:vertAlign w:val="superscript"/>
              </w:rPr>
              <w:t>1</w:t>
            </w:r>
          </w:p>
        </w:tc>
        <w:tc>
          <w:tcPr>
            <w:tcW w:w="4320" w:type="dxa"/>
            <w:shd w:val="clear" w:color="auto" w:fill="auto"/>
          </w:tcPr>
          <w:p w:rsidR="00B26237" w:rsidRPr="000A1C8E" w:rsidRDefault="00B26237" w:rsidP="009B3FA2">
            <w:pPr>
              <w:rPr>
                <w:rFonts w:eastAsia="Calibri" w:cs="Tahoma"/>
                <w:color w:val="000000"/>
                <w:szCs w:val="18"/>
              </w:rPr>
            </w:pPr>
            <w:r w:rsidRPr="000A1C8E">
              <w:rPr>
                <w:rFonts w:eastAsia="Calibri" w:cs="Tahoma"/>
                <w:color w:val="000000"/>
                <w:szCs w:val="18"/>
              </w:rPr>
              <w:t>USL Complementar do Office 365 Education A4 para CAL Principal ou E</w:t>
            </w:r>
            <w:r w:rsidR="00080C84">
              <w:rPr>
                <w:rFonts w:eastAsia="Calibri" w:cs="Tahoma"/>
                <w:color w:val="000000"/>
                <w:szCs w:val="18"/>
              </w:rPr>
              <w:t xml:space="preserve">nterprise </w:t>
            </w:r>
            <w:r w:rsidRPr="000A1C8E">
              <w:rPr>
                <w:rFonts w:eastAsia="Calibri" w:cs="Tahoma"/>
                <w:color w:val="000000"/>
                <w:szCs w:val="18"/>
              </w:rPr>
              <w:t>CAL + Office Pro Plus</w:t>
            </w:r>
          </w:p>
        </w:tc>
      </w:tr>
    </w:tbl>
    <w:p w:rsidR="00B26237" w:rsidRPr="000A1C8E" w:rsidRDefault="00B26237" w:rsidP="00B26237">
      <w:pPr>
        <w:ind w:left="900"/>
        <w:rPr>
          <w:rFonts w:cs="Tahoma"/>
        </w:rPr>
      </w:pPr>
      <w:r w:rsidRPr="000A1C8E">
        <w:rPr>
          <w:rFonts w:eastAsia="Calibri" w:cs="Tahoma"/>
          <w:i/>
          <w:color w:val="000000"/>
          <w:sz w:val="16"/>
          <w:szCs w:val="18"/>
          <w:vertAlign w:val="superscript"/>
        </w:rPr>
        <w:t>1</w:t>
      </w:r>
      <w:r w:rsidRPr="000A1C8E">
        <w:rPr>
          <w:rFonts w:eastAsia="Calibri" w:cs="Tahoma"/>
          <w:i/>
          <w:color w:val="000000"/>
          <w:sz w:val="16"/>
          <w:szCs w:val="18"/>
        </w:rPr>
        <w:t>Com Software Assurance Ativo</w:t>
      </w:r>
    </w:p>
    <w:p w:rsidR="00B26237" w:rsidRPr="000A1C8E" w:rsidRDefault="00B26237" w:rsidP="00E61E5C">
      <w:pPr>
        <w:ind w:left="720"/>
        <w:rPr>
          <w:rFonts w:cs="Tahoma"/>
        </w:rPr>
      </w:pPr>
      <w:r w:rsidRPr="000A1C8E">
        <w:rPr>
          <w:rFonts w:eastAsia="Calibri" w:cs="Tahoma"/>
          <w:iCs/>
          <w:color w:val="000000"/>
          <w:szCs w:val="18"/>
        </w:rPr>
        <w:t>As Instituições com USLs do Office 365 Education A3 ou Office Education A4 cedidas para todo o corpo docente e funcionários poderão instalar o software Office Professional Plus 2010 em qualquer laboratório de</w:t>
      </w:r>
      <w:r w:rsidR="00E61E5C" w:rsidRPr="000A1C8E">
        <w:rPr>
          <w:rFonts w:eastAsia="Calibri" w:cs="Tahoma"/>
          <w:iCs/>
          <w:color w:val="000000"/>
          <w:szCs w:val="18"/>
        </w:rPr>
        <w:t> </w:t>
      </w:r>
      <w:r w:rsidRPr="000A1C8E">
        <w:rPr>
          <w:rFonts w:eastAsia="Calibri" w:cs="Tahoma"/>
          <w:iCs/>
          <w:color w:val="000000"/>
          <w:szCs w:val="18"/>
        </w:rPr>
        <w:t>acesso aberto ou biblioteca da Organização da Instituição.</w:t>
      </w:r>
      <w:r w:rsidR="00DC6D8B" w:rsidRPr="000A1C8E">
        <w:rPr>
          <w:rFonts w:eastAsia="Calibri" w:cs="Tahoma"/>
          <w:iCs/>
          <w:color w:val="000000"/>
          <w:szCs w:val="18"/>
        </w:rPr>
        <w:t xml:space="preserve"> </w:t>
      </w:r>
      <w:r w:rsidRPr="000A1C8E">
        <w:rPr>
          <w:rFonts w:eastAsia="Calibri" w:cs="Tahoma"/>
          <w:iCs/>
          <w:color w:val="000000"/>
          <w:szCs w:val="18"/>
        </w:rPr>
        <w:t>O uso do software está sujeito aos termos de licença para o Office Pro Plus 2010.</w:t>
      </w:r>
      <w:r w:rsidR="00DC6D8B" w:rsidRPr="000A1C8E">
        <w:rPr>
          <w:rFonts w:eastAsia="Calibri" w:cs="Tahoma"/>
          <w:iCs/>
          <w:color w:val="000000"/>
          <w:szCs w:val="18"/>
        </w:rPr>
        <w:t xml:space="preserve"> </w:t>
      </w:r>
    </w:p>
    <w:p w:rsidR="00B26237" w:rsidRPr="000A1C8E" w:rsidRDefault="00B26237" w:rsidP="00B26237">
      <w:pPr>
        <w:ind w:left="720"/>
        <w:rPr>
          <w:rFonts w:cs="Tahoma"/>
        </w:rPr>
      </w:pPr>
    </w:p>
    <w:p w:rsidR="00B26237" w:rsidRPr="000A1C8E" w:rsidRDefault="00B26237" w:rsidP="00693D8B">
      <w:pPr>
        <w:pStyle w:val="FootnoteBulletLevel2"/>
        <w:tabs>
          <w:tab w:val="clear" w:pos="1260"/>
        </w:tabs>
        <w:spacing w:before="0"/>
        <w:ind w:left="720" w:firstLine="0"/>
        <w:rPr>
          <w:rFonts w:ascii="Tahoma" w:hAnsi="Tahoma" w:cs="Tahoma"/>
          <w:spacing w:val="-2"/>
        </w:rPr>
      </w:pPr>
      <w:r w:rsidRPr="000A1C8E">
        <w:rPr>
          <w:rFonts w:ascii="Tahoma" w:eastAsia="Calibri" w:hAnsi="Tahoma" w:cs="Tahoma"/>
          <w:color w:val="000000"/>
          <w:spacing w:val="-2"/>
          <w:sz w:val="18"/>
          <w:szCs w:val="18"/>
        </w:rPr>
        <w:t>O Lync Online Plano 1A e Plano 2A exigem a compra e instalação separada do Microsoft Lync 2013 (ou Lync 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 ser usado com o</w:t>
      </w:r>
      <w:r w:rsidR="00693D8B">
        <w:rPr>
          <w:rFonts w:ascii="Tahoma" w:eastAsia="Calibri" w:hAnsi="Tahoma" w:cs="Tahoma"/>
          <w:color w:val="000000"/>
          <w:spacing w:val="-2"/>
          <w:sz w:val="18"/>
          <w:szCs w:val="18"/>
        </w:rPr>
        <w:t> </w:t>
      </w:r>
      <w:r w:rsidRPr="000A1C8E">
        <w:rPr>
          <w:rFonts w:ascii="Tahoma" w:eastAsia="Calibri" w:hAnsi="Tahoma" w:cs="Tahoma"/>
          <w:color w:val="000000"/>
          <w:spacing w:val="-2"/>
          <w:sz w:val="18"/>
          <w:szCs w:val="18"/>
        </w:rPr>
        <w:t>Lync Online, e todos os direitos de uso do software se encerrarão ao término da licença de assinatura básica ou da migração para a próxima nova versão principal do Lync Online, o que ocorrer primeiro.</w:t>
      </w:r>
      <w:r w:rsidR="00DC6D8B" w:rsidRPr="000A1C8E">
        <w:rPr>
          <w:rFonts w:ascii="Tahoma" w:eastAsia="Calibri" w:hAnsi="Tahoma" w:cs="Tahoma"/>
          <w:color w:val="000000"/>
          <w:spacing w:val="-2"/>
          <w:sz w:val="18"/>
          <w:szCs w:val="18"/>
        </w:rPr>
        <w:t xml:space="preserve"> </w:t>
      </w:r>
      <w:r w:rsidRPr="000A1C8E">
        <w:rPr>
          <w:rFonts w:ascii="Tahoma" w:eastAsia="Calibri" w:hAnsi="Tahoma" w:cs="Tahoma"/>
          <w:color w:val="000000"/>
          <w:spacing w:val="-2"/>
          <w:sz w:val="18"/>
          <w:szCs w:val="18"/>
        </w:rPr>
        <w:t>Os clientes podem usar o cliente gratuito Lync Basic 2013 para seus usuários finais com base em Windows.</w:t>
      </w:r>
    </w:p>
    <w:p w:rsidR="00B26237" w:rsidRPr="000A1C8E" w:rsidRDefault="00B26237" w:rsidP="00E03856">
      <w:pPr>
        <w:pStyle w:val="FootnoteBulletLevel2"/>
        <w:tabs>
          <w:tab w:val="clear" w:pos="1260"/>
        </w:tabs>
        <w:spacing w:before="0"/>
        <w:ind w:left="0" w:firstLine="0"/>
        <w:rPr>
          <w:rFonts w:ascii="Tahoma" w:hAnsi="Tahoma" w:cs="Tahoma"/>
        </w:rPr>
      </w:pPr>
    </w:p>
    <w:p w:rsidR="00B26237" w:rsidRPr="000A1C8E" w:rsidRDefault="00B26237" w:rsidP="00D16EA8">
      <w:pPr>
        <w:pStyle w:val="FootnoteBulletLevel2"/>
        <w:tabs>
          <w:tab w:val="clear" w:pos="1260"/>
        </w:tabs>
        <w:spacing w:before="0"/>
        <w:ind w:left="0" w:firstLine="0"/>
        <w:rPr>
          <w:rFonts w:ascii="Tahoma" w:hAnsi="Tahoma" w:cs="Tahoma"/>
        </w:rPr>
      </w:pPr>
    </w:p>
    <w:p w:rsidR="00996781" w:rsidRPr="000A1C8E" w:rsidRDefault="00A13C98" w:rsidP="00B26237">
      <w:pPr>
        <w:pStyle w:val="Heading2"/>
        <w:ind w:left="0"/>
        <w:rPr>
          <w:rFonts w:ascii="Tahoma" w:hAnsi="Tahoma" w:cs="Tahoma"/>
        </w:rPr>
      </w:pPr>
      <w:bookmarkStart w:id="987" w:name="_7_Office_365"/>
      <w:bookmarkStart w:id="988" w:name="_65_Office_365"/>
      <w:bookmarkStart w:id="989" w:name="_5_Office_365"/>
      <w:bookmarkStart w:id="990" w:name="_Toc361829347"/>
      <w:bookmarkStart w:id="991" w:name="_Toc336338263"/>
      <w:bookmarkEnd w:id="987"/>
      <w:bookmarkEnd w:id="988"/>
      <w:bookmarkEnd w:id="989"/>
      <w:r w:rsidRPr="000A1C8E">
        <w:rPr>
          <w:rFonts w:ascii="Tahoma" w:hAnsi="Tahoma" w:cs="Tahoma"/>
          <w:caps/>
          <w:color w:val="FF6600"/>
          <w:sz w:val="22"/>
          <w:szCs w:val="22"/>
          <w:vertAlign w:val="superscript"/>
        </w:rPr>
        <w:t>6</w:t>
      </w:r>
      <w:r w:rsidRPr="000A1C8E">
        <w:rPr>
          <w:rFonts w:ascii="Tahoma" w:hAnsi="Tahoma" w:cs="Tahoma"/>
          <w:color w:val="FF6600"/>
        </w:rPr>
        <w:t xml:space="preserve"> </w:t>
      </w:r>
      <w:r w:rsidRPr="000A1C8E">
        <w:rPr>
          <w:rFonts w:ascii="Tahoma" w:hAnsi="Tahoma" w:cs="Tahoma"/>
          <w:color w:val="FF6600"/>
          <w:sz w:val="22"/>
          <w:szCs w:val="22"/>
        </w:rPr>
        <w:t>Office 365 Midsize Business</w:t>
      </w:r>
      <w:bookmarkEnd w:id="990"/>
    </w:p>
    <w:p w:rsidR="00996781" w:rsidRPr="000A1C8E" w:rsidRDefault="00996781" w:rsidP="00996781">
      <w:pPr>
        <w:ind w:left="720"/>
        <w:rPr>
          <w:rFonts w:cs="Tahoma"/>
        </w:rPr>
      </w:pPr>
    </w:p>
    <w:p w:rsidR="00996781" w:rsidRPr="000A1C8E" w:rsidRDefault="00996781" w:rsidP="003C3C97">
      <w:pPr>
        <w:ind w:left="720"/>
        <w:rPr>
          <w:rFonts w:cs="Tahoma"/>
        </w:rPr>
      </w:pPr>
      <w:r w:rsidRPr="000A1C8E">
        <w:rPr>
          <w:rFonts w:cs="Tahoma"/>
          <w:color w:val="000000"/>
        </w:rPr>
        <w:t>O Office 365 Midsized Business é direcionado a clientes com um tamanho de organização de 10 a 250 posições.</w:t>
      </w:r>
      <w:r w:rsidR="00DC6D8B" w:rsidRPr="000A1C8E">
        <w:rPr>
          <w:rFonts w:cs="Tahoma"/>
          <w:color w:val="000000"/>
        </w:rPr>
        <w:t xml:space="preserve"> </w:t>
      </w:r>
      <w:r w:rsidRPr="000A1C8E">
        <w:rPr>
          <w:rFonts w:cs="Tahoma"/>
          <w:color w:val="000000"/>
        </w:rPr>
        <w:t>Ele é vendido apenas nos Programas Licença Open, Open Value e Open Value Subscription.</w:t>
      </w:r>
      <w:r w:rsidR="00DC6D8B" w:rsidRPr="000A1C8E">
        <w:rPr>
          <w:rFonts w:cs="Tahoma"/>
          <w:color w:val="000000"/>
        </w:rPr>
        <w:t xml:space="preserve"> </w:t>
      </w:r>
      <w:r w:rsidRPr="000A1C8E">
        <w:rPr>
          <w:rFonts w:cs="Tahoma"/>
          <w:color w:val="000000"/>
        </w:rPr>
        <w:t>Mediante a compra do Office 365 Midsized Business, uma chave de produto será emitida permitindo a</w:t>
      </w:r>
      <w:r w:rsidR="003C3C97" w:rsidRPr="000A1C8E">
        <w:rPr>
          <w:rFonts w:cs="Tahoma"/>
          <w:color w:val="000000"/>
        </w:rPr>
        <w:t> </w:t>
      </w:r>
      <w:r w:rsidRPr="000A1C8E">
        <w:rPr>
          <w:rFonts w:cs="Tahoma"/>
          <w:color w:val="000000"/>
        </w:rPr>
        <w:t xml:space="preserve">ativação do serviço. </w:t>
      </w:r>
    </w:p>
    <w:p w:rsidR="00996781" w:rsidRPr="000A1C8E" w:rsidRDefault="00996781" w:rsidP="00996781">
      <w:pPr>
        <w:ind w:left="720"/>
        <w:rPr>
          <w:rFonts w:cs="Tahoma"/>
        </w:rPr>
      </w:pPr>
    </w:p>
    <w:p w:rsidR="00996781" w:rsidRPr="000A1C8E" w:rsidRDefault="00996781" w:rsidP="003C3C97">
      <w:pPr>
        <w:ind w:left="720"/>
        <w:rPr>
          <w:rFonts w:cs="Tahoma"/>
        </w:rPr>
      </w:pPr>
      <w:r w:rsidRPr="000A1C8E">
        <w:rPr>
          <w:rFonts w:cs="Tahoma"/>
          <w:color w:val="000000"/>
        </w:rPr>
        <w:t>O Office 365 Midsized Business é vendido como um método de pagamento adiantado de um ano.</w:t>
      </w:r>
      <w:r w:rsidR="00DC6D8B" w:rsidRPr="000A1C8E">
        <w:rPr>
          <w:rFonts w:cs="Tahoma"/>
          <w:color w:val="000000"/>
        </w:rPr>
        <w:t xml:space="preserve"> </w:t>
      </w:r>
      <w:r w:rsidRPr="000A1C8E">
        <w:rPr>
          <w:rFonts w:cs="Tahoma"/>
          <w:color w:val="000000"/>
        </w:rPr>
        <w:t>A data de</w:t>
      </w:r>
      <w:r w:rsidR="003C3C97" w:rsidRPr="000A1C8E">
        <w:rPr>
          <w:rFonts w:cs="Tahoma"/>
          <w:color w:val="000000"/>
        </w:rPr>
        <w:t> </w:t>
      </w:r>
      <w:r w:rsidRPr="000A1C8E">
        <w:rPr>
          <w:rFonts w:cs="Tahoma"/>
          <w:color w:val="000000"/>
        </w:rPr>
        <w:t>início e término da assinatura de serviço é independente do prazo do contrato de Licenciamento por Volume.</w:t>
      </w:r>
      <w:r w:rsidR="00DC6D8B" w:rsidRPr="000A1C8E">
        <w:rPr>
          <w:rFonts w:cs="Tahoma"/>
          <w:color w:val="000000"/>
        </w:rPr>
        <w:t xml:space="preserve"> </w:t>
      </w:r>
      <w:r w:rsidRPr="000A1C8E">
        <w:rPr>
          <w:rFonts w:cs="Tahoma"/>
          <w:color w:val="000000"/>
        </w:rPr>
        <w:t>O período de assinatura começa na hora da ativação da chave do produto e não na hora do pedido.</w:t>
      </w:r>
      <w:r w:rsidR="00DC6D8B" w:rsidRPr="000A1C8E">
        <w:rPr>
          <w:rFonts w:cs="Tahoma"/>
          <w:color w:val="000000"/>
        </w:rPr>
        <w:t xml:space="preserve"> </w:t>
      </w:r>
      <w:r w:rsidRPr="000A1C8E">
        <w:rPr>
          <w:rFonts w:cs="Tahoma"/>
          <w:color w:val="000000"/>
        </w:rPr>
        <w:t xml:space="preserve">Assim que a Chave do Produto do Office 365 for ativada, a Microsoft não aceitará solicitações de devolução enviadas por nossos parceiros. </w:t>
      </w:r>
    </w:p>
    <w:p w:rsidR="00996781" w:rsidRPr="000A1C8E" w:rsidRDefault="00996781" w:rsidP="00996781">
      <w:pPr>
        <w:ind w:left="720"/>
        <w:rPr>
          <w:rFonts w:cs="Tahoma"/>
        </w:rPr>
      </w:pPr>
    </w:p>
    <w:p w:rsidR="00996781" w:rsidRPr="000A1C8E" w:rsidRDefault="00996781" w:rsidP="003C3C97">
      <w:pPr>
        <w:ind w:left="720"/>
        <w:rPr>
          <w:rFonts w:cs="Tahoma"/>
        </w:rPr>
      </w:pPr>
      <w:r w:rsidRPr="000A1C8E">
        <w:rPr>
          <w:rFonts w:cs="Tahoma"/>
          <w:color w:val="000000"/>
        </w:rPr>
        <w:t>Clientes Finais que possuem um Contrato Open Value/Open Value Subscription ativo com um compromisso em toda a organização para o Office Pro Plus e/ou Pacote de Licenças de Acesso para Cliente por um preço reduzido do Office 365 Midsized Business.</w:t>
      </w:r>
      <w:r w:rsidR="00DC6D8B" w:rsidRPr="000A1C8E">
        <w:rPr>
          <w:rFonts w:cs="Tahoma"/>
          <w:color w:val="000000"/>
        </w:rPr>
        <w:t xml:space="preserve"> </w:t>
      </w:r>
      <w:r w:rsidRPr="000A1C8E">
        <w:rPr>
          <w:rFonts w:cs="Tahoma"/>
          <w:color w:val="000000"/>
        </w:rPr>
        <w:t>Esta oferta é chamada de Oferta Open Value do Office 365, e o</w:t>
      </w:r>
      <w:r w:rsidR="003C3C97" w:rsidRPr="000A1C8E">
        <w:rPr>
          <w:rFonts w:cs="Tahoma"/>
          <w:color w:val="000000"/>
        </w:rPr>
        <w:t> </w:t>
      </w:r>
      <w:r w:rsidRPr="000A1C8E">
        <w:rPr>
          <w:rFonts w:cs="Tahoma"/>
          <w:color w:val="000000"/>
        </w:rPr>
        <w:t xml:space="preserve">cliente pode entrar em contato com seu revendedor para obter detalhes adicionais. </w:t>
      </w:r>
    </w:p>
    <w:p w:rsidR="00996781" w:rsidRPr="000A1C8E" w:rsidRDefault="00996781" w:rsidP="00996781">
      <w:pPr>
        <w:ind w:left="720"/>
        <w:rPr>
          <w:rFonts w:cs="Tahoma"/>
        </w:rPr>
      </w:pPr>
    </w:p>
    <w:p w:rsidR="00996781" w:rsidRPr="000A1C8E" w:rsidRDefault="00996781" w:rsidP="00996781">
      <w:pPr>
        <w:ind w:left="720"/>
        <w:rPr>
          <w:rFonts w:cs="Tahoma"/>
        </w:rPr>
      </w:pPr>
      <w:r w:rsidRPr="000A1C8E">
        <w:rPr>
          <w:rFonts w:cs="Tahoma"/>
          <w:color w:val="000000"/>
        </w:rPr>
        <w:t>Os Direitos de Uso de Produto atuais prevalecerão caso haja conflitos entre os termos da licença do Office 365 Midsized Business e esta observação.</w:t>
      </w:r>
    </w:p>
    <w:p w:rsidR="000A0D35" w:rsidRPr="000A1C8E" w:rsidRDefault="000A0D35" w:rsidP="00996781">
      <w:pPr>
        <w:ind w:left="720"/>
        <w:rPr>
          <w:rFonts w:cs="Tahoma"/>
        </w:rPr>
      </w:pPr>
    </w:p>
    <w:p w:rsidR="00D824E9" w:rsidRPr="000A1C8E" w:rsidRDefault="00D824E9" w:rsidP="00996781">
      <w:pPr>
        <w:ind w:left="720"/>
        <w:rPr>
          <w:rFonts w:cs="Tahoma"/>
        </w:rPr>
      </w:pPr>
    </w:p>
    <w:p w:rsidR="000A0D35" w:rsidRPr="000A1C8E" w:rsidRDefault="000A0D35" w:rsidP="00F30802">
      <w:pPr>
        <w:pStyle w:val="Heading2"/>
        <w:ind w:left="144" w:hanging="144"/>
        <w:rPr>
          <w:rFonts w:ascii="Tahoma" w:hAnsi="Tahoma" w:cs="Tahoma"/>
        </w:rPr>
      </w:pPr>
      <w:bookmarkStart w:id="992" w:name="_7_Add-on_User"/>
      <w:bookmarkStart w:id="993" w:name="_7_Licenças_de"/>
      <w:bookmarkStart w:id="994" w:name="_Toc361829348"/>
      <w:bookmarkEnd w:id="992"/>
      <w:bookmarkEnd w:id="993"/>
      <w:r w:rsidRPr="000A1C8E">
        <w:rPr>
          <w:rFonts w:ascii="Tahoma" w:hAnsi="Tahoma" w:cs="Tahoma"/>
          <w:caps/>
          <w:color w:val="FF6600"/>
          <w:sz w:val="22"/>
          <w:szCs w:val="22"/>
          <w:vertAlign w:val="superscript"/>
        </w:rPr>
        <w:t xml:space="preserve">7 </w:t>
      </w:r>
      <w:r w:rsidRPr="000A1C8E">
        <w:rPr>
          <w:rFonts w:ascii="Tahoma" w:hAnsi="Tahoma" w:cs="Tahoma"/>
          <w:color w:val="FF6600"/>
          <w:sz w:val="22"/>
          <w:szCs w:val="22"/>
        </w:rPr>
        <w:t>Licenças de Assinatura de Usuário Complementares para Office 365 e Enterprise</w:t>
      </w:r>
      <w:r w:rsidR="00F30802">
        <w:rPr>
          <w:rFonts w:ascii="Tahoma" w:hAnsi="Tahoma" w:cs="Tahoma"/>
          <w:color w:val="FF6600"/>
          <w:sz w:val="22"/>
          <w:szCs w:val="22"/>
        </w:rPr>
        <w:t> </w:t>
      </w:r>
      <w:r w:rsidRPr="000A1C8E">
        <w:rPr>
          <w:rFonts w:ascii="Tahoma" w:hAnsi="Tahoma" w:cs="Tahoma"/>
          <w:color w:val="FF6600"/>
          <w:sz w:val="22"/>
          <w:szCs w:val="22"/>
        </w:rPr>
        <w:t>Workloads</w:t>
      </w:r>
      <w:bookmarkEnd w:id="994"/>
    </w:p>
    <w:p w:rsidR="000A0D35" w:rsidRPr="000A1C8E" w:rsidRDefault="000A0D35" w:rsidP="000A0D35">
      <w:pPr>
        <w:spacing w:after="60"/>
        <w:ind w:left="720"/>
        <w:rPr>
          <w:rFonts w:cs="Tahoma"/>
        </w:rPr>
      </w:pPr>
    </w:p>
    <w:p w:rsidR="000A0D35" w:rsidRPr="000A1C8E" w:rsidRDefault="000A0D35" w:rsidP="000A0D35">
      <w:pPr>
        <w:spacing w:after="60"/>
        <w:ind w:left="720"/>
        <w:rPr>
          <w:rFonts w:cs="Tahoma"/>
        </w:rPr>
      </w:pPr>
      <w:r w:rsidRPr="000A1C8E">
        <w:rPr>
          <w:rFonts w:cs="Tahoma"/>
        </w:rPr>
        <w:t xml:space="preserve">Uma Licença de Assinatura de Usuário Complementar (SL de Usuário Complementar) é uma Licença de Assinatura (SL) de usuário que é comprada além de (e associada a) uma Licença Qualificada (ou conjunto de Licenças Qualificadas) e fornece acesso e direitos de uso a Serviços Online para uma SL de Usuário de Serviço Online Correspondente. </w:t>
      </w:r>
    </w:p>
    <w:p w:rsidR="000A0D35" w:rsidRPr="000A1C8E" w:rsidRDefault="000A0D35" w:rsidP="000A0D35">
      <w:pPr>
        <w:spacing w:after="60"/>
        <w:ind w:left="720"/>
        <w:rPr>
          <w:rFonts w:cs="Tahoma"/>
        </w:rPr>
      </w:pPr>
      <w:r w:rsidRPr="000A1C8E">
        <w:rPr>
          <w:rFonts w:cs="Tahoma"/>
        </w:rPr>
        <w:t>A tabela a seguir realça as Licenças Qualificadas e a SL de Usuário de Serviço Online Correspondente para cada SL de Usuário Complementar disponível.</w:t>
      </w:r>
    </w:p>
    <w:p w:rsidR="000A0D35" w:rsidRPr="000A1C8E" w:rsidRDefault="000A0D35" w:rsidP="00D824E9">
      <w:pPr>
        <w:rPr>
          <w:rFonts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3320"/>
        <w:gridCol w:w="4043"/>
      </w:tblGrid>
      <w:tr w:rsidR="000A0D35" w:rsidRPr="000A1C8E" w:rsidTr="00002DCF">
        <w:tc>
          <w:tcPr>
            <w:tcW w:w="1490" w:type="dxa"/>
            <w:shd w:val="clear" w:color="auto" w:fill="FABF8F"/>
          </w:tcPr>
          <w:p w:rsidR="000A0D35" w:rsidRPr="000A1C8E" w:rsidRDefault="000A0D35" w:rsidP="00DB3ECB">
            <w:pPr>
              <w:jc w:val="center"/>
              <w:rPr>
                <w:rFonts w:cs="Tahoma"/>
                <w:b/>
                <w:szCs w:val="24"/>
              </w:rPr>
            </w:pPr>
            <w:r w:rsidRPr="000A1C8E">
              <w:rPr>
                <w:rFonts w:cs="Tahoma"/>
                <w:b/>
                <w:szCs w:val="24"/>
              </w:rPr>
              <w:t>Licença(s) Qualificada(s)</w:t>
            </w:r>
          </w:p>
        </w:tc>
        <w:tc>
          <w:tcPr>
            <w:tcW w:w="3320" w:type="dxa"/>
            <w:shd w:val="clear" w:color="auto" w:fill="FABF8F"/>
            <w:vAlign w:val="center"/>
          </w:tcPr>
          <w:p w:rsidR="000A0D35" w:rsidRPr="000A1C8E" w:rsidRDefault="000A0D35" w:rsidP="00DB3ECB">
            <w:pPr>
              <w:jc w:val="center"/>
              <w:rPr>
                <w:rFonts w:cs="Tahoma"/>
                <w:b/>
                <w:szCs w:val="24"/>
                <w:vertAlign w:val="superscript"/>
              </w:rPr>
            </w:pPr>
            <w:r w:rsidRPr="000A1C8E">
              <w:rPr>
                <w:rFonts w:cs="Tahoma"/>
                <w:b/>
                <w:szCs w:val="24"/>
              </w:rPr>
              <w:t>SL de Usuário Complementar</w:t>
            </w:r>
            <w:r w:rsidRPr="000A1C8E">
              <w:rPr>
                <w:rFonts w:cs="Tahoma"/>
                <w:b/>
                <w:szCs w:val="24"/>
                <w:vertAlign w:val="superscript"/>
              </w:rPr>
              <w:t>1</w:t>
            </w:r>
          </w:p>
        </w:tc>
        <w:tc>
          <w:tcPr>
            <w:tcW w:w="4043" w:type="dxa"/>
            <w:shd w:val="clear" w:color="auto" w:fill="FABF8F"/>
            <w:vAlign w:val="center"/>
          </w:tcPr>
          <w:p w:rsidR="000A0D35" w:rsidRPr="000A1C8E" w:rsidRDefault="000A0D35" w:rsidP="00DB3ECB">
            <w:pPr>
              <w:jc w:val="center"/>
              <w:rPr>
                <w:rFonts w:cs="Tahoma"/>
                <w:b/>
                <w:szCs w:val="24"/>
              </w:rPr>
            </w:pPr>
            <w:r w:rsidRPr="000A1C8E">
              <w:rPr>
                <w:rFonts w:cs="Tahoma"/>
                <w:b/>
                <w:szCs w:val="24"/>
              </w:rPr>
              <w:t>SL(s) de Usuário de Serviços Online Correspondentes</w:t>
            </w:r>
            <w:r w:rsidRPr="000A1C8E">
              <w:rPr>
                <w:rFonts w:cs="Tahoma"/>
                <w:b/>
                <w:szCs w:val="24"/>
                <w:vertAlign w:val="superscript"/>
              </w:rPr>
              <w:t>1</w:t>
            </w:r>
          </w:p>
        </w:tc>
      </w:tr>
      <w:tr w:rsidR="000A0D35" w:rsidRPr="000A1C8E" w:rsidTr="00002DCF">
        <w:tc>
          <w:tcPr>
            <w:tcW w:w="1490" w:type="dxa"/>
            <w:vMerge w:val="restart"/>
            <w:vAlign w:val="center"/>
          </w:tcPr>
          <w:p w:rsidR="000A0D35" w:rsidRPr="000A1C8E" w:rsidRDefault="000A0D35" w:rsidP="00DB3ECB">
            <w:pPr>
              <w:jc w:val="center"/>
              <w:rPr>
                <w:rFonts w:cs="Tahoma"/>
                <w:szCs w:val="18"/>
              </w:rPr>
            </w:pPr>
            <w:r w:rsidRPr="000A1C8E">
              <w:rPr>
                <w:rFonts w:cs="Tahoma"/>
                <w:szCs w:val="18"/>
              </w:rPr>
              <w:t>CAL Principal</w:t>
            </w:r>
          </w:p>
        </w:tc>
        <w:tc>
          <w:tcPr>
            <w:tcW w:w="3320" w:type="dxa"/>
            <w:vAlign w:val="center"/>
          </w:tcPr>
          <w:p w:rsidR="000A0D35" w:rsidRPr="000A1C8E" w:rsidRDefault="000A0D35" w:rsidP="00DB3ECB">
            <w:pPr>
              <w:rPr>
                <w:rFonts w:cs="Tahoma"/>
                <w:szCs w:val="18"/>
              </w:rPr>
            </w:pPr>
            <w:r w:rsidRPr="000A1C8E">
              <w:rPr>
                <w:rFonts w:cs="Tahoma"/>
                <w:szCs w:val="18"/>
              </w:rPr>
              <w:t xml:space="preserve">Complemento do Office 365 E1/G1 </w:t>
            </w:r>
          </w:p>
        </w:tc>
        <w:tc>
          <w:tcPr>
            <w:tcW w:w="4043" w:type="dxa"/>
            <w:vAlign w:val="center"/>
          </w:tcPr>
          <w:p w:rsidR="000A0D35" w:rsidRPr="000A1C8E" w:rsidRDefault="000A0D35" w:rsidP="00DB3ECB">
            <w:pPr>
              <w:rPr>
                <w:rFonts w:cs="Tahoma"/>
                <w:szCs w:val="18"/>
              </w:rPr>
            </w:pPr>
            <w:r w:rsidRPr="000A1C8E">
              <w:rPr>
                <w:rFonts w:cs="Tahoma"/>
                <w:szCs w:val="18"/>
              </w:rPr>
              <w:t>Office 365 E1/G1</w:t>
            </w:r>
          </w:p>
        </w:tc>
      </w:tr>
      <w:tr w:rsidR="000A0D35" w:rsidRPr="000A1C8E" w:rsidTr="00002DCF">
        <w:tc>
          <w:tcPr>
            <w:tcW w:w="1490" w:type="dxa"/>
            <w:vMerge/>
            <w:vAlign w:val="center"/>
          </w:tcPr>
          <w:p w:rsidR="000A0D35" w:rsidRPr="000A1C8E" w:rsidRDefault="000A0D35" w:rsidP="00DB3ECB">
            <w:pPr>
              <w:jc w:val="cente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 xml:space="preserve">Office 365 E3/G3 sem Complemento do Office Pro Plus </w:t>
            </w:r>
          </w:p>
        </w:tc>
        <w:tc>
          <w:tcPr>
            <w:tcW w:w="4043" w:type="dxa"/>
            <w:vAlign w:val="center"/>
          </w:tcPr>
          <w:p w:rsidR="000A0D35" w:rsidRPr="000A1C8E" w:rsidRDefault="000A0D35" w:rsidP="00DB3ECB">
            <w:pPr>
              <w:rPr>
                <w:rFonts w:cs="Tahoma"/>
                <w:szCs w:val="18"/>
              </w:rPr>
            </w:pPr>
            <w:r w:rsidRPr="000A1C8E">
              <w:rPr>
                <w:rFonts w:cs="Tahoma"/>
                <w:szCs w:val="18"/>
              </w:rPr>
              <w:t xml:space="preserve">Office 365 E3/G3 sem Pro Plus </w:t>
            </w:r>
          </w:p>
        </w:tc>
      </w:tr>
      <w:tr w:rsidR="000A0D35" w:rsidRPr="000A1C8E" w:rsidTr="00002DCF">
        <w:tc>
          <w:tcPr>
            <w:tcW w:w="1490" w:type="dxa"/>
            <w:vMerge/>
            <w:vAlign w:val="center"/>
          </w:tcPr>
          <w:p w:rsidR="000A0D35" w:rsidRPr="000A1C8E" w:rsidRDefault="000A0D35" w:rsidP="00DB3ECB">
            <w:pPr>
              <w:jc w:val="cente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Office 365 E4/G4 sem Complemento do Office Pro Plus</w:t>
            </w:r>
          </w:p>
        </w:tc>
        <w:tc>
          <w:tcPr>
            <w:tcW w:w="4043" w:type="dxa"/>
            <w:vAlign w:val="center"/>
          </w:tcPr>
          <w:p w:rsidR="000A0D35" w:rsidRPr="000A1C8E" w:rsidRDefault="000A0D35" w:rsidP="00DB3ECB">
            <w:pPr>
              <w:rPr>
                <w:rFonts w:cs="Tahoma"/>
                <w:szCs w:val="18"/>
              </w:rPr>
            </w:pPr>
            <w:r w:rsidRPr="000A1C8E">
              <w:rPr>
                <w:rFonts w:cs="Tahoma"/>
                <w:szCs w:val="18"/>
              </w:rPr>
              <w:t xml:space="preserve">Office 365 E4/G4 sem Pro Plus </w:t>
            </w:r>
          </w:p>
        </w:tc>
      </w:tr>
      <w:tr w:rsidR="000A0D35" w:rsidRPr="000A1C8E" w:rsidTr="00002DCF">
        <w:tc>
          <w:tcPr>
            <w:tcW w:w="1490" w:type="dxa"/>
            <w:vMerge/>
            <w:vAlign w:val="center"/>
          </w:tcPr>
          <w:p w:rsidR="000A0D35" w:rsidRPr="000A1C8E" w:rsidRDefault="000A0D35" w:rsidP="00DB3ECB">
            <w:pPr>
              <w:jc w:val="cente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Complemento do Exchange Online Plano 1</w:t>
            </w:r>
          </w:p>
        </w:tc>
        <w:tc>
          <w:tcPr>
            <w:tcW w:w="4043" w:type="dxa"/>
            <w:vAlign w:val="center"/>
          </w:tcPr>
          <w:p w:rsidR="000A0D35" w:rsidRPr="000A1C8E" w:rsidRDefault="000A0D35" w:rsidP="00DB3ECB">
            <w:pPr>
              <w:rPr>
                <w:rFonts w:cs="Tahoma"/>
                <w:szCs w:val="18"/>
              </w:rPr>
            </w:pPr>
            <w:r w:rsidRPr="000A1C8E">
              <w:rPr>
                <w:rFonts w:cs="Tahoma"/>
                <w:szCs w:val="18"/>
              </w:rPr>
              <w:t>Exchange Online Plano 1</w:t>
            </w:r>
          </w:p>
        </w:tc>
      </w:tr>
      <w:tr w:rsidR="000A0D35" w:rsidRPr="000A1C8E" w:rsidTr="00002DCF">
        <w:tc>
          <w:tcPr>
            <w:tcW w:w="1490" w:type="dxa"/>
            <w:vMerge/>
            <w:vAlign w:val="center"/>
          </w:tcPr>
          <w:p w:rsidR="000A0D35" w:rsidRPr="000A1C8E" w:rsidRDefault="000A0D35" w:rsidP="00DB3ECB">
            <w:pPr>
              <w:jc w:val="cente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Complemento do SharePoint Online Planos 1 e 2</w:t>
            </w:r>
          </w:p>
        </w:tc>
        <w:tc>
          <w:tcPr>
            <w:tcW w:w="4043" w:type="dxa"/>
            <w:vAlign w:val="center"/>
          </w:tcPr>
          <w:p w:rsidR="000A0D35" w:rsidRPr="000A1C8E" w:rsidRDefault="000A0D35" w:rsidP="00DB3ECB">
            <w:pPr>
              <w:rPr>
                <w:rFonts w:cs="Tahoma"/>
                <w:szCs w:val="18"/>
              </w:rPr>
            </w:pPr>
            <w:r w:rsidRPr="000A1C8E">
              <w:rPr>
                <w:rFonts w:cs="Tahoma"/>
                <w:szCs w:val="18"/>
              </w:rPr>
              <w:t>SharePoint Online Plano 1</w:t>
            </w:r>
          </w:p>
        </w:tc>
      </w:tr>
      <w:tr w:rsidR="000A0D35" w:rsidRPr="000A1C8E" w:rsidTr="00002DCF">
        <w:tc>
          <w:tcPr>
            <w:tcW w:w="1490" w:type="dxa"/>
            <w:vMerge/>
            <w:vAlign w:val="center"/>
          </w:tcPr>
          <w:p w:rsidR="000A0D35" w:rsidRPr="000A1C8E" w:rsidRDefault="000A0D35" w:rsidP="00DB3ECB">
            <w:pPr>
              <w:jc w:val="cente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Complemento do Lync Online Plano 1</w:t>
            </w:r>
          </w:p>
        </w:tc>
        <w:tc>
          <w:tcPr>
            <w:tcW w:w="4043" w:type="dxa"/>
            <w:vAlign w:val="center"/>
          </w:tcPr>
          <w:p w:rsidR="000A0D35" w:rsidRPr="000A1C8E" w:rsidRDefault="000A0D35" w:rsidP="00DB3ECB">
            <w:pPr>
              <w:rPr>
                <w:rFonts w:cs="Tahoma"/>
                <w:szCs w:val="18"/>
              </w:rPr>
            </w:pPr>
            <w:r w:rsidRPr="000A1C8E">
              <w:rPr>
                <w:rFonts w:cs="Tahoma"/>
                <w:szCs w:val="18"/>
              </w:rPr>
              <w:t>Lync Online Plano 1</w:t>
            </w:r>
          </w:p>
        </w:tc>
      </w:tr>
      <w:tr w:rsidR="000A0D35" w:rsidRPr="000A1C8E" w:rsidTr="00002DCF">
        <w:tc>
          <w:tcPr>
            <w:tcW w:w="1490" w:type="dxa"/>
            <w:vMerge/>
            <w:vAlign w:val="center"/>
          </w:tcPr>
          <w:p w:rsidR="000A0D35" w:rsidRPr="000A1C8E" w:rsidRDefault="000A0D35" w:rsidP="00DB3ECB">
            <w:pPr>
              <w:jc w:val="cente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SharePoint Online Plano 1 com Complemento Yammer</w:t>
            </w:r>
          </w:p>
        </w:tc>
        <w:tc>
          <w:tcPr>
            <w:tcW w:w="4043" w:type="dxa"/>
            <w:vAlign w:val="center"/>
          </w:tcPr>
          <w:p w:rsidR="000A0D35" w:rsidRPr="000A1C8E" w:rsidRDefault="000A0D35" w:rsidP="00541ED5">
            <w:pPr>
              <w:rPr>
                <w:rFonts w:cs="Tahoma"/>
                <w:szCs w:val="18"/>
              </w:rPr>
            </w:pPr>
            <w:r w:rsidRPr="000A1C8E">
              <w:rPr>
                <w:rFonts w:cs="Tahoma"/>
                <w:szCs w:val="18"/>
              </w:rPr>
              <w:t>SharePoint Online Plan 1 e Yammer Enterprise</w:t>
            </w:r>
          </w:p>
        </w:tc>
      </w:tr>
      <w:tr w:rsidR="000A0D35" w:rsidRPr="000A1C8E" w:rsidTr="00002DCF">
        <w:tc>
          <w:tcPr>
            <w:tcW w:w="1490" w:type="dxa"/>
            <w:vMerge w:val="restart"/>
            <w:vAlign w:val="center"/>
          </w:tcPr>
          <w:p w:rsidR="000A0D35" w:rsidRPr="000A1C8E" w:rsidRDefault="000A0D35" w:rsidP="00DB3ECB">
            <w:pPr>
              <w:jc w:val="center"/>
              <w:rPr>
                <w:rFonts w:cs="Tahoma"/>
              </w:rPr>
            </w:pPr>
            <w:r w:rsidRPr="000A1C8E">
              <w:rPr>
                <w:rFonts w:cs="Tahoma"/>
                <w:szCs w:val="18"/>
              </w:rPr>
              <w:t>Pacote de CALs Principais +</w:t>
            </w:r>
          </w:p>
          <w:p w:rsidR="000A0D35" w:rsidRPr="000A1C8E" w:rsidRDefault="000A0D35" w:rsidP="00DB3ECB">
            <w:pPr>
              <w:jc w:val="center"/>
              <w:rPr>
                <w:rFonts w:cs="Tahoma"/>
                <w:szCs w:val="18"/>
              </w:rPr>
            </w:pPr>
            <w:r w:rsidRPr="000A1C8E">
              <w:rPr>
                <w:rFonts w:cs="Tahoma"/>
                <w:szCs w:val="18"/>
              </w:rPr>
              <w:t>Office Professional Plus</w:t>
            </w:r>
          </w:p>
        </w:tc>
        <w:tc>
          <w:tcPr>
            <w:tcW w:w="3320" w:type="dxa"/>
            <w:vAlign w:val="center"/>
          </w:tcPr>
          <w:p w:rsidR="000A0D35" w:rsidRPr="000A1C8E" w:rsidRDefault="000A0D35" w:rsidP="00DB3ECB">
            <w:pPr>
              <w:rPr>
                <w:rFonts w:cs="Tahoma"/>
                <w:szCs w:val="18"/>
              </w:rPr>
            </w:pPr>
            <w:r w:rsidRPr="000A1C8E">
              <w:rPr>
                <w:rFonts w:cs="Tahoma"/>
                <w:szCs w:val="18"/>
              </w:rPr>
              <w:t xml:space="preserve">Complemento do Office 365 E1/G1 </w:t>
            </w:r>
          </w:p>
        </w:tc>
        <w:tc>
          <w:tcPr>
            <w:tcW w:w="4043" w:type="dxa"/>
            <w:vAlign w:val="center"/>
          </w:tcPr>
          <w:p w:rsidR="000A0D35" w:rsidRPr="000A1C8E" w:rsidRDefault="000A0D35" w:rsidP="00DB3ECB">
            <w:pPr>
              <w:rPr>
                <w:rFonts w:cs="Tahoma"/>
                <w:szCs w:val="18"/>
              </w:rPr>
            </w:pPr>
            <w:r w:rsidRPr="000A1C8E">
              <w:rPr>
                <w:rFonts w:cs="Tahoma"/>
                <w:szCs w:val="18"/>
              </w:rPr>
              <w:t>Office 365 E1/G1</w:t>
            </w:r>
          </w:p>
        </w:tc>
      </w:tr>
      <w:tr w:rsidR="000A0D35" w:rsidRPr="000A1C8E" w:rsidTr="00002DCF">
        <w:tc>
          <w:tcPr>
            <w:tcW w:w="1490" w:type="dxa"/>
            <w:vMerge/>
          </w:tcPr>
          <w:p w:rsidR="000A0D35" w:rsidRPr="000A1C8E" w:rsidRDefault="000A0D35" w:rsidP="00DB3ECB">
            <w:pP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Office 365 E3/G3 sem Complemento do Office Pro Plus</w:t>
            </w:r>
          </w:p>
        </w:tc>
        <w:tc>
          <w:tcPr>
            <w:tcW w:w="4043" w:type="dxa"/>
            <w:vAlign w:val="center"/>
          </w:tcPr>
          <w:p w:rsidR="000A0D35" w:rsidRPr="000A1C8E" w:rsidRDefault="000A0D35" w:rsidP="00DB3ECB">
            <w:pPr>
              <w:rPr>
                <w:rFonts w:cs="Tahoma"/>
                <w:szCs w:val="18"/>
              </w:rPr>
            </w:pPr>
            <w:r w:rsidRPr="000A1C8E">
              <w:rPr>
                <w:rFonts w:cs="Tahoma"/>
                <w:szCs w:val="18"/>
              </w:rPr>
              <w:t>Office 365 E3/G3 sem Pro Plus</w:t>
            </w:r>
          </w:p>
        </w:tc>
      </w:tr>
      <w:tr w:rsidR="000A0D35" w:rsidRPr="000A1C8E" w:rsidTr="00002DCF">
        <w:tc>
          <w:tcPr>
            <w:tcW w:w="1490" w:type="dxa"/>
            <w:vMerge/>
          </w:tcPr>
          <w:p w:rsidR="000A0D35" w:rsidRPr="000A1C8E" w:rsidRDefault="000A0D35" w:rsidP="00DB3ECB">
            <w:pP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Complemento do Office 365 E3/G3</w:t>
            </w:r>
          </w:p>
        </w:tc>
        <w:tc>
          <w:tcPr>
            <w:tcW w:w="4043" w:type="dxa"/>
            <w:vAlign w:val="center"/>
          </w:tcPr>
          <w:p w:rsidR="000A0D35" w:rsidRPr="000A1C8E" w:rsidRDefault="000A0D35" w:rsidP="00DB3ECB">
            <w:pPr>
              <w:rPr>
                <w:rFonts w:cs="Tahoma"/>
                <w:szCs w:val="18"/>
              </w:rPr>
            </w:pPr>
            <w:r w:rsidRPr="000A1C8E">
              <w:rPr>
                <w:rFonts w:cs="Tahoma"/>
                <w:szCs w:val="18"/>
              </w:rPr>
              <w:t>Office 365 E3/G3</w:t>
            </w:r>
          </w:p>
        </w:tc>
      </w:tr>
      <w:tr w:rsidR="000A0D35" w:rsidRPr="000A1C8E" w:rsidTr="00002DCF">
        <w:tc>
          <w:tcPr>
            <w:tcW w:w="1490" w:type="dxa"/>
            <w:vMerge/>
          </w:tcPr>
          <w:p w:rsidR="000A0D35" w:rsidRPr="000A1C8E" w:rsidRDefault="000A0D35" w:rsidP="00DB3ECB">
            <w:pP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Office 365 E4/G4 sem Complemento do Office Pro Plus</w:t>
            </w:r>
          </w:p>
        </w:tc>
        <w:tc>
          <w:tcPr>
            <w:tcW w:w="4043" w:type="dxa"/>
            <w:vAlign w:val="center"/>
          </w:tcPr>
          <w:p w:rsidR="000A0D35" w:rsidRPr="000A1C8E" w:rsidRDefault="000A0D35" w:rsidP="00DB3ECB">
            <w:pPr>
              <w:rPr>
                <w:rFonts w:cs="Tahoma"/>
                <w:szCs w:val="18"/>
              </w:rPr>
            </w:pPr>
            <w:r w:rsidRPr="000A1C8E">
              <w:rPr>
                <w:rFonts w:cs="Tahoma"/>
                <w:szCs w:val="18"/>
              </w:rPr>
              <w:t>Office 365 E4/G4 sem Pro Plus</w:t>
            </w:r>
          </w:p>
        </w:tc>
      </w:tr>
      <w:tr w:rsidR="000A0D35" w:rsidRPr="000A1C8E" w:rsidTr="00002DCF">
        <w:tc>
          <w:tcPr>
            <w:tcW w:w="1490" w:type="dxa"/>
            <w:vMerge/>
          </w:tcPr>
          <w:p w:rsidR="000A0D35" w:rsidRPr="000A1C8E" w:rsidRDefault="000A0D35" w:rsidP="00DB3ECB">
            <w:pP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Complemento do Office 365 E4/G4</w:t>
            </w:r>
          </w:p>
        </w:tc>
        <w:tc>
          <w:tcPr>
            <w:tcW w:w="4043" w:type="dxa"/>
            <w:vAlign w:val="center"/>
          </w:tcPr>
          <w:p w:rsidR="000A0D35" w:rsidRPr="000A1C8E" w:rsidRDefault="000A0D35" w:rsidP="00DB3ECB">
            <w:pPr>
              <w:rPr>
                <w:rFonts w:cs="Tahoma"/>
                <w:szCs w:val="18"/>
              </w:rPr>
            </w:pPr>
            <w:r w:rsidRPr="000A1C8E">
              <w:rPr>
                <w:rFonts w:cs="Tahoma"/>
                <w:szCs w:val="18"/>
              </w:rPr>
              <w:t>Office 365 E4/G4</w:t>
            </w:r>
          </w:p>
        </w:tc>
      </w:tr>
      <w:tr w:rsidR="000A0D35" w:rsidRPr="000A1C8E" w:rsidTr="00002DCF">
        <w:tc>
          <w:tcPr>
            <w:tcW w:w="1490" w:type="dxa"/>
            <w:vMerge/>
          </w:tcPr>
          <w:p w:rsidR="000A0D35" w:rsidRPr="000A1C8E" w:rsidRDefault="000A0D35" w:rsidP="00DB3ECB">
            <w:pP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Complemento do Exchange Online Plano 1</w:t>
            </w:r>
          </w:p>
        </w:tc>
        <w:tc>
          <w:tcPr>
            <w:tcW w:w="4043" w:type="dxa"/>
            <w:vAlign w:val="center"/>
          </w:tcPr>
          <w:p w:rsidR="000A0D35" w:rsidRPr="000A1C8E" w:rsidRDefault="000A0D35" w:rsidP="00DB3ECB">
            <w:pPr>
              <w:rPr>
                <w:rFonts w:cs="Tahoma"/>
                <w:szCs w:val="18"/>
              </w:rPr>
            </w:pPr>
            <w:r w:rsidRPr="000A1C8E">
              <w:rPr>
                <w:rFonts w:cs="Tahoma"/>
                <w:szCs w:val="18"/>
              </w:rPr>
              <w:t>Exchange Online Plano 1</w:t>
            </w:r>
          </w:p>
        </w:tc>
      </w:tr>
      <w:tr w:rsidR="000A0D35" w:rsidRPr="000A1C8E" w:rsidTr="00002DCF">
        <w:tc>
          <w:tcPr>
            <w:tcW w:w="1490" w:type="dxa"/>
            <w:vMerge/>
          </w:tcPr>
          <w:p w:rsidR="000A0D35" w:rsidRPr="000A1C8E" w:rsidRDefault="000A0D35" w:rsidP="00DB3ECB">
            <w:pP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Complemento do SharePoint Online Planos 1 e 2</w:t>
            </w:r>
          </w:p>
        </w:tc>
        <w:tc>
          <w:tcPr>
            <w:tcW w:w="4043" w:type="dxa"/>
            <w:vAlign w:val="center"/>
          </w:tcPr>
          <w:p w:rsidR="000A0D35" w:rsidRPr="000A1C8E" w:rsidRDefault="000A0D35" w:rsidP="00DB3ECB">
            <w:pPr>
              <w:rPr>
                <w:rFonts w:cs="Tahoma"/>
                <w:szCs w:val="18"/>
              </w:rPr>
            </w:pPr>
            <w:r w:rsidRPr="000A1C8E">
              <w:rPr>
                <w:rFonts w:cs="Tahoma"/>
                <w:szCs w:val="18"/>
              </w:rPr>
              <w:t>SharePoint Online Plano 1</w:t>
            </w:r>
          </w:p>
        </w:tc>
      </w:tr>
      <w:tr w:rsidR="000A0D35" w:rsidRPr="000A1C8E" w:rsidTr="00002DCF">
        <w:tc>
          <w:tcPr>
            <w:tcW w:w="1490" w:type="dxa"/>
            <w:vMerge/>
          </w:tcPr>
          <w:p w:rsidR="000A0D35" w:rsidRPr="000A1C8E" w:rsidRDefault="000A0D35" w:rsidP="00DB3ECB">
            <w:pP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Complemento do Lync Online Plano 1</w:t>
            </w:r>
          </w:p>
        </w:tc>
        <w:tc>
          <w:tcPr>
            <w:tcW w:w="4043" w:type="dxa"/>
            <w:vAlign w:val="center"/>
          </w:tcPr>
          <w:p w:rsidR="000A0D35" w:rsidRPr="000A1C8E" w:rsidRDefault="000A0D35" w:rsidP="00DB3ECB">
            <w:pPr>
              <w:rPr>
                <w:rFonts w:cs="Tahoma"/>
                <w:szCs w:val="18"/>
              </w:rPr>
            </w:pPr>
            <w:r w:rsidRPr="000A1C8E">
              <w:rPr>
                <w:rFonts w:cs="Tahoma"/>
                <w:szCs w:val="18"/>
              </w:rPr>
              <w:t>Lync Online Plano 1</w:t>
            </w:r>
          </w:p>
        </w:tc>
      </w:tr>
      <w:tr w:rsidR="000A0D35" w:rsidRPr="000A1C8E" w:rsidTr="00002DCF">
        <w:tc>
          <w:tcPr>
            <w:tcW w:w="1490" w:type="dxa"/>
            <w:vMerge/>
          </w:tcPr>
          <w:p w:rsidR="000A0D35" w:rsidRPr="000A1C8E" w:rsidRDefault="000A0D35" w:rsidP="00DB3ECB">
            <w:pP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SharePoint Online Plano 1 com Complemento Yammer</w:t>
            </w:r>
          </w:p>
        </w:tc>
        <w:tc>
          <w:tcPr>
            <w:tcW w:w="4043" w:type="dxa"/>
            <w:vAlign w:val="center"/>
          </w:tcPr>
          <w:p w:rsidR="000A0D35" w:rsidRPr="000A1C8E" w:rsidRDefault="000A0D35" w:rsidP="00541ED5">
            <w:pPr>
              <w:rPr>
                <w:rFonts w:cs="Tahoma"/>
                <w:szCs w:val="18"/>
              </w:rPr>
            </w:pPr>
            <w:r w:rsidRPr="000A1C8E">
              <w:rPr>
                <w:rFonts w:cs="Tahoma"/>
                <w:szCs w:val="18"/>
              </w:rPr>
              <w:t xml:space="preserve">SharePoint Online Plan 1 e Yammer Enterprise </w:t>
            </w:r>
          </w:p>
        </w:tc>
      </w:tr>
      <w:tr w:rsidR="000A0D35" w:rsidRPr="000A1C8E" w:rsidTr="00002DCF">
        <w:tc>
          <w:tcPr>
            <w:tcW w:w="1490" w:type="dxa"/>
            <w:vMerge w:val="restart"/>
            <w:vAlign w:val="center"/>
          </w:tcPr>
          <w:p w:rsidR="000A0D35" w:rsidRPr="000A1C8E" w:rsidRDefault="000A0D35" w:rsidP="00DB3ECB">
            <w:pPr>
              <w:jc w:val="center"/>
              <w:rPr>
                <w:rFonts w:cs="Tahoma"/>
                <w:szCs w:val="18"/>
              </w:rPr>
            </w:pPr>
            <w:r w:rsidRPr="000A1C8E">
              <w:rPr>
                <w:rFonts w:cs="Tahoma"/>
                <w:szCs w:val="18"/>
              </w:rPr>
              <w:t>E</w:t>
            </w:r>
            <w:r w:rsidR="00080C84">
              <w:rPr>
                <w:rFonts w:cs="Tahoma"/>
                <w:szCs w:val="18"/>
              </w:rPr>
              <w:t xml:space="preserve">nterprise </w:t>
            </w:r>
            <w:r w:rsidRPr="000A1C8E">
              <w:rPr>
                <w:rFonts w:cs="Tahoma"/>
                <w:szCs w:val="18"/>
              </w:rPr>
              <w:t>CAL Suite</w:t>
            </w:r>
          </w:p>
        </w:tc>
        <w:tc>
          <w:tcPr>
            <w:tcW w:w="3320" w:type="dxa"/>
            <w:vAlign w:val="center"/>
          </w:tcPr>
          <w:p w:rsidR="000A0D35" w:rsidRPr="000A1C8E" w:rsidRDefault="000A0D35" w:rsidP="00DB3ECB">
            <w:pPr>
              <w:rPr>
                <w:rFonts w:cs="Tahoma"/>
                <w:szCs w:val="18"/>
              </w:rPr>
            </w:pPr>
            <w:r w:rsidRPr="000A1C8E">
              <w:rPr>
                <w:rFonts w:cs="Tahoma"/>
                <w:szCs w:val="18"/>
              </w:rPr>
              <w:t>Office 365 E3/G3 sem Complemento do Office Pro Plus</w:t>
            </w:r>
          </w:p>
        </w:tc>
        <w:tc>
          <w:tcPr>
            <w:tcW w:w="4043" w:type="dxa"/>
            <w:vAlign w:val="center"/>
          </w:tcPr>
          <w:p w:rsidR="000A0D35" w:rsidRPr="000A1C8E" w:rsidRDefault="000A0D35" w:rsidP="00DB3ECB">
            <w:pPr>
              <w:rPr>
                <w:rFonts w:cs="Tahoma"/>
                <w:szCs w:val="18"/>
              </w:rPr>
            </w:pPr>
            <w:r w:rsidRPr="000A1C8E">
              <w:rPr>
                <w:rFonts w:cs="Tahoma"/>
                <w:szCs w:val="18"/>
              </w:rPr>
              <w:t>Office 365 E3/G3 sem Pro Plus</w:t>
            </w:r>
          </w:p>
        </w:tc>
      </w:tr>
      <w:tr w:rsidR="000A0D35" w:rsidRPr="000A1C8E" w:rsidTr="00002DCF">
        <w:tc>
          <w:tcPr>
            <w:tcW w:w="1490" w:type="dxa"/>
            <w:vMerge/>
          </w:tcPr>
          <w:p w:rsidR="000A0D35" w:rsidRPr="000A1C8E" w:rsidRDefault="000A0D35" w:rsidP="00DB3ECB">
            <w:pPr>
              <w:jc w:val="center"/>
              <w:rPr>
                <w:rFonts w:cs="Tahoma"/>
                <w:szCs w:val="18"/>
              </w:rPr>
            </w:pPr>
          </w:p>
        </w:tc>
        <w:tc>
          <w:tcPr>
            <w:tcW w:w="3320" w:type="dxa"/>
            <w:vAlign w:val="center"/>
          </w:tcPr>
          <w:p w:rsidR="000A0D35" w:rsidRPr="000A1C8E" w:rsidRDefault="000A0D35" w:rsidP="00DB3ECB">
            <w:pPr>
              <w:rPr>
                <w:rFonts w:cs="Tahoma"/>
                <w:szCs w:val="18"/>
              </w:rPr>
            </w:pPr>
            <w:r w:rsidRPr="000A1C8E">
              <w:rPr>
                <w:rFonts w:cs="Tahoma"/>
                <w:szCs w:val="18"/>
              </w:rPr>
              <w:t>Office 365 E4/G4 sem Complemento do Office Pro Plus</w:t>
            </w:r>
          </w:p>
        </w:tc>
        <w:tc>
          <w:tcPr>
            <w:tcW w:w="4043" w:type="dxa"/>
            <w:vAlign w:val="center"/>
          </w:tcPr>
          <w:p w:rsidR="000A0D35" w:rsidRPr="000A1C8E" w:rsidRDefault="000A0D35" w:rsidP="00DB3ECB">
            <w:pPr>
              <w:rPr>
                <w:rFonts w:cs="Tahoma"/>
                <w:szCs w:val="18"/>
              </w:rPr>
            </w:pPr>
            <w:r w:rsidRPr="000A1C8E">
              <w:rPr>
                <w:rFonts w:cs="Tahoma"/>
                <w:szCs w:val="18"/>
              </w:rPr>
              <w:t>Office 365 E4/G4 sem Pro Plus</w:t>
            </w:r>
          </w:p>
        </w:tc>
      </w:tr>
      <w:tr w:rsidR="00541ED5" w:rsidRPr="000A1C8E" w:rsidTr="00002DCF">
        <w:tc>
          <w:tcPr>
            <w:tcW w:w="1490" w:type="dxa"/>
            <w:vMerge w:val="restart"/>
            <w:vAlign w:val="center"/>
          </w:tcPr>
          <w:p w:rsidR="00541ED5" w:rsidRPr="000A1C8E" w:rsidRDefault="00541ED5" w:rsidP="00DB3ECB">
            <w:pPr>
              <w:jc w:val="center"/>
              <w:rPr>
                <w:rFonts w:cs="Tahoma"/>
              </w:rPr>
            </w:pPr>
            <w:r w:rsidRPr="000A1C8E">
              <w:rPr>
                <w:rFonts w:cs="Tahoma"/>
                <w:szCs w:val="18"/>
              </w:rPr>
              <w:t>E</w:t>
            </w:r>
            <w:r w:rsidR="00080C84">
              <w:rPr>
                <w:rFonts w:cs="Tahoma"/>
                <w:szCs w:val="18"/>
              </w:rPr>
              <w:t xml:space="preserve">nterprise </w:t>
            </w:r>
            <w:r w:rsidRPr="000A1C8E">
              <w:rPr>
                <w:rFonts w:cs="Tahoma"/>
                <w:szCs w:val="18"/>
              </w:rPr>
              <w:t xml:space="preserve">CAL Suite + </w:t>
            </w:r>
          </w:p>
          <w:p w:rsidR="00541ED5" w:rsidRPr="000A1C8E" w:rsidRDefault="00541ED5" w:rsidP="00DB3ECB">
            <w:pPr>
              <w:jc w:val="center"/>
              <w:rPr>
                <w:rFonts w:cs="Tahoma"/>
                <w:szCs w:val="18"/>
              </w:rPr>
            </w:pPr>
            <w:r w:rsidRPr="000A1C8E">
              <w:rPr>
                <w:rFonts w:cs="Tahoma"/>
                <w:szCs w:val="18"/>
              </w:rPr>
              <w:t>Office Professional Plus</w:t>
            </w:r>
          </w:p>
        </w:tc>
        <w:tc>
          <w:tcPr>
            <w:tcW w:w="3320" w:type="dxa"/>
            <w:vAlign w:val="center"/>
          </w:tcPr>
          <w:p w:rsidR="00541ED5" w:rsidRPr="000A1C8E" w:rsidRDefault="00541ED5" w:rsidP="00DB3ECB">
            <w:pPr>
              <w:rPr>
                <w:rFonts w:cs="Tahoma"/>
                <w:szCs w:val="18"/>
              </w:rPr>
            </w:pPr>
            <w:r w:rsidRPr="000A1C8E">
              <w:rPr>
                <w:rFonts w:cs="Tahoma"/>
                <w:szCs w:val="18"/>
              </w:rPr>
              <w:t>Office 365 E3/G3 sem Complemento do Office Pro Plus</w:t>
            </w:r>
          </w:p>
        </w:tc>
        <w:tc>
          <w:tcPr>
            <w:tcW w:w="4043" w:type="dxa"/>
            <w:vAlign w:val="center"/>
          </w:tcPr>
          <w:p w:rsidR="00541ED5" w:rsidRPr="000A1C8E" w:rsidRDefault="00541ED5" w:rsidP="00DB3ECB">
            <w:pPr>
              <w:rPr>
                <w:rFonts w:cs="Tahoma"/>
                <w:szCs w:val="18"/>
              </w:rPr>
            </w:pPr>
            <w:r w:rsidRPr="000A1C8E">
              <w:rPr>
                <w:rFonts w:cs="Tahoma"/>
                <w:szCs w:val="18"/>
              </w:rPr>
              <w:t>Office 365 E3/G3 sem Pro Plus</w:t>
            </w:r>
          </w:p>
        </w:tc>
      </w:tr>
      <w:tr w:rsidR="00541ED5" w:rsidRPr="000A1C8E" w:rsidTr="00002DCF">
        <w:tc>
          <w:tcPr>
            <w:tcW w:w="1490" w:type="dxa"/>
            <w:vMerge/>
          </w:tcPr>
          <w:p w:rsidR="00541ED5" w:rsidRPr="000A1C8E" w:rsidRDefault="00541ED5" w:rsidP="00DB3ECB">
            <w:pPr>
              <w:jc w:val="center"/>
              <w:rPr>
                <w:rFonts w:cs="Tahoma"/>
                <w:szCs w:val="18"/>
              </w:rPr>
            </w:pPr>
          </w:p>
        </w:tc>
        <w:tc>
          <w:tcPr>
            <w:tcW w:w="3320" w:type="dxa"/>
            <w:vAlign w:val="center"/>
          </w:tcPr>
          <w:p w:rsidR="00541ED5" w:rsidRPr="000A1C8E" w:rsidRDefault="00541ED5" w:rsidP="00DB3ECB">
            <w:pPr>
              <w:rPr>
                <w:rFonts w:cs="Tahoma"/>
                <w:szCs w:val="18"/>
              </w:rPr>
            </w:pPr>
            <w:r w:rsidRPr="000A1C8E">
              <w:rPr>
                <w:rFonts w:cs="Tahoma"/>
                <w:szCs w:val="18"/>
              </w:rPr>
              <w:t>Complemento do Office 365 E3/G3</w:t>
            </w:r>
          </w:p>
        </w:tc>
        <w:tc>
          <w:tcPr>
            <w:tcW w:w="4043" w:type="dxa"/>
            <w:vAlign w:val="center"/>
          </w:tcPr>
          <w:p w:rsidR="00541ED5" w:rsidRPr="000A1C8E" w:rsidRDefault="00541ED5" w:rsidP="00DB3ECB">
            <w:pPr>
              <w:rPr>
                <w:rFonts w:cs="Tahoma"/>
                <w:szCs w:val="18"/>
              </w:rPr>
            </w:pPr>
            <w:r w:rsidRPr="000A1C8E">
              <w:rPr>
                <w:rFonts w:cs="Tahoma"/>
                <w:szCs w:val="18"/>
              </w:rPr>
              <w:t>Complemento do Office 365 E3/G3</w:t>
            </w:r>
          </w:p>
        </w:tc>
      </w:tr>
      <w:tr w:rsidR="00541ED5" w:rsidRPr="000A1C8E" w:rsidTr="00002DCF">
        <w:tc>
          <w:tcPr>
            <w:tcW w:w="1490" w:type="dxa"/>
            <w:vMerge/>
          </w:tcPr>
          <w:p w:rsidR="00541ED5" w:rsidRPr="000A1C8E" w:rsidRDefault="00541ED5" w:rsidP="00DB3ECB">
            <w:pPr>
              <w:jc w:val="center"/>
              <w:rPr>
                <w:rFonts w:cs="Tahoma"/>
                <w:szCs w:val="18"/>
              </w:rPr>
            </w:pPr>
          </w:p>
        </w:tc>
        <w:tc>
          <w:tcPr>
            <w:tcW w:w="3320" w:type="dxa"/>
            <w:vAlign w:val="center"/>
          </w:tcPr>
          <w:p w:rsidR="00541ED5" w:rsidRPr="000A1C8E" w:rsidRDefault="00541ED5" w:rsidP="00DB3ECB">
            <w:pPr>
              <w:rPr>
                <w:rFonts w:cs="Tahoma"/>
                <w:szCs w:val="18"/>
              </w:rPr>
            </w:pPr>
            <w:r w:rsidRPr="000A1C8E">
              <w:rPr>
                <w:rFonts w:cs="Tahoma"/>
                <w:szCs w:val="18"/>
              </w:rPr>
              <w:t>Office 365 E4/G4 sem Complemento do Office Pro Plus</w:t>
            </w:r>
          </w:p>
        </w:tc>
        <w:tc>
          <w:tcPr>
            <w:tcW w:w="4043" w:type="dxa"/>
            <w:vAlign w:val="center"/>
          </w:tcPr>
          <w:p w:rsidR="00541ED5" w:rsidRPr="000A1C8E" w:rsidRDefault="00541ED5" w:rsidP="00DB3ECB">
            <w:pPr>
              <w:rPr>
                <w:rFonts w:cs="Tahoma"/>
                <w:szCs w:val="18"/>
              </w:rPr>
            </w:pPr>
            <w:r w:rsidRPr="000A1C8E">
              <w:rPr>
                <w:rFonts w:cs="Tahoma"/>
                <w:szCs w:val="18"/>
              </w:rPr>
              <w:t>Office 365 E4/G4 sem Pro Plus</w:t>
            </w:r>
          </w:p>
        </w:tc>
      </w:tr>
      <w:tr w:rsidR="00541ED5" w:rsidRPr="000A1C8E" w:rsidTr="00002DCF">
        <w:tc>
          <w:tcPr>
            <w:tcW w:w="1490" w:type="dxa"/>
            <w:vMerge/>
          </w:tcPr>
          <w:p w:rsidR="00541ED5" w:rsidRPr="000A1C8E" w:rsidRDefault="00541ED5" w:rsidP="00DB3ECB">
            <w:pPr>
              <w:jc w:val="center"/>
              <w:rPr>
                <w:rFonts w:cs="Tahoma"/>
                <w:szCs w:val="18"/>
              </w:rPr>
            </w:pPr>
          </w:p>
        </w:tc>
        <w:tc>
          <w:tcPr>
            <w:tcW w:w="3320" w:type="dxa"/>
            <w:vAlign w:val="center"/>
          </w:tcPr>
          <w:p w:rsidR="00541ED5" w:rsidRPr="000A1C8E" w:rsidRDefault="006C5A92" w:rsidP="00DB3ECB">
            <w:pPr>
              <w:rPr>
                <w:rFonts w:cs="Tahoma"/>
                <w:szCs w:val="18"/>
              </w:rPr>
            </w:pPr>
            <w:r w:rsidRPr="000A1C8E">
              <w:rPr>
                <w:rFonts w:cs="Tahoma"/>
                <w:szCs w:val="18"/>
              </w:rPr>
              <w:t>Complemento do Office 365 E4/G4</w:t>
            </w:r>
          </w:p>
        </w:tc>
        <w:tc>
          <w:tcPr>
            <w:tcW w:w="4043" w:type="dxa"/>
            <w:vAlign w:val="center"/>
          </w:tcPr>
          <w:p w:rsidR="00541ED5" w:rsidRPr="000A1C8E" w:rsidRDefault="006C5A92" w:rsidP="00DB3ECB">
            <w:pPr>
              <w:rPr>
                <w:rFonts w:cs="Tahoma"/>
                <w:szCs w:val="18"/>
              </w:rPr>
            </w:pPr>
            <w:r w:rsidRPr="000A1C8E">
              <w:rPr>
                <w:rFonts w:cs="Tahoma"/>
                <w:szCs w:val="18"/>
              </w:rPr>
              <w:t>Office 365 E4/G4</w:t>
            </w:r>
          </w:p>
        </w:tc>
      </w:tr>
    </w:tbl>
    <w:p w:rsidR="00541ED5" w:rsidRPr="000A1C8E" w:rsidRDefault="00541ED5" w:rsidP="000A0D35">
      <w:pPr>
        <w:ind w:left="720"/>
        <w:rPr>
          <w:rFonts w:cs="Tahoma"/>
        </w:rPr>
      </w:pPr>
    </w:p>
    <w:p w:rsidR="000A0D35" w:rsidRPr="000A1C8E" w:rsidRDefault="000A0D35" w:rsidP="000A0D35">
      <w:pPr>
        <w:ind w:left="720"/>
        <w:rPr>
          <w:rFonts w:cs="Tahoma"/>
        </w:rPr>
      </w:pPr>
      <w:r w:rsidRPr="000A1C8E">
        <w:rPr>
          <w:rFonts w:cs="Tahoma"/>
          <w:szCs w:val="24"/>
          <w:vertAlign w:val="superscript"/>
        </w:rPr>
        <w:t>1</w:t>
      </w:r>
      <w:r w:rsidRPr="000A1C8E">
        <w:rPr>
          <w:rFonts w:cs="Tahoma"/>
          <w:sz w:val="16"/>
          <w:szCs w:val="24"/>
        </w:rPr>
        <w:t>Na tabela acima, o uso de “E” nos nomes de SLs de Usuário Complementares e SLs de Usuário de Serviços Online Correspondentes não indica que esses produtos sejam oferecidos como Produtos Empresariais.</w:t>
      </w:r>
      <w:r w:rsidR="00DC6D8B" w:rsidRPr="000A1C8E">
        <w:rPr>
          <w:rFonts w:cs="Tahoma"/>
          <w:sz w:val="16"/>
          <w:szCs w:val="24"/>
        </w:rPr>
        <w:t xml:space="preserve"> </w:t>
      </w:r>
      <w:r w:rsidRPr="000A1C8E">
        <w:rPr>
          <w:rFonts w:cs="Tahoma"/>
          <w:sz w:val="16"/>
          <w:szCs w:val="24"/>
        </w:rPr>
        <w:t>Ao contrário, é uma abreviação dos nomes dos produtos Office 365, sendo que “E” significa a palavra Enterprise e “G” significa Government.</w:t>
      </w:r>
    </w:p>
    <w:p w:rsidR="000A0D35" w:rsidRPr="000A1C8E" w:rsidRDefault="000A0D35" w:rsidP="000A0D35">
      <w:pPr>
        <w:ind w:left="720"/>
        <w:rPr>
          <w:rFonts w:cs="Tahoma"/>
        </w:rPr>
      </w:pPr>
    </w:p>
    <w:p w:rsidR="000A0D35" w:rsidRPr="000A1C8E" w:rsidRDefault="000A0D35" w:rsidP="000A0D35">
      <w:pPr>
        <w:ind w:left="720"/>
        <w:rPr>
          <w:rFonts w:cs="Tahoma"/>
        </w:rPr>
      </w:pPr>
      <w:r w:rsidRPr="000A1C8E">
        <w:rPr>
          <w:rFonts w:cs="Tahoma"/>
          <w:szCs w:val="24"/>
        </w:rPr>
        <w:t xml:space="preserve">Os seguintes termos e condições aplicam-se a SLs de Usuário Complementares na tabela acima. </w:t>
      </w:r>
    </w:p>
    <w:p w:rsidR="000A0D35" w:rsidRPr="000A1C8E" w:rsidRDefault="000A0D35" w:rsidP="000A0D35">
      <w:pPr>
        <w:ind w:left="900"/>
        <w:rPr>
          <w:rFonts w:cs="Tahoma"/>
        </w:rPr>
      </w:pPr>
    </w:p>
    <w:p w:rsidR="000A0D35" w:rsidRPr="000A1C8E" w:rsidRDefault="000A0D35" w:rsidP="000A0D35">
      <w:pPr>
        <w:keepNext/>
        <w:spacing w:after="60"/>
        <w:ind w:left="720"/>
        <w:rPr>
          <w:rFonts w:cs="Tahoma"/>
        </w:rPr>
      </w:pPr>
      <w:r w:rsidRPr="000A1C8E">
        <w:rPr>
          <w:rFonts w:eastAsia="Calibri" w:cs="Tahoma"/>
          <w:b/>
          <w:color w:val="000000"/>
          <w:szCs w:val="18"/>
        </w:rPr>
        <w:t>Qualificação para Compra</w:t>
      </w:r>
    </w:p>
    <w:p w:rsidR="000A0D35" w:rsidRPr="000A1C8E" w:rsidRDefault="000A0D35" w:rsidP="000A0D35">
      <w:pPr>
        <w:spacing w:after="60"/>
        <w:ind w:left="720"/>
        <w:rPr>
          <w:rFonts w:cs="Tahoma"/>
        </w:rPr>
      </w:pPr>
      <w:r w:rsidRPr="000A1C8E">
        <w:rPr>
          <w:rFonts w:cs="Tahoma"/>
          <w:szCs w:val="24"/>
        </w:rPr>
        <w:t xml:space="preserve">Para comprar uma SL de Usuário Complementar: </w:t>
      </w:r>
    </w:p>
    <w:p w:rsidR="000A0D35" w:rsidRPr="00BD3A67" w:rsidRDefault="000A0D35" w:rsidP="003D3933">
      <w:pPr>
        <w:pStyle w:val="ListParagraph"/>
        <w:numPr>
          <w:ilvl w:val="0"/>
          <w:numId w:val="133"/>
        </w:numPr>
        <w:spacing w:after="60"/>
        <w:rPr>
          <w:rFonts w:ascii="Tahoma" w:hAnsi="Tahoma" w:cs="Tahoma"/>
          <w:sz w:val="18"/>
          <w:szCs w:val="18"/>
        </w:rPr>
      </w:pPr>
      <w:r w:rsidRPr="00BD3A67">
        <w:rPr>
          <w:rFonts w:ascii="Tahoma" w:hAnsi="Tahoma" w:cs="Tahoma"/>
          <w:sz w:val="18"/>
          <w:szCs w:val="18"/>
        </w:rPr>
        <w:t xml:space="preserve">Os Clientes devem ter um Registro Enterprise ativo sem Software Assurance ativo para as Licenças Qualificadas correspondentes. As Licenças Qualificadas podem ser baseadas em usuário ou dispositivo. </w:t>
      </w:r>
    </w:p>
    <w:p w:rsidR="000A0D35" w:rsidRPr="00BD3A67" w:rsidRDefault="000A0D35" w:rsidP="003D3933">
      <w:pPr>
        <w:pStyle w:val="ListParagraph"/>
        <w:numPr>
          <w:ilvl w:val="0"/>
          <w:numId w:val="133"/>
        </w:numPr>
        <w:spacing w:after="60"/>
        <w:rPr>
          <w:rFonts w:ascii="Tahoma" w:hAnsi="Tahoma" w:cs="Tahoma"/>
          <w:sz w:val="18"/>
          <w:szCs w:val="18"/>
        </w:rPr>
      </w:pPr>
      <w:r w:rsidRPr="00BD3A67">
        <w:rPr>
          <w:rFonts w:ascii="Tahoma" w:hAnsi="Tahoma" w:cs="Tahoma"/>
          <w:sz w:val="18"/>
          <w:szCs w:val="18"/>
        </w:rPr>
        <w:t>Clientes com uma versão anterior à versão 2010 do MBSA devem assinar os Termos e Condições Complementares de Serviços Online.</w:t>
      </w:r>
    </w:p>
    <w:p w:rsidR="000A0D35" w:rsidRPr="00BD3A67" w:rsidRDefault="000A0D35" w:rsidP="000A0D35">
      <w:pPr>
        <w:pStyle w:val="ListParagraph"/>
        <w:tabs>
          <w:tab w:val="left" w:pos="1440"/>
        </w:tabs>
        <w:spacing w:after="60"/>
        <w:ind w:left="1800"/>
        <w:rPr>
          <w:rFonts w:ascii="Tahoma" w:hAnsi="Tahoma" w:cs="Tahoma"/>
          <w:sz w:val="18"/>
          <w:szCs w:val="18"/>
        </w:rPr>
      </w:pPr>
    </w:p>
    <w:p w:rsidR="000A0D35" w:rsidRPr="000A1C8E" w:rsidRDefault="000A0D35" w:rsidP="000A0D35">
      <w:pPr>
        <w:keepNext/>
        <w:spacing w:after="60"/>
        <w:ind w:left="720"/>
        <w:rPr>
          <w:rFonts w:cs="Tahoma"/>
        </w:rPr>
      </w:pPr>
      <w:r w:rsidRPr="000A1C8E">
        <w:rPr>
          <w:rFonts w:eastAsia="Calibri" w:cs="Tahoma"/>
          <w:b/>
          <w:color w:val="000000"/>
          <w:szCs w:val="18"/>
        </w:rPr>
        <w:t>Restrições de Compra</w:t>
      </w:r>
    </w:p>
    <w:p w:rsidR="000A0D35" w:rsidRDefault="000A0D35" w:rsidP="000A0D35">
      <w:pPr>
        <w:spacing w:after="60"/>
        <w:ind w:left="720"/>
        <w:rPr>
          <w:rFonts w:cs="Tahoma"/>
          <w:szCs w:val="24"/>
        </w:rPr>
      </w:pPr>
      <w:r w:rsidRPr="000A1C8E">
        <w:rPr>
          <w:rFonts w:cs="Tahoma"/>
          <w:szCs w:val="24"/>
        </w:rPr>
        <w:t>Apenas uma SL de Usuário Complementar pode ser adquirida para cada Licença Qualificada (ou conjunto de Licenças Qualificadas).</w:t>
      </w:r>
    </w:p>
    <w:p w:rsidR="00002DCF" w:rsidRPr="000A1C8E" w:rsidRDefault="00002DCF" w:rsidP="000A0D35">
      <w:pPr>
        <w:spacing w:after="60"/>
        <w:ind w:left="720"/>
        <w:rPr>
          <w:rFonts w:cs="Tahoma"/>
        </w:rPr>
      </w:pPr>
    </w:p>
    <w:p w:rsidR="000A0D35" w:rsidRPr="000A1C8E" w:rsidRDefault="000A0D35" w:rsidP="000A0D35">
      <w:pPr>
        <w:keepNext/>
        <w:spacing w:after="60"/>
        <w:ind w:left="720"/>
        <w:rPr>
          <w:rFonts w:cs="Tahoma"/>
        </w:rPr>
      </w:pPr>
      <w:r w:rsidRPr="000A1C8E">
        <w:rPr>
          <w:rFonts w:eastAsia="Calibri" w:cs="Tahoma"/>
          <w:b/>
          <w:color w:val="000000"/>
          <w:szCs w:val="18"/>
        </w:rPr>
        <w:t>Cessão da Licença</w:t>
      </w:r>
    </w:p>
    <w:p w:rsidR="000A0D35" w:rsidRPr="000A1C8E" w:rsidRDefault="000A0D35" w:rsidP="00D824E9">
      <w:pPr>
        <w:ind w:left="720"/>
        <w:rPr>
          <w:rFonts w:cs="Tahoma"/>
        </w:rPr>
      </w:pPr>
      <w:r w:rsidRPr="000A1C8E">
        <w:rPr>
          <w:rFonts w:cs="Tahoma"/>
          <w:szCs w:val="24"/>
        </w:rPr>
        <w:t xml:space="preserve">Cada SL de Usuário Complementar deve ser atribuída a um único Usuário Qualificado (conforme definido no Registro Enterprise do Cliente). SLs de Usuário Complementares podem ser reatribuídas a outros Usuários Qualificados de acordo com os Termos da Licença Universal (PUR) dos Direitos de Uso de Produto de Licenciamento por Volume da Microsoft que regem a reatribuição de licenças de SLs de usuário. </w:t>
      </w:r>
    </w:p>
    <w:p w:rsidR="000A0D35" w:rsidRDefault="000A0D35" w:rsidP="000A0D35">
      <w:pPr>
        <w:spacing w:after="60"/>
        <w:ind w:left="720"/>
        <w:rPr>
          <w:rFonts w:cs="Tahoma"/>
        </w:rPr>
      </w:pPr>
    </w:p>
    <w:p w:rsidR="00002DCF" w:rsidRDefault="00002DCF" w:rsidP="000A0D35">
      <w:pPr>
        <w:spacing w:after="60"/>
        <w:ind w:left="720"/>
        <w:rPr>
          <w:rFonts w:cs="Tahoma"/>
        </w:rPr>
      </w:pPr>
    </w:p>
    <w:p w:rsidR="00002DCF" w:rsidRDefault="00002DCF" w:rsidP="000A0D35">
      <w:pPr>
        <w:spacing w:after="60"/>
        <w:ind w:left="720"/>
        <w:rPr>
          <w:rFonts w:cs="Tahoma"/>
        </w:rPr>
      </w:pPr>
    </w:p>
    <w:p w:rsidR="00002DCF" w:rsidRPr="000A1C8E" w:rsidRDefault="00002DCF" w:rsidP="000A0D35">
      <w:pPr>
        <w:spacing w:after="60"/>
        <w:ind w:left="720"/>
        <w:rPr>
          <w:rFonts w:cs="Tahoma"/>
        </w:rPr>
      </w:pPr>
    </w:p>
    <w:p w:rsidR="000A0D35" w:rsidRPr="000A1C8E" w:rsidRDefault="000A0D35" w:rsidP="000A0D35">
      <w:pPr>
        <w:keepNext/>
        <w:spacing w:after="60"/>
        <w:ind w:left="720"/>
        <w:rPr>
          <w:rFonts w:cs="Tahoma"/>
        </w:rPr>
      </w:pPr>
      <w:r w:rsidRPr="000A1C8E">
        <w:rPr>
          <w:rFonts w:eastAsia="Calibri" w:cs="Tahoma"/>
          <w:b/>
          <w:color w:val="000000"/>
          <w:szCs w:val="18"/>
        </w:rPr>
        <w:t>Direitos de Uso</w:t>
      </w:r>
    </w:p>
    <w:p w:rsidR="000A0D35" w:rsidRPr="000A1C8E" w:rsidRDefault="000A0D35" w:rsidP="00D824E9">
      <w:pPr>
        <w:ind w:left="720"/>
        <w:rPr>
          <w:rFonts w:cs="Tahoma"/>
        </w:rPr>
      </w:pPr>
      <w:r w:rsidRPr="000A1C8E">
        <w:rPr>
          <w:rFonts w:eastAsia="Calibri" w:cs="Tahoma"/>
          <w:color w:val="000000"/>
          <w:szCs w:val="18"/>
        </w:rPr>
        <w:t>Cada SL de Usuário Complementar fornece direitos de uso equivalentes à SL de Usuário de Serviço Online Correspondente. Os</w:t>
      </w:r>
      <w:r w:rsidRPr="000A1C8E">
        <w:rPr>
          <w:rFonts w:cs="Tahoma"/>
          <w:szCs w:val="24"/>
        </w:rPr>
        <w:t xml:space="preserve"> direitos de uso para cada SL de Usuário de Serviço Online Correspondente são definidos no PUR. Os direitos de uso adquiridos pela compra dessas SLs de Usuário Complementares expiram com no término da cobertura de Software Assurance para as Licenças Qualificadas ou no final do prazo de assinatura da SL de Usuário Complementar, o que ocorrer primeiro. A compra dessas SLs de Usuário Complementar não causa impacto nos direitos de uso das Licenças Qualificadas. </w:t>
      </w:r>
    </w:p>
    <w:p w:rsidR="000A0D35" w:rsidRPr="000A1C8E" w:rsidRDefault="000A0D35" w:rsidP="000A0D35">
      <w:pPr>
        <w:spacing w:after="60"/>
        <w:ind w:left="720"/>
        <w:rPr>
          <w:rFonts w:cs="Tahoma"/>
        </w:rPr>
      </w:pPr>
    </w:p>
    <w:p w:rsidR="000A0D35" w:rsidRPr="000A1C8E" w:rsidRDefault="000A0D35" w:rsidP="000A0D35">
      <w:pPr>
        <w:keepNext/>
        <w:spacing w:after="60"/>
        <w:ind w:left="720"/>
        <w:rPr>
          <w:rFonts w:cs="Tahoma"/>
        </w:rPr>
      </w:pPr>
      <w:r w:rsidRPr="000A1C8E">
        <w:rPr>
          <w:rFonts w:eastAsia="Calibri" w:cs="Tahoma"/>
          <w:b/>
          <w:color w:val="000000"/>
          <w:szCs w:val="18"/>
        </w:rPr>
        <w:t>Adequações (“true-ups”)</w:t>
      </w:r>
    </w:p>
    <w:p w:rsidR="000A0D35" w:rsidRPr="000A1C8E" w:rsidRDefault="000A0D35" w:rsidP="000A0D35">
      <w:pPr>
        <w:spacing w:after="60"/>
        <w:ind w:left="720"/>
        <w:rPr>
          <w:rFonts w:cs="Tahoma"/>
        </w:rPr>
      </w:pPr>
      <w:r w:rsidRPr="000A1C8E">
        <w:rPr>
          <w:rFonts w:eastAsia="Calibri" w:cs="Tahoma"/>
          <w:color w:val="000000"/>
          <w:szCs w:val="18"/>
        </w:rPr>
        <w:t>SLs de Usuário Complementares não são Produtos Empresariais nem Serviços Online Empresariais. Eles não podem ser usados para atender aos requisitos contidos no Registro Enterprise para toda a Empresa. Por exemplo, se um cliente selecionar Office Professional Plus como um Produto Empresarial em seu Registro Enterprise e usar uma SL de Usuário Complementar para instalar o Office 365 Pro Plus em um Dispositivo Qualificado sem Office Professional Plus, eles ainda deverão enviar um Pedido de adequação ("true-up") para Office Professional Plus no Dispositivo Qualificado—junto com qualquer outro Produto Empresarial exigido para aquele Dispositivo Qualificado.</w:t>
      </w:r>
    </w:p>
    <w:p w:rsidR="00996781" w:rsidRPr="000A1C8E" w:rsidRDefault="00996781" w:rsidP="00B26237">
      <w:pPr>
        <w:pStyle w:val="Heading2"/>
        <w:ind w:left="0"/>
        <w:rPr>
          <w:rFonts w:ascii="Tahoma" w:hAnsi="Tahoma" w:cs="Tahoma"/>
          <w:b w:val="0"/>
          <w:bCs/>
          <w:sz w:val="18"/>
          <w:szCs w:val="18"/>
        </w:rPr>
      </w:pPr>
    </w:p>
    <w:p w:rsidR="00996781" w:rsidRPr="000A1C8E" w:rsidRDefault="00996781" w:rsidP="00B26237">
      <w:pPr>
        <w:pStyle w:val="Heading2"/>
        <w:ind w:left="0"/>
        <w:rPr>
          <w:rFonts w:ascii="Tahoma" w:hAnsi="Tahoma" w:cs="Tahoma"/>
          <w:b w:val="0"/>
          <w:bCs/>
          <w:sz w:val="18"/>
          <w:szCs w:val="18"/>
        </w:rPr>
      </w:pPr>
    </w:p>
    <w:p w:rsidR="00B26237" w:rsidRPr="000A1C8E" w:rsidRDefault="00A560B6" w:rsidP="00B26237">
      <w:pPr>
        <w:pStyle w:val="Heading2"/>
        <w:ind w:left="0"/>
        <w:rPr>
          <w:rFonts w:ascii="Tahoma" w:hAnsi="Tahoma" w:cs="Tahoma"/>
        </w:rPr>
      </w:pPr>
      <w:bookmarkStart w:id="995" w:name="_7_Office_365_1"/>
      <w:bookmarkStart w:id="996" w:name="_8_Office_365"/>
      <w:bookmarkStart w:id="997" w:name="_Toc361829349"/>
      <w:bookmarkEnd w:id="995"/>
      <w:bookmarkEnd w:id="996"/>
      <w:r w:rsidRPr="000A1C8E">
        <w:rPr>
          <w:rFonts w:ascii="Tahoma" w:hAnsi="Tahoma" w:cs="Tahoma"/>
          <w:caps/>
          <w:color w:val="FF6600"/>
          <w:sz w:val="22"/>
          <w:szCs w:val="22"/>
          <w:vertAlign w:val="superscript"/>
        </w:rPr>
        <w:t xml:space="preserve">8 </w:t>
      </w:r>
      <w:r w:rsidRPr="000A1C8E">
        <w:rPr>
          <w:rFonts w:ascii="Tahoma" w:hAnsi="Tahoma" w:cs="Tahoma"/>
          <w:color w:val="FF6600"/>
          <w:sz w:val="22"/>
          <w:szCs w:val="22"/>
        </w:rPr>
        <w:t>Office 365 Enterprise E2-E4</w:t>
      </w:r>
      <w:bookmarkEnd w:id="991"/>
      <w:bookmarkEnd w:id="997"/>
    </w:p>
    <w:p w:rsidR="00B26237" w:rsidRPr="000A1C8E" w:rsidRDefault="00B26237" w:rsidP="00AE5A9F">
      <w:pPr>
        <w:rPr>
          <w:rFonts w:cs="Tahoma"/>
        </w:rPr>
      </w:pPr>
    </w:p>
    <w:p w:rsidR="00B26237" w:rsidRPr="000A1C8E" w:rsidRDefault="00B26237" w:rsidP="00B26237">
      <w:pPr>
        <w:ind w:left="720"/>
        <w:rPr>
          <w:rFonts w:cs="Tahoma"/>
        </w:rPr>
      </w:pPr>
      <w:r w:rsidRPr="000A1C8E">
        <w:rPr>
          <w:rFonts w:cs="Tahoma"/>
          <w:color w:val="000000"/>
        </w:rPr>
        <w:t>O Office 365 Planos E2-E4 permite acesso aos seguintes Serviços Online:</w:t>
      </w:r>
    </w:p>
    <w:p w:rsidR="00B26237" w:rsidRPr="000A1C8E"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0A1C8E" w:rsidTr="007E466C">
        <w:tc>
          <w:tcPr>
            <w:tcW w:w="2760" w:type="dxa"/>
            <w:shd w:val="clear" w:color="auto" w:fill="FABF8F"/>
          </w:tcPr>
          <w:p w:rsidR="00B26237" w:rsidRPr="000A1C8E" w:rsidRDefault="00B26237" w:rsidP="009B3FA2">
            <w:pPr>
              <w:jc w:val="center"/>
              <w:rPr>
                <w:rFonts w:eastAsia="Calibri" w:cs="Tahoma"/>
                <w:b/>
                <w:color w:val="000000"/>
                <w:sz w:val="20"/>
              </w:rPr>
            </w:pPr>
            <w:r w:rsidRPr="000A1C8E">
              <w:rPr>
                <w:rFonts w:eastAsia="Calibri" w:cs="Tahoma"/>
                <w:b/>
                <w:color w:val="000000"/>
                <w:sz w:val="20"/>
              </w:rPr>
              <w:t>Office 365 Enterprise E2</w:t>
            </w:r>
          </w:p>
        </w:tc>
        <w:tc>
          <w:tcPr>
            <w:tcW w:w="2765" w:type="dxa"/>
            <w:shd w:val="clear" w:color="auto" w:fill="FABF8F"/>
          </w:tcPr>
          <w:p w:rsidR="00B26237" w:rsidRPr="000A1C8E" w:rsidRDefault="00B26237" w:rsidP="009B3FA2">
            <w:pPr>
              <w:jc w:val="center"/>
              <w:rPr>
                <w:rFonts w:eastAsia="Calibri" w:cs="Tahoma"/>
                <w:b/>
                <w:color w:val="000000"/>
                <w:sz w:val="20"/>
              </w:rPr>
            </w:pPr>
            <w:r w:rsidRPr="000A1C8E">
              <w:rPr>
                <w:rFonts w:eastAsia="Calibri" w:cs="Tahoma"/>
                <w:b/>
                <w:color w:val="000000"/>
                <w:sz w:val="20"/>
              </w:rPr>
              <w:t>Office 365 Enterprise E3</w:t>
            </w:r>
          </w:p>
        </w:tc>
        <w:tc>
          <w:tcPr>
            <w:tcW w:w="2765" w:type="dxa"/>
            <w:shd w:val="clear" w:color="auto" w:fill="FABF8F"/>
          </w:tcPr>
          <w:p w:rsidR="00B26237" w:rsidRPr="000A1C8E" w:rsidRDefault="00B26237" w:rsidP="009B3FA2">
            <w:pPr>
              <w:jc w:val="center"/>
              <w:rPr>
                <w:rFonts w:eastAsia="Calibri" w:cs="Tahoma"/>
                <w:b/>
                <w:color w:val="000000"/>
                <w:sz w:val="20"/>
              </w:rPr>
            </w:pPr>
            <w:r w:rsidRPr="000A1C8E">
              <w:rPr>
                <w:rFonts w:eastAsia="Calibri" w:cs="Tahoma"/>
                <w:b/>
                <w:color w:val="000000"/>
                <w:sz w:val="20"/>
              </w:rPr>
              <w:t>Office 365 Enterprise E4</w:t>
            </w:r>
          </w:p>
        </w:tc>
      </w:tr>
      <w:tr w:rsidR="00B26237" w:rsidRPr="000A1C8E" w:rsidTr="007E466C">
        <w:tc>
          <w:tcPr>
            <w:tcW w:w="2760" w:type="dxa"/>
            <w:shd w:val="clear" w:color="auto" w:fill="auto"/>
          </w:tcPr>
          <w:p w:rsidR="00B26237" w:rsidRPr="000A1C8E" w:rsidRDefault="00B26237" w:rsidP="00B42A20">
            <w:pPr>
              <w:ind w:left="180" w:right="186"/>
              <w:rPr>
                <w:rFonts w:eastAsia="Calibri" w:cs="Tahoma"/>
                <w:color w:val="000000"/>
              </w:rPr>
            </w:pPr>
            <w:r w:rsidRPr="000A1C8E">
              <w:rPr>
                <w:rFonts w:eastAsia="Calibri" w:cs="Tahoma"/>
                <w:color w:val="000000"/>
              </w:rPr>
              <w:t>Exchange Online Plano 1</w:t>
            </w:r>
          </w:p>
        </w:tc>
        <w:tc>
          <w:tcPr>
            <w:tcW w:w="2765" w:type="dxa"/>
            <w:shd w:val="clear" w:color="auto" w:fill="auto"/>
          </w:tcPr>
          <w:p w:rsidR="00B26237" w:rsidRPr="000A1C8E" w:rsidRDefault="00B26237" w:rsidP="00B42A20">
            <w:pPr>
              <w:ind w:left="138" w:right="138"/>
              <w:rPr>
                <w:rFonts w:eastAsia="Calibri" w:cs="Tahoma"/>
                <w:color w:val="000000"/>
              </w:rPr>
            </w:pPr>
            <w:r w:rsidRPr="000A1C8E">
              <w:rPr>
                <w:rFonts w:eastAsia="Calibri" w:cs="Tahoma"/>
                <w:color w:val="000000"/>
              </w:rPr>
              <w:t>Exchange Online Plano 2</w:t>
            </w:r>
          </w:p>
        </w:tc>
        <w:tc>
          <w:tcPr>
            <w:tcW w:w="2765" w:type="dxa"/>
            <w:shd w:val="clear" w:color="auto" w:fill="auto"/>
          </w:tcPr>
          <w:p w:rsidR="00B26237" w:rsidRPr="000A1C8E" w:rsidRDefault="00B26237" w:rsidP="00B42A20">
            <w:pPr>
              <w:ind w:left="186" w:right="180"/>
              <w:rPr>
                <w:rFonts w:eastAsia="Calibri" w:cs="Tahoma"/>
                <w:color w:val="000000"/>
              </w:rPr>
            </w:pPr>
            <w:r w:rsidRPr="000A1C8E">
              <w:rPr>
                <w:rFonts w:eastAsia="Calibri" w:cs="Tahoma"/>
                <w:color w:val="000000"/>
              </w:rPr>
              <w:t>Exchange Online Plano 2</w:t>
            </w:r>
          </w:p>
        </w:tc>
      </w:tr>
      <w:tr w:rsidR="00B26237" w:rsidRPr="000A1C8E" w:rsidTr="007E466C">
        <w:tc>
          <w:tcPr>
            <w:tcW w:w="2760" w:type="dxa"/>
            <w:shd w:val="clear" w:color="auto" w:fill="auto"/>
          </w:tcPr>
          <w:p w:rsidR="00B26237" w:rsidRPr="000A1C8E" w:rsidRDefault="00B26237" w:rsidP="00B42A20">
            <w:pPr>
              <w:ind w:left="180" w:right="186"/>
              <w:rPr>
                <w:rFonts w:eastAsia="Calibri" w:cs="Tahoma"/>
                <w:color w:val="000000"/>
              </w:rPr>
            </w:pPr>
            <w:r w:rsidRPr="000A1C8E">
              <w:rPr>
                <w:rFonts w:eastAsia="Calibri" w:cs="Tahoma"/>
                <w:color w:val="000000"/>
              </w:rPr>
              <w:t>SharePoint Online Plano 1</w:t>
            </w:r>
          </w:p>
        </w:tc>
        <w:tc>
          <w:tcPr>
            <w:tcW w:w="2765" w:type="dxa"/>
            <w:shd w:val="clear" w:color="auto" w:fill="auto"/>
          </w:tcPr>
          <w:p w:rsidR="00B26237" w:rsidRPr="000A1C8E" w:rsidRDefault="00B26237" w:rsidP="00B42A20">
            <w:pPr>
              <w:ind w:left="138" w:right="138"/>
              <w:rPr>
                <w:rFonts w:eastAsia="Calibri" w:cs="Tahoma"/>
                <w:color w:val="000000"/>
              </w:rPr>
            </w:pPr>
            <w:r w:rsidRPr="000A1C8E">
              <w:rPr>
                <w:rFonts w:eastAsia="Calibri" w:cs="Tahoma"/>
                <w:color w:val="000000"/>
              </w:rPr>
              <w:t>SharePoint Online Plano 2</w:t>
            </w:r>
          </w:p>
        </w:tc>
        <w:tc>
          <w:tcPr>
            <w:tcW w:w="2765" w:type="dxa"/>
            <w:shd w:val="clear" w:color="auto" w:fill="auto"/>
          </w:tcPr>
          <w:p w:rsidR="00B26237" w:rsidRPr="000A1C8E" w:rsidRDefault="00B26237" w:rsidP="00B42A20">
            <w:pPr>
              <w:ind w:left="186" w:right="180"/>
              <w:rPr>
                <w:rFonts w:eastAsia="Calibri" w:cs="Tahoma"/>
                <w:color w:val="000000"/>
              </w:rPr>
            </w:pPr>
            <w:r w:rsidRPr="000A1C8E">
              <w:rPr>
                <w:rFonts w:eastAsia="Calibri" w:cs="Tahoma"/>
                <w:color w:val="000000"/>
              </w:rPr>
              <w:t>SharePoint Online Plano 2</w:t>
            </w:r>
          </w:p>
        </w:tc>
      </w:tr>
      <w:tr w:rsidR="00B26237" w:rsidRPr="000A1C8E" w:rsidTr="007E466C">
        <w:tc>
          <w:tcPr>
            <w:tcW w:w="2760" w:type="dxa"/>
            <w:shd w:val="clear" w:color="auto" w:fill="auto"/>
          </w:tcPr>
          <w:p w:rsidR="00B26237" w:rsidRPr="000A1C8E" w:rsidRDefault="00B26237" w:rsidP="00B42A20">
            <w:pPr>
              <w:ind w:left="180" w:right="186"/>
              <w:rPr>
                <w:rFonts w:eastAsia="Calibri" w:cs="Tahoma"/>
                <w:color w:val="000000"/>
              </w:rPr>
            </w:pPr>
            <w:r w:rsidRPr="000A1C8E">
              <w:rPr>
                <w:rFonts w:eastAsia="Calibri" w:cs="Tahoma"/>
                <w:color w:val="000000"/>
              </w:rPr>
              <w:t>Lync Online Plano 2</w:t>
            </w:r>
          </w:p>
        </w:tc>
        <w:tc>
          <w:tcPr>
            <w:tcW w:w="2765" w:type="dxa"/>
            <w:shd w:val="clear" w:color="auto" w:fill="auto"/>
          </w:tcPr>
          <w:p w:rsidR="00B26237" w:rsidRPr="000A1C8E" w:rsidRDefault="00B26237" w:rsidP="00B42A20">
            <w:pPr>
              <w:ind w:left="138" w:right="138"/>
              <w:rPr>
                <w:rFonts w:eastAsia="Calibri" w:cs="Tahoma"/>
                <w:color w:val="000000"/>
              </w:rPr>
            </w:pPr>
            <w:r w:rsidRPr="000A1C8E">
              <w:rPr>
                <w:rFonts w:eastAsia="Calibri" w:cs="Tahoma"/>
                <w:color w:val="000000"/>
              </w:rPr>
              <w:t>Lync Online Plano 2</w:t>
            </w:r>
          </w:p>
        </w:tc>
        <w:tc>
          <w:tcPr>
            <w:tcW w:w="2765" w:type="dxa"/>
            <w:shd w:val="clear" w:color="auto" w:fill="auto"/>
          </w:tcPr>
          <w:p w:rsidR="00B26237" w:rsidRPr="000A1C8E" w:rsidRDefault="00630ED6" w:rsidP="00B42A20">
            <w:pPr>
              <w:ind w:left="186" w:right="180"/>
              <w:rPr>
                <w:rFonts w:eastAsia="Calibri" w:cs="Tahoma"/>
                <w:color w:val="000000"/>
              </w:rPr>
            </w:pPr>
            <w:r w:rsidRPr="000A1C8E">
              <w:rPr>
                <w:rFonts w:eastAsia="Calibri" w:cs="Tahoma"/>
                <w:color w:val="000000"/>
              </w:rPr>
              <w:t>Lync Online Plano 3*</w:t>
            </w:r>
          </w:p>
        </w:tc>
      </w:tr>
      <w:tr w:rsidR="00B26237" w:rsidRPr="000A1C8E" w:rsidTr="007E466C">
        <w:tc>
          <w:tcPr>
            <w:tcW w:w="2760" w:type="dxa"/>
            <w:shd w:val="clear" w:color="auto" w:fill="auto"/>
          </w:tcPr>
          <w:p w:rsidR="00B26237" w:rsidRPr="000A1C8E" w:rsidRDefault="00B26237" w:rsidP="00B42A20">
            <w:pPr>
              <w:ind w:left="180" w:right="186"/>
              <w:rPr>
                <w:rFonts w:eastAsia="Calibri" w:cs="Tahoma"/>
                <w:color w:val="000000"/>
              </w:rPr>
            </w:pPr>
            <w:r w:rsidRPr="000A1C8E">
              <w:rPr>
                <w:rFonts w:eastAsia="Calibri" w:cs="Tahoma"/>
                <w:color w:val="000000"/>
              </w:rPr>
              <w:t>Aplicativos da Web do Office (Hospedados pela Microsoft)</w:t>
            </w:r>
          </w:p>
        </w:tc>
        <w:tc>
          <w:tcPr>
            <w:tcW w:w="2765" w:type="dxa"/>
            <w:shd w:val="clear" w:color="auto" w:fill="auto"/>
          </w:tcPr>
          <w:p w:rsidR="00B26237" w:rsidRPr="000A1C8E" w:rsidRDefault="00B26237" w:rsidP="00B42A20">
            <w:pPr>
              <w:ind w:left="138" w:right="138"/>
              <w:rPr>
                <w:rFonts w:eastAsia="Calibri" w:cs="Tahoma"/>
                <w:color w:val="000000"/>
              </w:rPr>
            </w:pPr>
            <w:r w:rsidRPr="000A1C8E">
              <w:rPr>
                <w:rFonts w:eastAsia="Calibri" w:cs="Tahoma"/>
                <w:color w:val="000000"/>
              </w:rPr>
              <w:t>Aplicativos da Web do Office (Hospedados pela Microsoft)</w:t>
            </w:r>
          </w:p>
        </w:tc>
        <w:tc>
          <w:tcPr>
            <w:tcW w:w="2765" w:type="dxa"/>
            <w:shd w:val="clear" w:color="auto" w:fill="auto"/>
          </w:tcPr>
          <w:p w:rsidR="00B26237" w:rsidRPr="000A1C8E" w:rsidRDefault="00B26237" w:rsidP="00B42A20">
            <w:pPr>
              <w:ind w:left="186" w:right="180"/>
              <w:rPr>
                <w:rFonts w:eastAsia="Calibri" w:cs="Tahoma"/>
                <w:color w:val="000000"/>
              </w:rPr>
            </w:pPr>
            <w:r w:rsidRPr="000A1C8E">
              <w:rPr>
                <w:rFonts w:eastAsia="Calibri" w:cs="Tahoma"/>
                <w:color w:val="000000"/>
              </w:rPr>
              <w:t>Aplicativos da Web do Office (Hospedados pela Microsoft)</w:t>
            </w:r>
          </w:p>
        </w:tc>
      </w:tr>
      <w:tr w:rsidR="00B26237" w:rsidRPr="000A1C8E" w:rsidTr="007E466C">
        <w:tc>
          <w:tcPr>
            <w:tcW w:w="2760" w:type="dxa"/>
            <w:shd w:val="clear" w:color="auto" w:fill="auto"/>
          </w:tcPr>
          <w:p w:rsidR="00B26237" w:rsidRPr="000A1C8E" w:rsidRDefault="00E36EF1" w:rsidP="00B42A20">
            <w:pPr>
              <w:ind w:left="180" w:right="186"/>
              <w:rPr>
                <w:rFonts w:eastAsia="Calibri" w:cs="Tahoma"/>
                <w:color w:val="000000"/>
              </w:rPr>
            </w:pPr>
            <w:r>
              <w:rPr>
                <w:rFonts w:eastAsia="Calibri" w:cs="Tahoma"/>
                <w:color w:val="000000"/>
              </w:rPr>
              <w:t>Yammer Enterprise</w:t>
            </w:r>
          </w:p>
        </w:tc>
        <w:tc>
          <w:tcPr>
            <w:tcW w:w="2765" w:type="dxa"/>
            <w:shd w:val="clear" w:color="auto" w:fill="auto"/>
          </w:tcPr>
          <w:p w:rsidR="00B26237" w:rsidRPr="000A1C8E" w:rsidRDefault="008368B4" w:rsidP="00B42A20">
            <w:pPr>
              <w:ind w:left="138" w:right="138"/>
              <w:rPr>
                <w:rFonts w:eastAsia="Calibri" w:cs="Tahoma"/>
                <w:color w:val="000000"/>
              </w:rPr>
            </w:pPr>
            <w:r w:rsidRPr="000A1C8E">
              <w:rPr>
                <w:rFonts w:eastAsia="Calibri" w:cs="Tahoma"/>
                <w:color w:val="000000"/>
              </w:rPr>
              <w:t>Office 365 ProPlus</w:t>
            </w:r>
          </w:p>
        </w:tc>
        <w:tc>
          <w:tcPr>
            <w:tcW w:w="2765" w:type="dxa"/>
            <w:shd w:val="clear" w:color="auto" w:fill="auto"/>
          </w:tcPr>
          <w:p w:rsidR="00B26237" w:rsidRPr="000A1C8E" w:rsidRDefault="008368B4" w:rsidP="008368B4">
            <w:pPr>
              <w:ind w:left="186" w:right="180"/>
              <w:rPr>
                <w:rFonts w:eastAsia="Calibri" w:cs="Tahoma"/>
                <w:color w:val="000000"/>
              </w:rPr>
            </w:pPr>
            <w:r w:rsidRPr="000A1C8E">
              <w:rPr>
                <w:rFonts w:eastAsia="Calibri" w:cs="Tahoma"/>
                <w:color w:val="000000"/>
              </w:rPr>
              <w:t>Office 365 ProPlus</w:t>
            </w:r>
          </w:p>
        </w:tc>
      </w:tr>
      <w:tr w:rsidR="005D484B" w:rsidRPr="000A1C8E" w:rsidTr="007E466C">
        <w:tc>
          <w:tcPr>
            <w:tcW w:w="2760" w:type="dxa"/>
            <w:shd w:val="clear" w:color="auto" w:fill="auto"/>
          </w:tcPr>
          <w:p w:rsidR="005D484B" w:rsidRPr="000A1C8E" w:rsidRDefault="005D484B" w:rsidP="00B42A20">
            <w:pPr>
              <w:ind w:left="180" w:right="186"/>
              <w:rPr>
                <w:rFonts w:eastAsia="Calibri" w:cs="Tahoma"/>
                <w:color w:val="000000"/>
              </w:rPr>
            </w:pPr>
          </w:p>
        </w:tc>
        <w:tc>
          <w:tcPr>
            <w:tcW w:w="2765" w:type="dxa"/>
            <w:shd w:val="clear" w:color="auto" w:fill="auto"/>
          </w:tcPr>
          <w:p w:rsidR="005D484B" w:rsidRPr="000A1C8E" w:rsidRDefault="005D484B" w:rsidP="00B42A20">
            <w:pPr>
              <w:ind w:left="138" w:right="138"/>
              <w:rPr>
                <w:rFonts w:eastAsia="Calibri" w:cs="Tahoma"/>
                <w:color w:val="000000"/>
              </w:rPr>
            </w:pPr>
            <w:r w:rsidRPr="000A1C8E">
              <w:rPr>
                <w:rFonts w:eastAsia="Calibri" w:cs="Tahoma"/>
                <w:color w:val="000000"/>
              </w:rPr>
              <w:t>Gerenciamento de Direitos do Active Directory do Windows Azure</w:t>
            </w:r>
          </w:p>
        </w:tc>
        <w:tc>
          <w:tcPr>
            <w:tcW w:w="2765" w:type="dxa"/>
            <w:shd w:val="clear" w:color="auto" w:fill="auto"/>
          </w:tcPr>
          <w:p w:rsidR="005D484B" w:rsidRPr="000A1C8E" w:rsidRDefault="005D484B" w:rsidP="008368B4">
            <w:pPr>
              <w:ind w:left="186" w:right="180"/>
              <w:rPr>
                <w:rFonts w:eastAsia="Calibri" w:cs="Tahoma"/>
                <w:color w:val="000000"/>
              </w:rPr>
            </w:pPr>
            <w:r w:rsidRPr="000A1C8E">
              <w:rPr>
                <w:rFonts w:eastAsia="Calibri" w:cs="Tahoma"/>
                <w:color w:val="000000"/>
              </w:rPr>
              <w:t>Gerenciamento de Direitos do Active Directory do Windows Azure</w:t>
            </w:r>
          </w:p>
        </w:tc>
      </w:tr>
      <w:tr w:rsidR="005D484B" w:rsidRPr="000A1C8E" w:rsidTr="007E466C">
        <w:tc>
          <w:tcPr>
            <w:tcW w:w="2760" w:type="dxa"/>
            <w:shd w:val="clear" w:color="auto" w:fill="auto"/>
          </w:tcPr>
          <w:p w:rsidR="005D484B" w:rsidRPr="000A1C8E" w:rsidRDefault="005D484B" w:rsidP="00B42A20">
            <w:pPr>
              <w:ind w:left="180" w:right="186"/>
              <w:rPr>
                <w:rFonts w:eastAsia="Calibri" w:cs="Tahoma"/>
                <w:color w:val="000000"/>
              </w:rPr>
            </w:pPr>
          </w:p>
        </w:tc>
        <w:tc>
          <w:tcPr>
            <w:tcW w:w="2765" w:type="dxa"/>
            <w:shd w:val="clear" w:color="auto" w:fill="auto"/>
          </w:tcPr>
          <w:p w:rsidR="005D484B" w:rsidRPr="000A1C8E" w:rsidRDefault="005D484B" w:rsidP="00B42A20">
            <w:pPr>
              <w:ind w:left="138" w:right="138"/>
              <w:rPr>
                <w:rFonts w:eastAsia="Calibri" w:cs="Tahoma"/>
                <w:color w:val="000000"/>
              </w:rPr>
            </w:pPr>
            <w:r w:rsidRPr="000A1C8E">
              <w:rPr>
                <w:rFonts w:eastAsia="Calibri" w:cs="Tahoma"/>
                <w:color w:val="000000"/>
              </w:rPr>
              <w:t>Yammer Enterprise</w:t>
            </w:r>
          </w:p>
        </w:tc>
        <w:tc>
          <w:tcPr>
            <w:tcW w:w="2765" w:type="dxa"/>
            <w:shd w:val="clear" w:color="auto" w:fill="auto"/>
          </w:tcPr>
          <w:p w:rsidR="005D484B" w:rsidRPr="000A1C8E" w:rsidRDefault="005D484B" w:rsidP="008368B4">
            <w:pPr>
              <w:ind w:left="186" w:right="180"/>
              <w:rPr>
                <w:rFonts w:eastAsia="Calibri" w:cs="Tahoma"/>
                <w:color w:val="000000"/>
              </w:rPr>
            </w:pPr>
            <w:r w:rsidRPr="000A1C8E">
              <w:rPr>
                <w:rFonts w:eastAsia="Calibri" w:cs="Tahoma"/>
                <w:color w:val="000000"/>
              </w:rPr>
              <w:t>Yammer Enterprise</w:t>
            </w:r>
          </w:p>
        </w:tc>
      </w:tr>
    </w:tbl>
    <w:p w:rsidR="00630ED6" w:rsidRPr="000A1C8E" w:rsidRDefault="00630ED6" w:rsidP="00630ED6">
      <w:pPr>
        <w:pStyle w:val="PURBody"/>
        <w:spacing w:after="0"/>
        <w:ind w:left="720"/>
        <w:rPr>
          <w:rFonts w:ascii="Tahoma" w:hAnsi="Tahoma" w:cs="Tahoma"/>
        </w:rPr>
      </w:pPr>
      <w:r w:rsidRPr="000A1C8E">
        <w:rPr>
          <w:rFonts w:ascii="Tahoma" w:hAnsi="Tahoma" w:cs="Tahoma"/>
          <w:i/>
          <w:sz w:val="16"/>
        </w:rPr>
        <w:t>*Os clientes que compram de países que não são dos Estados Unidos e do Reino Unido recebem o Lync Online Plano 2 em vez de Lync Online Plano 3</w:t>
      </w:r>
    </w:p>
    <w:p w:rsidR="00B26237" w:rsidRPr="000A1C8E" w:rsidRDefault="00B26237" w:rsidP="00002DCF">
      <w:pPr>
        <w:ind w:left="720"/>
        <w:rPr>
          <w:rFonts w:cs="Tahoma"/>
        </w:rPr>
      </w:pPr>
      <w:r w:rsidRPr="000A1C8E">
        <w:rPr>
          <w:rFonts w:cs="Tahoma"/>
          <w:color w:val="000000"/>
        </w:rPr>
        <w:br/>
      </w:r>
      <w:r w:rsidRPr="000A1C8E">
        <w:rPr>
          <w:rFonts w:cs="Tahoma"/>
          <w:color w:val="000000"/>
          <w:szCs w:val="18"/>
        </w:rPr>
        <w:t>Essa lista está sujeita a alterações.</w:t>
      </w:r>
      <w:r w:rsidR="00DC6D8B" w:rsidRPr="000A1C8E">
        <w:rPr>
          <w:rFonts w:cs="Tahoma"/>
          <w:color w:val="000000"/>
          <w:szCs w:val="18"/>
        </w:rPr>
        <w:t xml:space="preserve"> </w:t>
      </w:r>
      <w:r w:rsidRPr="000A1C8E">
        <w:rPr>
          <w:rFonts w:cs="Tahoma"/>
          <w:color w:val="000000"/>
          <w:szCs w:val="18"/>
        </w:rPr>
        <w:t>Os Direitos de Uso de Produto atuais prevalecerão caso haja conflitos entre os termos da licença do Office 365 Enterprise E2 - E4 e esta observação.</w:t>
      </w:r>
      <w:r w:rsidR="00DC6D8B" w:rsidRPr="000A1C8E">
        <w:rPr>
          <w:rFonts w:cs="Tahoma"/>
          <w:color w:val="000000"/>
          <w:szCs w:val="18"/>
        </w:rPr>
        <w:t xml:space="preserve"> </w:t>
      </w:r>
      <w:r w:rsidRPr="000A1C8E">
        <w:rPr>
          <w:rFonts w:cs="Tahoma"/>
          <w:color w:val="000000"/>
          <w:szCs w:val="18"/>
        </w:rPr>
        <w:t>Os direitos de acesso adicionais, se houver, a softwares locais licenciados separadamente estão especificados nos Direitos de Uso</w:t>
      </w:r>
      <w:r w:rsidR="00002DCF">
        <w:rPr>
          <w:rFonts w:cs="Tahoma"/>
          <w:color w:val="000000"/>
          <w:szCs w:val="18"/>
        </w:rPr>
        <w:t> </w:t>
      </w:r>
      <w:r w:rsidRPr="000A1C8E">
        <w:rPr>
          <w:rFonts w:cs="Tahoma"/>
          <w:color w:val="000000"/>
          <w:szCs w:val="18"/>
        </w:rPr>
        <w:t>de Produto.</w:t>
      </w:r>
      <w:r w:rsidR="00DC6D8B" w:rsidRPr="000A1C8E">
        <w:rPr>
          <w:rFonts w:cs="Tahoma"/>
          <w:color w:val="000000"/>
          <w:szCs w:val="18"/>
        </w:rPr>
        <w:t xml:space="preserve"> </w:t>
      </w:r>
    </w:p>
    <w:p w:rsidR="00B26237" w:rsidRPr="000A1C8E" w:rsidRDefault="00B26237" w:rsidP="00D16EA8">
      <w:pPr>
        <w:ind w:left="720"/>
        <w:rPr>
          <w:rFonts w:cs="Tahoma"/>
        </w:rPr>
      </w:pPr>
    </w:p>
    <w:p w:rsidR="00DC2291" w:rsidRPr="000A1C8E" w:rsidRDefault="00B26237" w:rsidP="00F30802">
      <w:pPr>
        <w:pStyle w:val="FootnoteBulletLevel1"/>
        <w:tabs>
          <w:tab w:val="clear" w:pos="900"/>
        </w:tabs>
        <w:spacing w:before="0" w:after="0"/>
        <w:ind w:left="720" w:firstLine="0"/>
        <w:rPr>
          <w:rFonts w:ascii="Tahoma" w:hAnsi="Tahoma" w:cs="Tahoma"/>
        </w:rPr>
      </w:pPr>
      <w:r w:rsidRPr="000A1C8E">
        <w:rPr>
          <w:rFonts w:ascii="Tahoma" w:hAnsi="Tahoma" w:cs="Tahoma"/>
          <w:color w:val="000000"/>
          <w:sz w:val="18"/>
          <w:szCs w:val="18"/>
        </w:rPr>
        <w:t>O Lync Online Plano 1 e Plano 2 requerem compra separada e instalação do Microsoft Lync 2013 (ou Lync para Mac 2011</w:t>
      </w:r>
      <w:r w:rsidR="00F30802">
        <w:rPr>
          <w:rFonts w:ascii="Tahoma" w:hAnsi="Tahoma" w:cs="Tahoma"/>
          <w:color w:val="000000"/>
          <w:sz w:val="18"/>
          <w:szCs w:val="18"/>
        </w:rPr>
        <w:t>)</w:t>
      </w:r>
      <w:r w:rsidRPr="000A1C8E">
        <w:rPr>
          <w:rFonts w:ascii="Tahoma" w:hAnsi="Tahoma" w:cs="Tahoma"/>
          <w:color w:val="000000"/>
          <w:sz w:val="18"/>
          <w:szCs w:val="18"/>
        </w:rPr>
        <w:t xml:space="preserve"> para acessar o conjunto completo de recursos do Lync Online Plano 1 e Plano 2. Como oferta por tempo limitado, os clientes Mac licenciados para o Lync Online receberão uma cópia licenciada do</w:t>
      </w:r>
      <w:r w:rsidR="00F30802">
        <w:rPr>
          <w:rFonts w:ascii="Tahoma" w:hAnsi="Tahoma" w:cs="Tahoma"/>
          <w:color w:val="000000"/>
          <w:sz w:val="18"/>
          <w:szCs w:val="18"/>
        </w:rPr>
        <w:t> </w:t>
      </w:r>
      <w:r w:rsidRPr="000A1C8E">
        <w:rPr>
          <w:rFonts w:ascii="Tahoma" w:hAnsi="Tahoma" w:cs="Tahoma"/>
          <w:color w:val="000000"/>
          <w:sz w:val="18"/>
          <w:szCs w:val="18"/>
        </w:rPr>
        <w:t>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rsidR="00B26237" w:rsidRDefault="00B26237" w:rsidP="00D16EA8">
      <w:pPr>
        <w:pStyle w:val="FootnoteBulletLevel1"/>
        <w:tabs>
          <w:tab w:val="clear" w:pos="900"/>
          <w:tab w:val="num" w:pos="1080"/>
        </w:tabs>
        <w:spacing w:before="0" w:after="0"/>
        <w:ind w:left="0" w:firstLine="0"/>
        <w:rPr>
          <w:rFonts w:ascii="Tahoma" w:hAnsi="Tahoma" w:cs="Tahoma"/>
        </w:rPr>
      </w:pPr>
    </w:p>
    <w:p w:rsidR="00002DCF" w:rsidRDefault="00002DCF" w:rsidP="00D16EA8">
      <w:pPr>
        <w:pStyle w:val="FootnoteBulletLevel1"/>
        <w:tabs>
          <w:tab w:val="clear" w:pos="900"/>
          <w:tab w:val="num" w:pos="1080"/>
        </w:tabs>
        <w:spacing w:before="0" w:after="0"/>
        <w:ind w:left="0" w:firstLine="0"/>
        <w:rPr>
          <w:rFonts w:ascii="Tahoma" w:hAnsi="Tahoma" w:cs="Tahoma"/>
        </w:rPr>
      </w:pPr>
    </w:p>
    <w:p w:rsidR="00002DCF" w:rsidRDefault="00002DCF" w:rsidP="00D16EA8">
      <w:pPr>
        <w:pStyle w:val="FootnoteBulletLevel1"/>
        <w:tabs>
          <w:tab w:val="clear" w:pos="900"/>
          <w:tab w:val="num" w:pos="1080"/>
        </w:tabs>
        <w:spacing w:before="0" w:after="0"/>
        <w:ind w:left="0" w:firstLine="0"/>
        <w:rPr>
          <w:rFonts w:ascii="Tahoma" w:hAnsi="Tahoma" w:cs="Tahoma"/>
        </w:rPr>
      </w:pPr>
    </w:p>
    <w:p w:rsidR="00002DCF" w:rsidRDefault="00002DCF" w:rsidP="00D16EA8">
      <w:pPr>
        <w:pStyle w:val="FootnoteBulletLevel1"/>
        <w:tabs>
          <w:tab w:val="clear" w:pos="900"/>
          <w:tab w:val="num" w:pos="1080"/>
        </w:tabs>
        <w:spacing w:before="0" w:after="0"/>
        <w:ind w:left="0" w:firstLine="0"/>
        <w:rPr>
          <w:rFonts w:ascii="Tahoma" w:hAnsi="Tahoma" w:cs="Tahoma"/>
        </w:rPr>
      </w:pPr>
    </w:p>
    <w:p w:rsidR="00002DCF" w:rsidRDefault="00002DCF" w:rsidP="00D16EA8">
      <w:pPr>
        <w:pStyle w:val="FootnoteBulletLevel1"/>
        <w:tabs>
          <w:tab w:val="clear" w:pos="900"/>
          <w:tab w:val="num" w:pos="1080"/>
        </w:tabs>
        <w:spacing w:before="0" w:after="0"/>
        <w:ind w:left="0" w:firstLine="0"/>
        <w:rPr>
          <w:rFonts w:ascii="Tahoma" w:hAnsi="Tahoma" w:cs="Tahoma"/>
        </w:rPr>
      </w:pPr>
    </w:p>
    <w:p w:rsidR="00002DCF" w:rsidRDefault="00002DCF" w:rsidP="00D16EA8">
      <w:pPr>
        <w:pStyle w:val="FootnoteBulletLevel1"/>
        <w:tabs>
          <w:tab w:val="clear" w:pos="900"/>
          <w:tab w:val="num" w:pos="1080"/>
        </w:tabs>
        <w:spacing w:before="0" w:after="0"/>
        <w:ind w:left="0" w:firstLine="0"/>
        <w:rPr>
          <w:rFonts w:ascii="Tahoma" w:hAnsi="Tahoma" w:cs="Tahoma"/>
        </w:rPr>
      </w:pPr>
    </w:p>
    <w:p w:rsidR="00002DCF" w:rsidRPr="000A1C8E" w:rsidRDefault="00002DCF" w:rsidP="00D16EA8">
      <w:pPr>
        <w:pStyle w:val="FootnoteBulletLevel1"/>
        <w:tabs>
          <w:tab w:val="clear" w:pos="900"/>
          <w:tab w:val="num" w:pos="1080"/>
        </w:tabs>
        <w:spacing w:before="0" w:after="0"/>
        <w:ind w:left="0" w:firstLine="0"/>
        <w:rPr>
          <w:rFonts w:ascii="Tahoma" w:hAnsi="Tahoma" w:cs="Tahoma"/>
        </w:rPr>
      </w:pPr>
    </w:p>
    <w:p w:rsidR="00704723" w:rsidRPr="000A1C8E" w:rsidRDefault="00A560B6" w:rsidP="000429EF">
      <w:pPr>
        <w:pStyle w:val="Heading3"/>
        <w:rPr>
          <w:rFonts w:ascii="Tahoma" w:hAnsi="Tahoma" w:cs="Tahoma"/>
        </w:rPr>
      </w:pPr>
      <w:bookmarkStart w:id="998" w:name="_76_Office_for"/>
      <w:bookmarkStart w:id="999" w:name="_8_Office_for"/>
      <w:bookmarkStart w:id="1000" w:name="_9_Office_para"/>
      <w:bookmarkStart w:id="1001" w:name="_Toc336338264"/>
      <w:bookmarkStart w:id="1002" w:name="_Toc361829350"/>
      <w:bookmarkStart w:id="1003" w:name="Srv_4OfficeMacStandard2011"/>
      <w:bookmarkEnd w:id="966"/>
      <w:bookmarkEnd w:id="998"/>
      <w:bookmarkEnd w:id="999"/>
      <w:bookmarkEnd w:id="1000"/>
      <w:r w:rsidRPr="000A1C8E">
        <w:rPr>
          <w:rFonts w:ascii="Tahoma" w:hAnsi="Tahoma" w:cs="Tahoma"/>
          <w:caps/>
          <w:color w:val="F66400"/>
          <w:sz w:val="22"/>
          <w:vertAlign w:val="superscript"/>
        </w:rPr>
        <w:t xml:space="preserve">9 </w:t>
      </w:r>
      <w:r w:rsidRPr="000A1C8E">
        <w:rPr>
          <w:rFonts w:ascii="Tahoma" w:hAnsi="Tahoma" w:cs="Tahoma"/>
          <w:color w:val="F66400"/>
          <w:sz w:val="22"/>
        </w:rPr>
        <w:t>Office para Mac Standard 2011</w:t>
      </w:r>
      <w:bookmarkEnd w:id="1001"/>
      <w:bookmarkEnd w:id="1002"/>
      <w:r w:rsidRPr="000A1C8E">
        <w:rPr>
          <w:rFonts w:ascii="Tahoma" w:hAnsi="Tahoma" w:cs="Tahoma"/>
          <w:color w:val="F66400"/>
          <w:sz w:val="22"/>
        </w:rPr>
        <w:t xml:space="preserve"> </w:t>
      </w:r>
      <w:bookmarkEnd w:id="1003"/>
    </w:p>
    <w:p w:rsidR="00FD5FBA" w:rsidRPr="00002DCF" w:rsidRDefault="00FD5FBA" w:rsidP="00AE5A9F">
      <w:pPr>
        <w:rPr>
          <w:rFonts w:cs="Tahoma"/>
          <w:szCs w:val="18"/>
        </w:rPr>
      </w:pPr>
    </w:p>
    <w:p w:rsidR="00FD5FBA" w:rsidRPr="000A1C8E" w:rsidRDefault="00FD5FBA" w:rsidP="00346F4B">
      <w:pPr>
        <w:pStyle w:val="EndnoteText"/>
        <w:numPr>
          <w:ilvl w:val="0"/>
          <w:numId w:val="114"/>
        </w:numPr>
        <w:ind w:left="990"/>
        <w:rPr>
          <w:rFonts w:ascii="Tahoma" w:hAnsi="Tahoma" w:cs="Tahoma"/>
        </w:rPr>
      </w:pPr>
      <w:r w:rsidRPr="000A1C8E">
        <w:rPr>
          <w:rFonts w:ascii="Tahoma" w:hAnsi="Tahoma" w:cs="Tahoma"/>
          <w:sz w:val="18"/>
          <w:szCs w:val="20"/>
        </w:rPr>
        <w:t xml:space="preserve">Licença WAH (Work at Home) disponível para Clientes Select </w:t>
      </w:r>
      <w:r w:rsidRPr="000A1C8E">
        <w:rPr>
          <w:rFonts w:ascii="Tahoma" w:hAnsi="Tahoma" w:cs="Tahoma"/>
          <w:sz w:val="18"/>
          <w:szCs w:val="18"/>
        </w:rPr>
        <w:t>e Select Plus</w:t>
      </w:r>
      <w:r w:rsidRPr="000A1C8E">
        <w:rPr>
          <w:rFonts w:ascii="Tahoma" w:hAnsi="Tahoma" w:cs="Tahoma"/>
          <w:sz w:val="18"/>
          <w:szCs w:val="20"/>
        </w:rPr>
        <w:t xml:space="preserve"> </w:t>
      </w:r>
    </w:p>
    <w:p w:rsidR="00CA6122" w:rsidRPr="00002DCF" w:rsidRDefault="00CA6122" w:rsidP="00CA6122">
      <w:pPr>
        <w:adjustRightInd w:val="0"/>
        <w:ind w:left="720"/>
        <w:textAlignment w:val="baseline"/>
        <w:rPr>
          <w:rFonts w:cs="Tahoma"/>
          <w:szCs w:val="18"/>
        </w:rPr>
      </w:pPr>
    </w:p>
    <w:p w:rsidR="00864B8A" w:rsidRPr="000A1C8E" w:rsidRDefault="00704723" w:rsidP="00864B8A">
      <w:pPr>
        <w:spacing w:after="60"/>
        <w:ind w:left="720"/>
        <w:rPr>
          <w:rFonts w:cs="Tahoma"/>
        </w:rPr>
      </w:pPr>
      <w:r w:rsidRPr="000A1C8E">
        <w:rPr>
          <w:rFonts w:cs="Tahoma"/>
          <w:b/>
          <w:szCs w:val="20"/>
        </w:rPr>
        <w:t>Office para Mac Standard 2011</w:t>
      </w:r>
    </w:p>
    <w:p w:rsidR="00704723" w:rsidRPr="000A1C8E" w:rsidRDefault="00704723" w:rsidP="00CA7FF3">
      <w:pPr>
        <w:spacing w:after="50"/>
        <w:ind w:left="720"/>
        <w:rPr>
          <w:rFonts w:cs="Tahoma"/>
        </w:rPr>
      </w:pPr>
      <w:r w:rsidRPr="000A1C8E">
        <w:rPr>
          <w:rFonts w:cs="Tahoma"/>
          <w:szCs w:val="20"/>
        </w:rPr>
        <w:t xml:space="preserve">A Licença do Office para Mac Standard 2011 consiste no seguinte: Lync para Mac 2011, Excel para Mac 2011, Outlook para Mac 2011, </w:t>
      </w:r>
      <w:r w:rsidRPr="000A1C8E">
        <w:rPr>
          <w:rFonts w:cs="Tahoma"/>
        </w:rPr>
        <w:t>Office Home and Student RT 2013 – Uso Comercial,</w:t>
      </w:r>
      <w:r w:rsidRPr="000A1C8E">
        <w:rPr>
          <w:rFonts w:cs="Tahoma"/>
          <w:szCs w:val="20"/>
        </w:rPr>
        <w:t xml:space="preserve"> Office Web Apps 2010, PowerPoint para Mac 2011 e Word para Mac 2011.</w:t>
      </w:r>
    </w:p>
    <w:p w:rsidR="00CA6122" w:rsidRPr="00002DCF" w:rsidRDefault="00CA6122" w:rsidP="00CA6122">
      <w:pPr>
        <w:adjustRightInd w:val="0"/>
        <w:ind w:left="720"/>
        <w:textAlignment w:val="baseline"/>
        <w:rPr>
          <w:rFonts w:cs="Tahoma"/>
          <w:szCs w:val="18"/>
        </w:rPr>
      </w:pPr>
    </w:p>
    <w:p w:rsidR="00864B8A" w:rsidRPr="000A1C8E" w:rsidRDefault="00704723" w:rsidP="00864B8A">
      <w:pPr>
        <w:spacing w:after="60"/>
        <w:ind w:left="720"/>
        <w:rPr>
          <w:rFonts w:cs="Tahoma"/>
        </w:rPr>
      </w:pPr>
      <w:r w:rsidRPr="000A1C8E">
        <w:rPr>
          <w:rFonts w:cs="Tahoma"/>
          <w:b/>
          <w:szCs w:val="20"/>
        </w:rPr>
        <w:t>Incapacidade de Separar o Microsoft Office para Mac Standard 2011</w:t>
      </w:r>
    </w:p>
    <w:p w:rsidR="00704723" w:rsidRPr="000A1C8E" w:rsidRDefault="00704723" w:rsidP="00CA7FF3">
      <w:pPr>
        <w:spacing w:after="50"/>
        <w:ind w:left="720"/>
        <w:rPr>
          <w:rFonts w:cs="Tahoma"/>
        </w:rPr>
      </w:pPr>
      <w:r w:rsidRPr="000A1C8E">
        <w:rPr>
          <w:rFonts w:cs="Tahoma"/>
          <w:szCs w:val="20"/>
        </w:rPr>
        <w:t>O Office para Mac Standard 2011 consiste em mais de um produto oferecido sob uma única licença. O</w:t>
      </w:r>
      <w:r w:rsidR="003C3C97" w:rsidRPr="000A1C8E">
        <w:rPr>
          <w:rFonts w:cs="Tahoma"/>
          <w:szCs w:val="20"/>
        </w:rPr>
        <w:t> </w:t>
      </w:r>
      <w:r w:rsidRPr="000A1C8E">
        <w:rPr>
          <w:rFonts w:cs="Tahoma"/>
          <w:szCs w:val="20"/>
        </w:rPr>
        <w:t>software não deverá ser separado para uso em mais de um computador.</w:t>
      </w:r>
    </w:p>
    <w:p w:rsidR="00CA6122" w:rsidRPr="00002DCF" w:rsidRDefault="00CA6122" w:rsidP="00CA6122">
      <w:pPr>
        <w:adjustRightInd w:val="0"/>
        <w:ind w:left="720"/>
        <w:textAlignment w:val="baseline"/>
        <w:rPr>
          <w:rFonts w:cs="Tahoma"/>
          <w:szCs w:val="18"/>
        </w:rPr>
      </w:pPr>
    </w:p>
    <w:p w:rsidR="00704723" w:rsidRPr="000A1C8E" w:rsidRDefault="0035314F" w:rsidP="00864B8A">
      <w:pPr>
        <w:spacing w:after="60"/>
        <w:ind w:left="720"/>
        <w:rPr>
          <w:rFonts w:cs="Tahoma"/>
        </w:rPr>
      </w:pPr>
      <w:r w:rsidRPr="000A1C8E">
        <w:rPr>
          <w:rFonts w:cs="Tahoma"/>
          <w:b/>
          <w:szCs w:val="20"/>
        </w:rPr>
        <w:t>Direitos de Uso do Lync para Mac 2011</w:t>
      </w:r>
    </w:p>
    <w:p w:rsidR="00CA6122" w:rsidRPr="000A1C8E" w:rsidRDefault="00F14B59" w:rsidP="00737831">
      <w:pPr>
        <w:adjustRightInd w:val="0"/>
        <w:ind w:left="720"/>
        <w:textAlignment w:val="baseline"/>
        <w:rPr>
          <w:rFonts w:cs="Tahoma"/>
          <w:spacing w:val="-2"/>
        </w:rPr>
      </w:pPr>
      <w:r w:rsidRPr="000A1C8E">
        <w:rPr>
          <w:rFonts w:cs="Tahoma"/>
          <w:spacing w:val="-2"/>
          <w:szCs w:val="20"/>
        </w:rPr>
        <w:t xml:space="preserve">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 </w:t>
      </w:r>
    </w:p>
    <w:p w:rsidR="00697E59" w:rsidRPr="00002DCF" w:rsidRDefault="00697E59">
      <w:pPr>
        <w:rPr>
          <w:rFonts w:cs="Tahoma"/>
          <w:sz w:val="16"/>
          <w:szCs w:val="16"/>
        </w:rPr>
      </w:pPr>
      <w:bookmarkStart w:id="1004" w:name="_Toc336338265"/>
    </w:p>
    <w:p w:rsidR="00002DCF" w:rsidRPr="00002DCF" w:rsidRDefault="00002DCF">
      <w:pPr>
        <w:rPr>
          <w:rFonts w:cs="Tahoma"/>
          <w:sz w:val="16"/>
          <w:szCs w:val="16"/>
        </w:rPr>
      </w:pPr>
    </w:p>
    <w:p w:rsidR="00023FE7" w:rsidRPr="000A1C8E" w:rsidRDefault="00A560B6">
      <w:pPr>
        <w:pStyle w:val="Heading3"/>
        <w:rPr>
          <w:rFonts w:ascii="Tahoma" w:hAnsi="Tahoma" w:cs="Tahoma"/>
        </w:rPr>
      </w:pPr>
      <w:bookmarkStart w:id="1005" w:name="_5_Office_Multi-Language"/>
      <w:bookmarkStart w:id="1006" w:name="_7_Office_Multi-Language"/>
      <w:bookmarkStart w:id="1007" w:name="_87_Office_Multi-Language"/>
      <w:bookmarkStart w:id="1008" w:name="_9_Office_Multi-Language"/>
      <w:bookmarkStart w:id="1009" w:name="_10_Pacote_Multilíngue"/>
      <w:bookmarkStart w:id="1010" w:name="Aps_8OffMultiLangPack07"/>
      <w:bookmarkStart w:id="1011" w:name="Aps_6OfficeMultiLangPack2010"/>
      <w:bookmarkStart w:id="1012" w:name="Aps_5OfficeMultiLangPack2010"/>
      <w:bookmarkStart w:id="1013" w:name="_Toc361829351"/>
      <w:bookmarkEnd w:id="1005"/>
      <w:bookmarkEnd w:id="1006"/>
      <w:bookmarkEnd w:id="1007"/>
      <w:bookmarkEnd w:id="1008"/>
      <w:bookmarkEnd w:id="1009"/>
      <w:r w:rsidRPr="000A1C8E">
        <w:rPr>
          <w:rFonts w:ascii="Tahoma" w:hAnsi="Tahoma" w:cs="Tahoma"/>
          <w:caps/>
          <w:color w:val="F66400"/>
          <w:sz w:val="22"/>
          <w:vertAlign w:val="superscript"/>
        </w:rPr>
        <w:t>10</w:t>
      </w:r>
      <w:r w:rsidRPr="000A1C8E">
        <w:rPr>
          <w:rFonts w:ascii="Tahoma" w:hAnsi="Tahoma" w:cs="Tahoma"/>
          <w:color w:val="F66400"/>
          <w:sz w:val="22"/>
        </w:rPr>
        <w:t xml:space="preserve"> Pacote Multilíngue do Office </w:t>
      </w:r>
      <w:bookmarkEnd w:id="1004"/>
      <w:bookmarkEnd w:id="1010"/>
      <w:bookmarkEnd w:id="1011"/>
      <w:bookmarkEnd w:id="1012"/>
      <w:r w:rsidRPr="000A1C8E">
        <w:rPr>
          <w:rFonts w:ascii="Tahoma" w:hAnsi="Tahoma" w:cs="Tahoma"/>
          <w:color w:val="F66400"/>
          <w:sz w:val="22"/>
        </w:rPr>
        <w:t>2013</w:t>
      </w:r>
      <w:bookmarkEnd w:id="1013"/>
    </w:p>
    <w:p w:rsidR="00023FE7" w:rsidRPr="00002DCF" w:rsidRDefault="00023FE7" w:rsidP="00AE5A9F">
      <w:pPr>
        <w:rPr>
          <w:rFonts w:cs="Tahoma"/>
          <w:szCs w:val="18"/>
        </w:rPr>
      </w:pPr>
    </w:p>
    <w:p w:rsidR="00223A77" w:rsidRPr="000A1C8E" w:rsidRDefault="0035314F" w:rsidP="00864B8A">
      <w:pPr>
        <w:spacing w:after="60"/>
        <w:ind w:left="720"/>
        <w:rPr>
          <w:rFonts w:cs="Tahoma"/>
        </w:rPr>
      </w:pPr>
      <w:r w:rsidRPr="000A1C8E">
        <w:rPr>
          <w:rFonts w:cs="Tahoma"/>
          <w:b/>
          <w:szCs w:val="20"/>
        </w:rPr>
        <w:t>Direito de Downgrade para o Pacote Multilíngue do Office 2013</w:t>
      </w:r>
    </w:p>
    <w:p w:rsidR="00223A77" w:rsidRPr="000A1C8E" w:rsidRDefault="00223A77" w:rsidP="00CA6122">
      <w:pPr>
        <w:ind w:left="720"/>
        <w:rPr>
          <w:rFonts w:cs="Tahoma"/>
        </w:rPr>
      </w:pPr>
      <w:r w:rsidRPr="000A1C8E">
        <w:rPr>
          <w:rFonts w:cs="Tahoma"/>
          <w:szCs w:val="18"/>
        </w:rPr>
        <w:t>Os clientes de Licenciamento por Volume com uma licença do Pacote Multilíngue do Office 2013 e uma licença de qualquer um dos seguintes:</w:t>
      </w:r>
    </w:p>
    <w:p w:rsidR="00C2130B" w:rsidRPr="000A1C8E" w:rsidRDefault="00C2130B" w:rsidP="00CA6122">
      <w:pPr>
        <w:ind w:left="900"/>
        <w:rPr>
          <w:rFonts w:cs="Tahoma"/>
          <w:sz w:val="14"/>
          <w:szCs w:val="14"/>
        </w:rPr>
      </w:pPr>
    </w:p>
    <w:p w:rsidR="00223A77" w:rsidRPr="000A1C8E" w:rsidRDefault="00223A77" w:rsidP="00CA6122">
      <w:pPr>
        <w:numPr>
          <w:ilvl w:val="0"/>
          <w:numId w:val="9"/>
        </w:numPr>
        <w:spacing w:after="60"/>
        <w:ind w:left="1440"/>
        <w:rPr>
          <w:rFonts w:cs="Tahoma"/>
        </w:rPr>
      </w:pPr>
      <w:r w:rsidRPr="000A1C8E">
        <w:rPr>
          <w:rFonts w:cs="Tahoma"/>
          <w:szCs w:val="18"/>
        </w:rPr>
        <w:t>Office Standard 2013</w:t>
      </w:r>
    </w:p>
    <w:p w:rsidR="00223A77" w:rsidRPr="000A1C8E" w:rsidRDefault="00223A77" w:rsidP="00CA6122">
      <w:pPr>
        <w:numPr>
          <w:ilvl w:val="0"/>
          <w:numId w:val="9"/>
        </w:numPr>
        <w:spacing w:after="60"/>
        <w:ind w:left="1440"/>
        <w:rPr>
          <w:rFonts w:cs="Tahoma"/>
        </w:rPr>
      </w:pPr>
      <w:r w:rsidRPr="000A1C8E">
        <w:rPr>
          <w:rFonts w:cs="Tahoma"/>
          <w:szCs w:val="18"/>
        </w:rPr>
        <w:t>Office Professional Plus 2013</w:t>
      </w:r>
    </w:p>
    <w:p w:rsidR="00223A77" w:rsidRPr="000A1C8E" w:rsidRDefault="00223A77" w:rsidP="00CA6122">
      <w:pPr>
        <w:numPr>
          <w:ilvl w:val="0"/>
          <w:numId w:val="9"/>
        </w:numPr>
        <w:spacing w:after="60"/>
        <w:ind w:left="1440"/>
        <w:rPr>
          <w:rFonts w:cs="Tahoma"/>
        </w:rPr>
      </w:pPr>
      <w:r w:rsidRPr="000A1C8E">
        <w:rPr>
          <w:rFonts w:cs="Tahoma"/>
          <w:szCs w:val="18"/>
        </w:rPr>
        <w:t>Project Standard 2013</w:t>
      </w:r>
    </w:p>
    <w:p w:rsidR="00223A77" w:rsidRPr="000A1C8E" w:rsidRDefault="00223A77" w:rsidP="00CA6122">
      <w:pPr>
        <w:numPr>
          <w:ilvl w:val="0"/>
          <w:numId w:val="9"/>
        </w:numPr>
        <w:spacing w:after="60"/>
        <w:ind w:left="1440"/>
        <w:rPr>
          <w:rFonts w:cs="Tahoma"/>
        </w:rPr>
      </w:pPr>
      <w:r w:rsidRPr="000A1C8E">
        <w:rPr>
          <w:rFonts w:cs="Tahoma"/>
          <w:szCs w:val="18"/>
        </w:rPr>
        <w:t>Project Professional 2013</w:t>
      </w:r>
    </w:p>
    <w:p w:rsidR="00223A77" w:rsidRPr="000A1C8E" w:rsidRDefault="00223A77" w:rsidP="00CA6122">
      <w:pPr>
        <w:numPr>
          <w:ilvl w:val="0"/>
          <w:numId w:val="9"/>
        </w:numPr>
        <w:spacing w:after="60"/>
        <w:ind w:left="1440"/>
        <w:rPr>
          <w:rFonts w:cs="Tahoma"/>
        </w:rPr>
      </w:pPr>
      <w:r w:rsidRPr="000A1C8E">
        <w:rPr>
          <w:rFonts w:cs="Tahoma"/>
          <w:szCs w:val="18"/>
        </w:rPr>
        <w:t>Visio Standard 2013</w:t>
      </w:r>
    </w:p>
    <w:p w:rsidR="00223A77" w:rsidRPr="000A1C8E" w:rsidRDefault="00223A77" w:rsidP="00CA6122">
      <w:pPr>
        <w:numPr>
          <w:ilvl w:val="0"/>
          <w:numId w:val="9"/>
        </w:numPr>
        <w:spacing w:after="60"/>
        <w:ind w:left="1440"/>
        <w:rPr>
          <w:rFonts w:cs="Tahoma"/>
        </w:rPr>
      </w:pPr>
      <w:r w:rsidRPr="000A1C8E">
        <w:rPr>
          <w:rFonts w:cs="Tahoma"/>
          <w:szCs w:val="18"/>
        </w:rPr>
        <w:t>Visio Professional 2013</w:t>
      </w:r>
    </w:p>
    <w:p w:rsidR="00223A77" w:rsidRPr="00002DCF" w:rsidRDefault="00223A77" w:rsidP="00CA6122">
      <w:pPr>
        <w:ind w:left="1260"/>
        <w:rPr>
          <w:rFonts w:cs="Tahoma"/>
          <w:szCs w:val="18"/>
        </w:rPr>
      </w:pPr>
    </w:p>
    <w:p w:rsidR="00223A77" w:rsidRPr="000A1C8E" w:rsidRDefault="00223A77" w:rsidP="003C3C97">
      <w:pPr>
        <w:ind w:left="720"/>
        <w:rPr>
          <w:rFonts w:cs="Tahoma"/>
        </w:rPr>
      </w:pPr>
      <w:r w:rsidRPr="000A1C8E">
        <w:rPr>
          <w:rFonts w:cs="Tahoma"/>
          <w:szCs w:val="18"/>
        </w:rPr>
        <w:t>estão qualificados a usar a versão em inglês/multilíngue de uma versão com downgrade do produto, em vez</w:t>
      </w:r>
      <w:r w:rsidR="003C3C97" w:rsidRPr="000A1C8E">
        <w:rPr>
          <w:rFonts w:cs="Tahoma"/>
          <w:szCs w:val="18"/>
        </w:rPr>
        <w:t> </w:t>
      </w:r>
      <w:r w:rsidRPr="000A1C8E">
        <w:rPr>
          <w:rFonts w:cs="Tahoma"/>
          <w:szCs w:val="18"/>
        </w:rPr>
        <w:t>da versão licenciada</w:t>
      </w:r>
      <w:r w:rsidRPr="000A1C8E">
        <w:rPr>
          <w:rFonts w:cs="Tahoma"/>
          <w:i/>
          <w:iCs/>
          <w:szCs w:val="18"/>
        </w:rPr>
        <w:t>.</w:t>
      </w:r>
      <w:r w:rsidRPr="000A1C8E">
        <w:rPr>
          <w:rFonts w:cs="Tahoma"/>
          <w:szCs w:val="18"/>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rsidR="00CA6122" w:rsidRPr="000A1C8E" w:rsidRDefault="00CA6122">
      <w:pPr>
        <w:pStyle w:val="Heading3"/>
        <w:rPr>
          <w:rFonts w:ascii="Tahoma" w:hAnsi="Tahoma" w:cs="Tahoma"/>
          <w:sz w:val="16"/>
          <w:szCs w:val="16"/>
        </w:rPr>
      </w:pPr>
      <w:bookmarkStart w:id="1014" w:name="_Toc336338266"/>
      <w:bookmarkStart w:id="1015" w:name="Aps_9OffProPlus07forWin"/>
      <w:bookmarkStart w:id="1016" w:name="Aps_7OfficeProPlus2010"/>
      <w:bookmarkStart w:id="1017" w:name="Aps_6OfficeProPlus2010"/>
    </w:p>
    <w:p w:rsidR="00023FE7" w:rsidRPr="000A1C8E" w:rsidRDefault="00A560B6">
      <w:pPr>
        <w:pStyle w:val="Heading3"/>
        <w:rPr>
          <w:rFonts w:ascii="Tahoma" w:hAnsi="Tahoma" w:cs="Tahoma"/>
        </w:rPr>
      </w:pPr>
      <w:bookmarkStart w:id="1018" w:name="_98_Office_Professional"/>
      <w:bookmarkStart w:id="1019" w:name="_10_Office_Professional"/>
      <w:bookmarkStart w:id="1020" w:name="_11_Office_Professional"/>
      <w:bookmarkStart w:id="1021" w:name="_Toc361829352"/>
      <w:bookmarkEnd w:id="1018"/>
      <w:bookmarkEnd w:id="1019"/>
      <w:bookmarkEnd w:id="1020"/>
      <w:r w:rsidRPr="000A1C8E">
        <w:rPr>
          <w:rFonts w:ascii="Tahoma" w:hAnsi="Tahoma" w:cs="Tahoma"/>
          <w:caps/>
          <w:color w:val="F66400"/>
          <w:sz w:val="22"/>
          <w:vertAlign w:val="superscript"/>
        </w:rPr>
        <w:t>11</w:t>
      </w:r>
      <w:r w:rsidRPr="000A1C8E">
        <w:rPr>
          <w:rFonts w:ascii="Tahoma" w:hAnsi="Tahoma" w:cs="Tahoma"/>
          <w:color w:val="F66400"/>
          <w:sz w:val="22"/>
        </w:rPr>
        <w:t xml:space="preserve"> Office Professional Plus </w:t>
      </w:r>
      <w:bookmarkEnd w:id="1014"/>
      <w:r w:rsidRPr="000A1C8E">
        <w:rPr>
          <w:rFonts w:ascii="Tahoma" w:hAnsi="Tahoma" w:cs="Tahoma"/>
          <w:color w:val="F66400"/>
          <w:sz w:val="22"/>
        </w:rPr>
        <w:t>2013</w:t>
      </w:r>
      <w:bookmarkEnd w:id="1021"/>
    </w:p>
    <w:bookmarkEnd w:id="1015"/>
    <w:bookmarkEnd w:id="1016"/>
    <w:bookmarkEnd w:id="1017"/>
    <w:p w:rsidR="00023FE7" w:rsidRPr="00002DCF" w:rsidRDefault="00023FE7" w:rsidP="00AE5A9F">
      <w:pPr>
        <w:rPr>
          <w:rFonts w:cs="Tahoma"/>
          <w:szCs w:val="18"/>
        </w:rPr>
      </w:pPr>
    </w:p>
    <w:p w:rsidR="00223A77" w:rsidRPr="000A1C8E" w:rsidRDefault="00223A77" w:rsidP="00346F4B">
      <w:pPr>
        <w:pStyle w:val="EndnoteText"/>
        <w:numPr>
          <w:ilvl w:val="0"/>
          <w:numId w:val="114"/>
        </w:numPr>
        <w:ind w:left="1080"/>
        <w:rPr>
          <w:rFonts w:ascii="Tahoma" w:hAnsi="Tahoma" w:cs="Tahoma"/>
        </w:rPr>
      </w:pPr>
      <w:r w:rsidRPr="000A1C8E">
        <w:rPr>
          <w:rFonts w:ascii="Tahoma" w:hAnsi="Tahoma" w:cs="Tahoma"/>
          <w:sz w:val="18"/>
          <w:szCs w:val="20"/>
        </w:rPr>
        <w:t xml:space="preserve">Licença WAH (Work at Home) disponível para Clientes Select </w:t>
      </w:r>
      <w:r w:rsidRPr="000A1C8E">
        <w:rPr>
          <w:rFonts w:ascii="Tahoma" w:hAnsi="Tahoma" w:cs="Tahoma"/>
          <w:sz w:val="18"/>
          <w:szCs w:val="18"/>
        </w:rPr>
        <w:t>e Select Plus</w:t>
      </w:r>
      <w:r w:rsidRPr="000A1C8E">
        <w:rPr>
          <w:rFonts w:ascii="Tahoma" w:hAnsi="Tahoma" w:cs="Tahoma"/>
          <w:sz w:val="18"/>
          <w:szCs w:val="20"/>
        </w:rPr>
        <w:t xml:space="preserve"> </w:t>
      </w:r>
    </w:p>
    <w:p w:rsidR="00223A77" w:rsidRPr="000A1C8E" w:rsidRDefault="00223A77" w:rsidP="00346F4B">
      <w:pPr>
        <w:pStyle w:val="EndnoteText"/>
        <w:numPr>
          <w:ilvl w:val="0"/>
          <w:numId w:val="114"/>
        </w:numPr>
        <w:ind w:left="1080"/>
        <w:rPr>
          <w:rFonts w:ascii="Tahoma" w:hAnsi="Tahoma" w:cs="Tahoma"/>
        </w:rPr>
      </w:pPr>
      <w:r w:rsidRPr="000A1C8E">
        <w:rPr>
          <w:rFonts w:ascii="Tahoma" w:hAnsi="Tahoma" w:cs="Tahoma"/>
          <w:sz w:val="18"/>
          <w:szCs w:val="20"/>
        </w:rPr>
        <w:t>Licença WAH (Work at Home) disponível para Clientes do Contrato Enterprise</w:t>
      </w:r>
    </w:p>
    <w:p w:rsidR="00223A77" w:rsidRPr="000A1C8E" w:rsidRDefault="00223A77" w:rsidP="00D16C5F">
      <w:pPr>
        <w:pStyle w:val="FootnoteBulletLevel1"/>
        <w:tabs>
          <w:tab w:val="clear" w:pos="900"/>
        </w:tabs>
        <w:spacing w:before="0" w:after="0"/>
        <w:ind w:left="720" w:firstLine="0"/>
        <w:rPr>
          <w:rFonts w:ascii="Tahoma" w:hAnsi="Tahoma" w:cs="Tahoma"/>
        </w:rPr>
      </w:pPr>
    </w:p>
    <w:p w:rsidR="00864B8A" w:rsidRPr="000A1C8E" w:rsidRDefault="00223A77" w:rsidP="00CA7FF3">
      <w:pPr>
        <w:spacing w:after="50"/>
        <w:ind w:left="720"/>
        <w:rPr>
          <w:rFonts w:cs="Tahoma"/>
        </w:rPr>
      </w:pPr>
      <w:r w:rsidRPr="000A1C8E">
        <w:rPr>
          <w:rFonts w:cs="Tahoma"/>
          <w:b/>
        </w:rPr>
        <w:t>Office Professional Plus 2013</w:t>
      </w:r>
    </w:p>
    <w:p w:rsidR="00223A77" w:rsidRDefault="00223A77" w:rsidP="00864B8A">
      <w:pPr>
        <w:spacing w:after="60"/>
        <w:ind w:left="720"/>
        <w:rPr>
          <w:rFonts w:cs="Tahoma"/>
        </w:rPr>
      </w:pPr>
      <w:r w:rsidRPr="000A1C8E">
        <w:rPr>
          <w:rFonts w:cs="Tahoma"/>
        </w:rPr>
        <w:t>A Licença para Office Professional Plus 2013 consiste no seguinte: Access 2013, Lync 2013, Excel 2013,</w:t>
      </w:r>
      <w:r w:rsidR="00DC6D8B" w:rsidRPr="000A1C8E">
        <w:rPr>
          <w:rFonts w:cs="Tahoma"/>
        </w:rPr>
        <w:t xml:space="preserve"> </w:t>
      </w:r>
      <w:r w:rsidRPr="000A1C8E">
        <w:rPr>
          <w:rFonts w:cs="Tahoma"/>
        </w:rPr>
        <w:t>InfoPath 2013, OneNote 2013, Outlook 2013, Office Home and Student RT 2013 – Uso Comercial, Office Web Apps, PowerPoint 2013, Publisher 2013 e Word 2013.</w:t>
      </w:r>
    </w:p>
    <w:p w:rsidR="00002DCF" w:rsidRPr="000A1C8E" w:rsidRDefault="00002DCF" w:rsidP="00864B8A">
      <w:pPr>
        <w:spacing w:after="60"/>
        <w:ind w:left="720"/>
        <w:rPr>
          <w:rFonts w:cs="Tahoma"/>
        </w:rPr>
      </w:pPr>
    </w:p>
    <w:p w:rsidR="00223A77" w:rsidRPr="000A1C8E" w:rsidRDefault="00223A77" w:rsidP="00CA7FF3">
      <w:pPr>
        <w:spacing w:after="50"/>
        <w:ind w:left="720"/>
        <w:rPr>
          <w:rFonts w:cs="Tahoma"/>
        </w:rPr>
      </w:pPr>
      <w:r w:rsidRPr="000A1C8E">
        <w:rPr>
          <w:rFonts w:cs="Tahoma"/>
          <w:b/>
        </w:rPr>
        <w:t>Incapacidade de Separar o Office Professional Plus 2013</w:t>
      </w:r>
    </w:p>
    <w:p w:rsidR="00223A77" w:rsidRPr="000A1C8E" w:rsidRDefault="00223A77" w:rsidP="00D16C5F">
      <w:pPr>
        <w:pStyle w:val="FootnoteBulletLevel1"/>
        <w:tabs>
          <w:tab w:val="clear" w:pos="900"/>
        </w:tabs>
        <w:spacing w:before="0" w:after="0"/>
        <w:ind w:left="720" w:firstLine="0"/>
        <w:rPr>
          <w:rFonts w:ascii="Tahoma" w:hAnsi="Tahoma" w:cs="Tahoma"/>
        </w:rPr>
      </w:pPr>
      <w:r w:rsidRPr="000A1C8E">
        <w:rPr>
          <w:rFonts w:ascii="Tahoma" w:hAnsi="Tahoma" w:cs="Tahoma"/>
          <w:sz w:val="18"/>
        </w:rPr>
        <w:lastRenderedPageBreak/>
        <w:t>O Microsoft Office Professional Plus 2013 consiste em mais de um produto oferecido sob uma única licença. O software não deverá ser separado para uso em mais de um computador.</w:t>
      </w:r>
    </w:p>
    <w:p w:rsidR="00952A87" w:rsidRDefault="00952A87" w:rsidP="00D16C5F">
      <w:pPr>
        <w:ind w:left="720"/>
        <w:rPr>
          <w:rFonts w:cs="Tahoma"/>
        </w:rPr>
      </w:pPr>
    </w:p>
    <w:p w:rsidR="00002DCF" w:rsidRDefault="00002DCF" w:rsidP="00D16C5F">
      <w:pPr>
        <w:ind w:left="720"/>
        <w:rPr>
          <w:rFonts w:cs="Tahoma"/>
        </w:rPr>
      </w:pPr>
    </w:p>
    <w:p w:rsidR="00002DCF" w:rsidRPr="000A1C8E" w:rsidRDefault="00002DCF" w:rsidP="00D16C5F">
      <w:pPr>
        <w:ind w:left="720"/>
        <w:rPr>
          <w:rFonts w:cs="Tahoma"/>
        </w:rPr>
      </w:pPr>
    </w:p>
    <w:p w:rsidR="00952A87" w:rsidRPr="000A1C8E" w:rsidRDefault="00952A87" w:rsidP="00CA7FF3">
      <w:pPr>
        <w:spacing w:after="50"/>
        <w:ind w:left="720"/>
        <w:rPr>
          <w:rFonts w:cs="Tahoma"/>
        </w:rPr>
      </w:pPr>
      <w:r w:rsidRPr="000A1C8E">
        <w:rPr>
          <w:rFonts w:cs="Tahoma"/>
          <w:b/>
        </w:rPr>
        <w:t>Contrato para Campus e School</w:t>
      </w:r>
    </w:p>
    <w:p w:rsidR="00001A9A" w:rsidRDefault="00952A87" w:rsidP="00D16C5F">
      <w:pPr>
        <w:ind w:left="720"/>
        <w:rPr>
          <w:rFonts w:eastAsia="Calibri" w:cs="Tahoma"/>
          <w:iCs/>
          <w:color w:val="000000"/>
          <w:szCs w:val="18"/>
        </w:rPr>
      </w:pPr>
      <w:r w:rsidRPr="000A1C8E">
        <w:rPr>
          <w:rFonts w:eastAsia="Calibri" w:cs="Tahoma"/>
          <w:iCs/>
          <w:color w:val="000000"/>
          <w:szCs w:val="18"/>
        </w:rPr>
        <w:t>As Instituições com USL de Assinatura do Office Professional Plus atribuídas a todo o corpo docente e funcionários poderão instalar o software Office Professional Plus 2013 em qualquer laboratório de acesso aberto ou biblioteca da Organização da Instituição.</w:t>
      </w:r>
      <w:r w:rsidR="00DC6D8B" w:rsidRPr="000A1C8E">
        <w:rPr>
          <w:rFonts w:eastAsia="Calibri" w:cs="Tahoma"/>
          <w:iCs/>
          <w:color w:val="000000"/>
          <w:szCs w:val="18"/>
        </w:rPr>
        <w:t xml:space="preserve"> </w:t>
      </w:r>
      <w:r w:rsidRPr="000A1C8E">
        <w:rPr>
          <w:rFonts w:eastAsia="Calibri" w:cs="Tahoma"/>
          <w:iCs/>
          <w:color w:val="000000"/>
          <w:szCs w:val="18"/>
        </w:rPr>
        <w:t>O uso do software está sujeito aos termos de licença para o Office Pro Plus 2013.</w:t>
      </w:r>
    </w:p>
    <w:p w:rsidR="00002DCF" w:rsidRDefault="00002DCF" w:rsidP="00002DCF">
      <w:pPr>
        <w:rPr>
          <w:rFonts w:eastAsia="Calibri" w:cs="Tahoma"/>
          <w:iCs/>
          <w:color w:val="000000"/>
          <w:szCs w:val="18"/>
        </w:rPr>
      </w:pPr>
    </w:p>
    <w:p w:rsidR="00002DCF" w:rsidRPr="000A1C8E" w:rsidRDefault="00002DCF" w:rsidP="00002DCF">
      <w:pPr>
        <w:rPr>
          <w:rFonts w:cs="Tahoma"/>
        </w:rPr>
      </w:pPr>
    </w:p>
    <w:p w:rsidR="00223A77" w:rsidRPr="000A1C8E" w:rsidRDefault="00A560B6" w:rsidP="00223A77">
      <w:pPr>
        <w:pStyle w:val="Heading3"/>
        <w:rPr>
          <w:rFonts w:ascii="Tahoma" w:hAnsi="Tahoma" w:cs="Tahoma"/>
        </w:rPr>
      </w:pPr>
      <w:bookmarkStart w:id="1022" w:name="_109_Office_Standard"/>
      <w:bookmarkStart w:id="1023" w:name="_11_Office_Standard"/>
      <w:bookmarkStart w:id="1024" w:name="_12_Office_Standard"/>
      <w:bookmarkStart w:id="1025" w:name="Aps_OfficeStandard2010"/>
      <w:bookmarkStart w:id="1026" w:name="_Toc254806115"/>
      <w:bookmarkStart w:id="1027" w:name="_Toc328146032"/>
      <w:bookmarkStart w:id="1028" w:name="_Toc361829353"/>
      <w:bookmarkStart w:id="1029" w:name="Aps_7OfficeStandard2010"/>
      <w:bookmarkStart w:id="1030" w:name="_Toc336338268"/>
      <w:bookmarkEnd w:id="1022"/>
      <w:bookmarkEnd w:id="1023"/>
      <w:bookmarkEnd w:id="1024"/>
      <w:r w:rsidRPr="000A1C8E">
        <w:rPr>
          <w:rFonts w:ascii="Tahoma" w:hAnsi="Tahoma" w:cs="Tahoma"/>
          <w:caps/>
          <w:color w:val="F66400"/>
          <w:sz w:val="22"/>
          <w:vertAlign w:val="superscript"/>
        </w:rPr>
        <w:t>12</w:t>
      </w:r>
      <w:r w:rsidRPr="000A1C8E">
        <w:rPr>
          <w:rFonts w:ascii="Tahoma" w:hAnsi="Tahoma" w:cs="Tahoma"/>
          <w:color w:val="F66400"/>
          <w:sz w:val="22"/>
        </w:rPr>
        <w:t xml:space="preserve"> Office Standard </w:t>
      </w:r>
      <w:bookmarkEnd w:id="1025"/>
      <w:bookmarkEnd w:id="1026"/>
      <w:bookmarkEnd w:id="1027"/>
      <w:r w:rsidRPr="000A1C8E">
        <w:rPr>
          <w:rFonts w:ascii="Tahoma" w:hAnsi="Tahoma" w:cs="Tahoma"/>
          <w:color w:val="F66400"/>
          <w:sz w:val="22"/>
        </w:rPr>
        <w:t>2013</w:t>
      </w:r>
      <w:bookmarkEnd w:id="1028"/>
    </w:p>
    <w:bookmarkEnd w:id="1029"/>
    <w:p w:rsidR="00223A77" w:rsidRPr="000A1C8E" w:rsidRDefault="00223A77" w:rsidP="00AE5A9F">
      <w:pPr>
        <w:rPr>
          <w:rFonts w:cs="Tahoma"/>
        </w:rPr>
      </w:pPr>
    </w:p>
    <w:p w:rsidR="00223A77" w:rsidRPr="000A1C8E" w:rsidRDefault="00223A77" w:rsidP="00346F4B">
      <w:pPr>
        <w:pStyle w:val="EndnoteText"/>
        <w:numPr>
          <w:ilvl w:val="3"/>
          <w:numId w:val="81"/>
        </w:numPr>
        <w:ind w:left="990"/>
        <w:rPr>
          <w:rFonts w:ascii="Tahoma" w:hAnsi="Tahoma" w:cs="Tahoma"/>
        </w:rPr>
      </w:pPr>
      <w:r w:rsidRPr="000A1C8E">
        <w:rPr>
          <w:rFonts w:ascii="Tahoma" w:hAnsi="Tahoma" w:cs="Tahoma"/>
          <w:sz w:val="18"/>
          <w:szCs w:val="20"/>
        </w:rPr>
        <w:t>Licença WAH (Work at Home)</w:t>
      </w:r>
      <w:r w:rsidRPr="000A1C8E">
        <w:rPr>
          <w:rFonts w:ascii="Tahoma" w:hAnsi="Tahoma" w:cs="Tahoma"/>
          <w:sz w:val="18"/>
        </w:rPr>
        <w:t xml:space="preserve"> disponível para Clientes Select </w:t>
      </w:r>
      <w:r w:rsidRPr="000A1C8E">
        <w:rPr>
          <w:rFonts w:ascii="Tahoma" w:hAnsi="Tahoma" w:cs="Tahoma"/>
        </w:rPr>
        <w:t>e Select Plus</w:t>
      </w:r>
      <w:r w:rsidRPr="000A1C8E">
        <w:rPr>
          <w:rFonts w:ascii="Tahoma" w:hAnsi="Tahoma" w:cs="Tahoma"/>
          <w:sz w:val="18"/>
        </w:rPr>
        <w:t xml:space="preserve"> </w:t>
      </w:r>
    </w:p>
    <w:p w:rsidR="00223A77" w:rsidRPr="000A1C8E" w:rsidRDefault="00223A77" w:rsidP="00346F4B">
      <w:pPr>
        <w:pStyle w:val="EndnoteText"/>
        <w:numPr>
          <w:ilvl w:val="3"/>
          <w:numId w:val="81"/>
        </w:numPr>
        <w:ind w:left="990"/>
        <w:rPr>
          <w:rFonts w:ascii="Tahoma" w:hAnsi="Tahoma" w:cs="Tahoma"/>
        </w:rPr>
      </w:pPr>
      <w:r w:rsidRPr="000A1C8E">
        <w:rPr>
          <w:rFonts w:ascii="Tahoma" w:hAnsi="Tahoma" w:cs="Tahoma"/>
          <w:sz w:val="18"/>
        </w:rPr>
        <w:t>Licença WAH (Work at Home) disponível para Clientes do Contrato Enterprise</w:t>
      </w:r>
    </w:p>
    <w:p w:rsidR="00223A77" w:rsidRPr="000A1C8E" w:rsidRDefault="00223A77" w:rsidP="00DF0E39">
      <w:pPr>
        <w:pStyle w:val="FootnoteBulletLevel1"/>
        <w:tabs>
          <w:tab w:val="clear" w:pos="900"/>
        </w:tabs>
        <w:spacing w:before="0" w:after="0"/>
        <w:ind w:left="720" w:firstLine="0"/>
        <w:rPr>
          <w:rFonts w:ascii="Tahoma" w:hAnsi="Tahoma" w:cs="Tahoma"/>
        </w:rPr>
      </w:pPr>
    </w:p>
    <w:p w:rsidR="00864B8A" w:rsidRPr="000A1C8E" w:rsidRDefault="00223A77" w:rsidP="00864B8A">
      <w:pPr>
        <w:spacing w:after="60"/>
        <w:ind w:left="720"/>
        <w:rPr>
          <w:rFonts w:cs="Tahoma"/>
        </w:rPr>
      </w:pPr>
      <w:r w:rsidRPr="000A1C8E">
        <w:rPr>
          <w:rFonts w:cs="Tahoma"/>
          <w:b/>
        </w:rPr>
        <w:t>Office Standard 2013</w:t>
      </w:r>
    </w:p>
    <w:p w:rsidR="00223A77" w:rsidRPr="000A1C8E" w:rsidRDefault="00223A77" w:rsidP="003C3C97">
      <w:pPr>
        <w:pStyle w:val="FootnoteBulletLevel1"/>
        <w:tabs>
          <w:tab w:val="clear" w:pos="900"/>
        </w:tabs>
        <w:spacing w:before="0" w:after="0"/>
        <w:ind w:left="720" w:firstLine="0"/>
        <w:rPr>
          <w:rFonts w:ascii="Tahoma" w:hAnsi="Tahoma" w:cs="Tahoma"/>
        </w:rPr>
      </w:pPr>
      <w:r w:rsidRPr="000A1C8E">
        <w:rPr>
          <w:rFonts w:ascii="Tahoma" w:hAnsi="Tahoma" w:cs="Tahoma"/>
          <w:sz w:val="18"/>
        </w:rPr>
        <w:t>A Licença do Office Standard 2013 consiste no seguinte: Excel 2013, OneNote 2013, Outlook 2013,</w:t>
      </w:r>
      <w:r w:rsidRPr="000A1C8E">
        <w:rPr>
          <w:rFonts w:ascii="Tahoma" w:hAnsi="Tahoma" w:cs="Tahoma"/>
        </w:rPr>
        <w:t xml:space="preserve"> Office Home and Student RT 2013 – Uso Comercial,</w:t>
      </w:r>
      <w:r w:rsidRPr="000A1C8E">
        <w:rPr>
          <w:rFonts w:ascii="Tahoma" w:hAnsi="Tahoma" w:cs="Tahoma"/>
          <w:sz w:val="18"/>
        </w:rPr>
        <w:t xml:space="preserve"> Office Web Apps, PowerPoint 2013, Publisher 2013 e</w:t>
      </w:r>
      <w:r w:rsidR="003C3C97" w:rsidRPr="000A1C8E">
        <w:rPr>
          <w:rFonts w:ascii="Tahoma" w:hAnsi="Tahoma" w:cs="Tahoma"/>
          <w:sz w:val="18"/>
        </w:rPr>
        <w:t> </w:t>
      </w:r>
      <w:r w:rsidRPr="000A1C8E">
        <w:rPr>
          <w:rFonts w:ascii="Tahoma" w:hAnsi="Tahoma" w:cs="Tahoma"/>
          <w:sz w:val="18"/>
        </w:rPr>
        <w:t>Word 2013.</w:t>
      </w:r>
    </w:p>
    <w:p w:rsidR="00DF0E39" w:rsidRPr="000A1C8E" w:rsidRDefault="00DF0E39" w:rsidP="00DF0E39">
      <w:pPr>
        <w:pStyle w:val="FootnoteBulletLevel1"/>
        <w:tabs>
          <w:tab w:val="clear" w:pos="900"/>
        </w:tabs>
        <w:spacing w:before="0" w:after="0"/>
        <w:ind w:left="720" w:firstLine="0"/>
        <w:rPr>
          <w:rFonts w:ascii="Tahoma" w:hAnsi="Tahoma" w:cs="Tahoma"/>
        </w:rPr>
      </w:pPr>
    </w:p>
    <w:p w:rsidR="00864B8A" w:rsidRPr="000A1C8E" w:rsidRDefault="00223A77" w:rsidP="00864B8A">
      <w:pPr>
        <w:spacing w:after="60"/>
        <w:ind w:left="720"/>
        <w:rPr>
          <w:rFonts w:cs="Tahoma"/>
        </w:rPr>
      </w:pPr>
      <w:r w:rsidRPr="000A1C8E">
        <w:rPr>
          <w:rFonts w:cs="Tahoma"/>
          <w:b/>
        </w:rPr>
        <w:t>Incapacidade de Separar o Microsoft Office Standard 2013</w:t>
      </w:r>
    </w:p>
    <w:p w:rsidR="00223A77" w:rsidRPr="000A1C8E" w:rsidRDefault="00223A77" w:rsidP="002F39A5">
      <w:pPr>
        <w:spacing w:after="60"/>
        <w:ind w:left="720"/>
        <w:rPr>
          <w:rFonts w:cs="Tahoma"/>
        </w:rPr>
      </w:pPr>
      <w:r w:rsidRPr="000A1C8E">
        <w:rPr>
          <w:rFonts w:cs="Tahoma"/>
        </w:rPr>
        <w:t>O Office Standard 2013 consiste em mais de um produto oferecido sob uma única licença. O software não deverá ser separado para uso em mais de um computador.</w:t>
      </w:r>
    </w:p>
    <w:p w:rsidR="002F39A5" w:rsidRDefault="002F39A5" w:rsidP="002F39A5">
      <w:pPr>
        <w:rPr>
          <w:rFonts w:cs="Tahoma"/>
        </w:rPr>
      </w:pPr>
    </w:p>
    <w:p w:rsidR="00002DCF" w:rsidRPr="000A1C8E" w:rsidRDefault="00002DCF" w:rsidP="002F39A5">
      <w:pPr>
        <w:rPr>
          <w:rFonts w:cs="Tahoma"/>
        </w:rPr>
      </w:pPr>
    </w:p>
    <w:p w:rsidR="00B2182D" w:rsidRPr="000A1C8E" w:rsidRDefault="00A560B6" w:rsidP="00461CA9">
      <w:pPr>
        <w:pStyle w:val="Heading3"/>
        <w:rPr>
          <w:rFonts w:ascii="Tahoma" w:hAnsi="Tahoma" w:cs="Tahoma"/>
        </w:rPr>
      </w:pPr>
      <w:bookmarkStart w:id="1031" w:name="_110_Office_365"/>
      <w:bookmarkStart w:id="1032" w:name="_12_Office_365"/>
      <w:bookmarkStart w:id="1033" w:name="_13_Office_365"/>
      <w:bookmarkStart w:id="1034" w:name="_Toc361829354"/>
      <w:bookmarkStart w:id="1035" w:name="Aps_9OfficeProPlusSubUserSL"/>
      <w:bookmarkEnd w:id="1031"/>
      <w:bookmarkEnd w:id="1032"/>
      <w:bookmarkEnd w:id="1033"/>
      <w:r w:rsidRPr="000A1C8E">
        <w:rPr>
          <w:rFonts w:ascii="Tahoma" w:hAnsi="Tahoma" w:cs="Tahoma"/>
          <w:caps/>
          <w:color w:val="F26200"/>
          <w:sz w:val="22"/>
          <w:vertAlign w:val="superscript"/>
        </w:rPr>
        <w:t>13</w:t>
      </w:r>
      <w:r w:rsidRPr="000A1C8E">
        <w:rPr>
          <w:rFonts w:ascii="Tahoma" w:hAnsi="Tahoma" w:cs="Tahoma"/>
          <w:color w:val="F26200"/>
          <w:sz w:val="22"/>
        </w:rPr>
        <w:t xml:space="preserve"> Office 365 ProPlus (SL de Usuário)</w:t>
      </w:r>
      <w:bookmarkEnd w:id="1030"/>
      <w:bookmarkEnd w:id="1034"/>
    </w:p>
    <w:bookmarkEnd w:id="1035"/>
    <w:p w:rsidR="00B2182D" w:rsidRPr="000A1C8E" w:rsidRDefault="00B2182D" w:rsidP="00AE5A9F">
      <w:pPr>
        <w:rPr>
          <w:rFonts w:cs="Tahoma"/>
        </w:rPr>
      </w:pPr>
    </w:p>
    <w:p w:rsidR="003418C5" w:rsidRPr="000A1C8E" w:rsidRDefault="003418C5" w:rsidP="003418C5">
      <w:pPr>
        <w:spacing w:after="60"/>
        <w:ind w:left="720"/>
        <w:rPr>
          <w:rFonts w:cs="Tahoma"/>
        </w:rPr>
      </w:pPr>
      <w:r w:rsidRPr="000A1C8E">
        <w:rPr>
          <w:rFonts w:cs="Tahoma"/>
          <w:b/>
          <w:bCs/>
        </w:rPr>
        <w:t>Qualificação para Compra</w:t>
      </w:r>
    </w:p>
    <w:p w:rsidR="003418C5" w:rsidRPr="000A1C8E" w:rsidRDefault="003418C5" w:rsidP="003418C5">
      <w:pPr>
        <w:ind w:left="720"/>
        <w:rPr>
          <w:rFonts w:cs="Tahoma"/>
        </w:rPr>
      </w:pPr>
      <w:r w:rsidRPr="000A1C8E">
        <w:rPr>
          <w:rFonts w:cs="Tahoma"/>
        </w:rPr>
        <w:t xml:space="preserve">Você só poderá comprar a licença de Transição de SA do Office 365 ProPlus se você tiver uma licença de Software Assurance do Office Professional Plus subjacente em um Contrato Enterprise ativo. </w:t>
      </w:r>
    </w:p>
    <w:p w:rsidR="003418C5" w:rsidRPr="000A1C8E" w:rsidRDefault="003418C5" w:rsidP="00864B8A">
      <w:pPr>
        <w:spacing w:after="60"/>
        <w:ind w:left="720"/>
        <w:rPr>
          <w:rFonts w:cs="Tahoma"/>
        </w:rPr>
      </w:pPr>
    </w:p>
    <w:p w:rsidR="005C647E" w:rsidRPr="000A1C8E" w:rsidRDefault="005C647E" w:rsidP="00864B8A">
      <w:pPr>
        <w:spacing w:after="60"/>
        <w:ind w:left="720"/>
        <w:rPr>
          <w:rFonts w:cs="Tahoma"/>
        </w:rPr>
      </w:pPr>
      <w:r w:rsidRPr="000A1C8E">
        <w:rPr>
          <w:rFonts w:cs="Tahoma"/>
          <w:b/>
        </w:rPr>
        <w:t>Campus e School</w:t>
      </w:r>
    </w:p>
    <w:p w:rsidR="005C647E" w:rsidRPr="000A1C8E" w:rsidRDefault="005C647E" w:rsidP="00810479">
      <w:pPr>
        <w:ind w:left="720"/>
        <w:rPr>
          <w:rFonts w:cs="Tahoma"/>
        </w:rPr>
      </w:pPr>
      <w:r w:rsidRPr="000A1C8E">
        <w:rPr>
          <w:rFonts w:cs="Tahoma"/>
          <w:color w:val="000000"/>
        </w:rPr>
        <w:t>Se a Instituição se inscrever no Office Professional Plus Subscription, ela deverá adquirir uma licença para cada Usuário Qualificado na organização da Instituição. Se a Instituição se inscrever na opção Student no Office Professional Plus Subscription, ela deverá adquirir uma licença para cada Aluno na Organização.</w:t>
      </w:r>
    </w:p>
    <w:p w:rsidR="005C647E" w:rsidRPr="000A1C8E" w:rsidRDefault="005C647E" w:rsidP="00810479">
      <w:pPr>
        <w:ind w:left="720"/>
        <w:rPr>
          <w:rFonts w:cs="Tahoma"/>
        </w:rPr>
      </w:pPr>
    </w:p>
    <w:p w:rsidR="008368B4" w:rsidRPr="000A1C8E" w:rsidRDefault="008368B4" w:rsidP="008368B4">
      <w:pPr>
        <w:ind w:left="720"/>
        <w:rPr>
          <w:rFonts w:cs="Tahoma"/>
        </w:rPr>
      </w:pPr>
      <w:r w:rsidRPr="000A1C8E">
        <w:rPr>
          <w:rFonts w:cs="Tahoma"/>
          <w:b/>
          <w:bCs/>
          <w:szCs w:val="18"/>
        </w:rPr>
        <w:t>Uso do Office Professional Plus 2010 ou Office para Mac Standard 2011</w:t>
      </w:r>
    </w:p>
    <w:p w:rsidR="008368B4" w:rsidRPr="000A1C8E" w:rsidRDefault="008368B4" w:rsidP="008368B4">
      <w:pPr>
        <w:ind w:left="720"/>
        <w:rPr>
          <w:rFonts w:cs="Tahoma"/>
        </w:rPr>
      </w:pPr>
      <w:r w:rsidRPr="000A1C8E">
        <w:rPr>
          <w:rFonts w:cs="Tahoma"/>
          <w:bCs/>
          <w:szCs w:val="18"/>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w:t>
      </w:r>
      <w:r w:rsidR="00DC6D8B" w:rsidRPr="000A1C8E">
        <w:rPr>
          <w:rFonts w:cs="Tahoma"/>
          <w:bCs/>
          <w:szCs w:val="18"/>
        </w:rPr>
        <w:t xml:space="preserve"> </w:t>
      </w:r>
      <w:r w:rsidRPr="000A1C8E">
        <w:rPr>
          <w:rFonts w:cs="Tahoma"/>
          <w:bCs/>
          <w:szCs w:val="18"/>
        </w:rPr>
        <w:t>2014 para atualizar seus dispositivos para a mídia Office 365 ProPlus.</w:t>
      </w:r>
    </w:p>
    <w:p w:rsidR="00934C9A" w:rsidRPr="000A1C8E" w:rsidRDefault="00934C9A" w:rsidP="008368B4">
      <w:pPr>
        <w:ind w:left="720"/>
        <w:rPr>
          <w:rFonts w:cs="Tahoma"/>
        </w:rPr>
      </w:pPr>
      <w:r w:rsidRPr="000A1C8E">
        <w:rPr>
          <w:rFonts w:cs="Tahoma"/>
          <w:bCs/>
          <w:szCs w:val="18"/>
        </w:rPr>
        <w:t>* Consulte a Lista de Produtos de fevereiro de 2013 para obter os termos completos dos direitos de qualificação de mídia para Assinatura do Office Professional Plus</w:t>
      </w:r>
    </w:p>
    <w:p w:rsidR="008368B4" w:rsidRPr="000A1C8E" w:rsidRDefault="008368B4" w:rsidP="008368B4">
      <w:pPr>
        <w:ind w:left="720"/>
        <w:rPr>
          <w:rFonts w:cs="Tahoma"/>
        </w:rPr>
      </w:pPr>
    </w:p>
    <w:p w:rsidR="008368B4" w:rsidRPr="000A1C8E" w:rsidRDefault="008368B4" w:rsidP="008368B4">
      <w:pPr>
        <w:spacing w:after="60"/>
        <w:ind w:left="720"/>
        <w:rPr>
          <w:rFonts w:cs="Tahoma"/>
        </w:rPr>
      </w:pPr>
      <w:r w:rsidRPr="000A1C8E">
        <w:rPr>
          <w:rFonts w:cs="Tahoma"/>
          <w:b/>
        </w:rPr>
        <w:t>Qualificação de Mídia com Serviços de Área de Trabalho Remota (RDS)</w:t>
      </w:r>
    </w:p>
    <w:p w:rsidR="008368B4" w:rsidRPr="000A1C8E" w:rsidRDefault="008368B4" w:rsidP="003C3C97">
      <w:pPr>
        <w:ind w:left="720"/>
        <w:rPr>
          <w:rFonts w:cs="Tahoma"/>
        </w:rPr>
      </w:pPr>
      <w:r w:rsidRPr="000A1C8E">
        <w:rPr>
          <w:rFonts w:cs="Tahoma"/>
          <w:szCs w:val="18"/>
        </w:rPr>
        <w:t>Se o usuário para o qual você atribuiu uma licença do Office 365 ProPlus usar o software em um servidor de</w:t>
      </w:r>
      <w:r w:rsidR="003C3C97" w:rsidRPr="000A1C8E">
        <w:rPr>
          <w:rFonts w:cs="Tahoma"/>
          <w:szCs w:val="18"/>
        </w:rPr>
        <w:t> </w:t>
      </w:r>
      <w:r w:rsidRPr="000A1C8E">
        <w:rPr>
          <w:rFonts w:cs="Tahoma"/>
          <w:szCs w:val="18"/>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DC6D8B" w:rsidRPr="000A1C8E">
        <w:rPr>
          <w:rFonts w:cs="Tahoma"/>
          <w:szCs w:val="18"/>
        </w:rPr>
        <w:t xml:space="preserve"> </w:t>
      </w:r>
      <w:r w:rsidRPr="000A1C8E">
        <w:rPr>
          <w:rFonts w:cs="Tahoma"/>
          <w:szCs w:val="18"/>
        </w:rPr>
        <w:t xml:space="preserve">Mediante o término da sua assinatura do Office 365 ProPlus, você deverá desinstalar o software Office Professional Plus 2013 do servidor de rede. </w:t>
      </w:r>
    </w:p>
    <w:p w:rsidR="00B2182D" w:rsidRDefault="00B2182D" w:rsidP="00810479">
      <w:pPr>
        <w:ind w:left="720"/>
        <w:rPr>
          <w:rFonts w:cs="Tahoma"/>
        </w:rPr>
      </w:pPr>
    </w:p>
    <w:p w:rsidR="00002DCF" w:rsidRDefault="00002DCF" w:rsidP="00810479">
      <w:pPr>
        <w:ind w:left="720"/>
        <w:rPr>
          <w:rFonts w:cs="Tahoma"/>
        </w:rPr>
      </w:pPr>
    </w:p>
    <w:p w:rsidR="00002DCF" w:rsidRDefault="00002DCF" w:rsidP="00810479">
      <w:pPr>
        <w:ind w:left="720"/>
        <w:rPr>
          <w:rFonts w:cs="Tahoma"/>
        </w:rPr>
      </w:pPr>
    </w:p>
    <w:p w:rsidR="00002DCF" w:rsidRDefault="00002DCF" w:rsidP="00810479">
      <w:pPr>
        <w:ind w:left="720"/>
        <w:rPr>
          <w:rFonts w:cs="Tahoma"/>
        </w:rPr>
      </w:pPr>
    </w:p>
    <w:p w:rsidR="00002DCF" w:rsidRDefault="00002DCF" w:rsidP="00810479">
      <w:pPr>
        <w:ind w:left="720"/>
        <w:rPr>
          <w:rFonts w:cs="Tahoma"/>
        </w:rPr>
      </w:pPr>
    </w:p>
    <w:p w:rsidR="00002DCF" w:rsidRDefault="00002DCF" w:rsidP="00810479">
      <w:pPr>
        <w:ind w:left="720"/>
        <w:rPr>
          <w:rFonts w:cs="Tahoma"/>
        </w:rPr>
      </w:pPr>
    </w:p>
    <w:p w:rsidR="00002DCF" w:rsidRPr="000A1C8E" w:rsidRDefault="00002DCF" w:rsidP="00810479">
      <w:pPr>
        <w:ind w:left="720"/>
        <w:rPr>
          <w:rFonts w:cs="Tahoma"/>
        </w:rPr>
      </w:pPr>
    </w:p>
    <w:p w:rsidR="00ED6F81" w:rsidRPr="000A1C8E" w:rsidRDefault="00ED6F81" w:rsidP="00864B8A">
      <w:pPr>
        <w:spacing w:after="60"/>
        <w:ind w:left="720"/>
        <w:rPr>
          <w:rFonts w:cs="Tahoma"/>
        </w:rPr>
      </w:pPr>
      <w:r w:rsidRPr="000A1C8E">
        <w:rPr>
          <w:rFonts w:cs="Tahoma"/>
          <w:b/>
        </w:rPr>
        <w:t>Qualificação de Mídias com o Windows To Go Rights</w:t>
      </w:r>
    </w:p>
    <w:p w:rsidR="008368B4" w:rsidRPr="000A1C8E" w:rsidRDefault="008368B4" w:rsidP="008368B4">
      <w:pPr>
        <w:ind w:left="720"/>
        <w:rPr>
          <w:rFonts w:cs="Tahoma"/>
        </w:rPr>
      </w:pPr>
      <w:r w:rsidRPr="000A1C8E">
        <w:rPr>
          <w:rFonts w:cs="Tahoma"/>
        </w:rPr>
        <w:t>C</w:t>
      </w:r>
      <w:r w:rsidRPr="000A1C8E">
        <w:rPr>
          <w:rFonts w:cs="Tahoma"/>
          <w:szCs w:val="18"/>
        </w:rPr>
        <w:t xml:space="preserve">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w:t>
      </w:r>
      <w:r w:rsidRPr="000A1C8E">
        <w:rPr>
          <w:rFonts w:cs="Tahoma"/>
          <w:color w:val="000000" w:themeColor="text1"/>
          <w:szCs w:val="18"/>
        </w:rPr>
        <w:t xml:space="preserve">Plus 2013 na unidade USB usada para o Windows to Go Rights e 2) usar o software Office Professional Plus 2013 </w:t>
      </w:r>
      <w:r w:rsidRPr="000A1C8E">
        <w:rPr>
          <w:rFonts w:cs="Tahoma"/>
          <w:szCs w:val="18"/>
        </w:rPr>
        <w:t xml:space="preserve">nessa unidade USB em qualquer dispositivo licenciado. Mediante o término da sua assinatura do Office 365 Plus, você deverá desinstalar o software Office Professional Plus 2013 da unidade USB. </w:t>
      </w:r>
    </w:p>
    <w:p w:rsidR="00ED6F81" w:rsidRPr="000A1C8E" w:rsidRDefault="00ED6F81" w:rsidP="00810479">
      <w:pPr>
        <w:ind w:left="720"/>
        <w:rPr>
          <w:rFonts w:cs="Tahoma"/>
        </w:rPr>
      </w:pPr>
    </w:p>
    <w:p w:rsidR="00B2182D" w:rsidRPr="000A1C8E" w:rsidRDefault="00B2182D" w:rsidP="00864B8A">
      <w:pPr>
        <w:spacing w:after="60"/>
        <w:ind w:left="720"/>
        <w:rPr>
          <w:rFonts w:cs="Tahoma"/>
        </w:rPr>
      </w:pPr>
      <w:r w:rsidRPr="000A1C8E">
        <w:rPr>
          <w:rFonts w:cs="Tahoma"/>
          <w:b/>
        </w:rPr>
        <w:t>Direitos de Downgrade</w:t>
      </w:r>
    </w:p>
    <w:p w:rsidR="008368B4" w:rsidRDefault="008368B4" w:rsidP="008368B4">
      <w:pPr>
        <w:ind w:left="720"/>
        <w:rPr>
          <w:rStyle w:val="Hyperlink"/>
          <w:rFonts w:cs="Tahoma"/>
          <w:bCs/>
          <w:szCs w:val="18"/>
        </w:rPr>
      </w:pPr>
      <w:r w:rsidRPr="000A1C8E">
        <w:rPr>
          <w:rFonts w:cs="Tahoma"/>
          <w:bCs/>
          <w:szCs w:val="18"/>
        </w:rPr>
        <w:t xml:space="preserve">O serviço Office 365 ProPlus não possui direitos de downgrade. Para obter mais informações sobre os requisitos de atualização dos Serviços Online, consulte os Direitos de Uso de Produto (PUR) no site </w:t>
      </w:r>
      <w:hyperlink r:id="rId37" w:history="1">
        <w:r w:rsidRPr="000A1C8E">
          <w:rPr>
            <w:rStyle w:val="Hyperlink"/>
            <w:rFonts w:cs="Tahoma"/>
            <w:bCs/>
            <w:szCs w:val="18"/>
          </w:rPr>
          <w:t>http://www.microsoftvolumelicensing.com/userights/PUR.aspx</w:t>
        </w:r>
      </w:hyperlink>
    </w:p>
    <w:p w:rsidR="00002DCF" w:rsidRPr="00002DCF" w:rsidRDefault="00002DCF" w:rsidP="00002DCF"/>
    <w:p w:rsidR="00002DCF" w:rsidRPr="000A1C8E" w:rsidRDefault="00002DCF" w:rsidP="00002DCF">
      <w:pPr>
        <w:rPr>
          <w:rFonts w:cs="Tahoma"/>
        </w:rPr>
      </w:pPr>
    </w:p>
    <w:p w:rsidR="00704723" w:rsidRPr="000A1C8E" w:rsidRDefault="00A560B6" w:rsidP="00704723">
      <w:pPr>
        <w:pStyle w:val="Heading3"/>
        <w:rPr>
          <w:rFonts w:ascii="Tahoma" w:hAnsi="Tahoma" w:cs="Tahoma"/>
        </w:rPr>
      </w:pPr>
      <w:bookmarkStart w:id="1036" w:name="_121_Outlook_for"/>
      <w:bookmarkStart w:id="1037" w:name="_13_Outlook_for"/>
      <w:bookmarkStart w:id="1038" w:name="_14_Outlook_para"/>
      <w:bookmarkStart w:id="1039" w:name="_Toc336338270"/>
      <w:bookmarkStart w:id="1040" w:name="_Toc361829355"/>
      <w:bookmarkStart w:id="1041" w:name="Srv_9OutlookMac2011"/>
      <w:bookmarkEnd w:id="1036"/>
      <w:bookmarkEnd w:id="1037"/>
      <w:bookmarkEnd w:id="1038"/>
      <w:r w:rsidRPr="000A1C8E">
        <w:rPr>
          <w:rFonts w:ascii="Tahoma" w:hAnsi="Tahoma" w:cs="Tahoma"/>
          <w:caps/>
          <w:color w:val="F66400"/>
          <w:sz w:val="22"/>
          <w:vertAlign w:val="superscript"/>
        </w:rPr>
        <w:t>14</w:t>
      </w:r>
      <w:r w:rsidRPr="000A1C8E">
        <w:rPr>
          <w:rFonts w:ascii="Tahoma" w:hAnsi="Tahoma" w:cs="Tahoma"/>
          <w:color w:val="F66400"/>
          <w:sz w:val="22"/>
        </w:rPr>
        <w:t xml:space="preserve"> Outlook para Mac 2011</w:t>
      </w:r>
      <w:bookmarkEnd w:id="1039"/>
      <w:bookmarkEnd w:id="1040"/>
      <w:r w:rsidRPr="000A1C8E">
        <w:rPr>
          <w:rFonts w:ascii="Tahoma" w:hAnsi="Tahoma" w:cs="Tahoma"/>
          <w:color w:val="F66400"/>
          <w:sz w:val="22"/>
        </w:rPr>
        <w:t xml:space="preserve"> </w:t>
      </w:r>
    </w:p>
    <w:bookmarkEnd w:id="1041"/>
    <w:p w:rsidR="00704723" w:rsidRPr="000A1C8E" w:rsidRDefault="00704723" w:rsidP="00AE5A9F">
      <w:pPr>
        <w:rPr>
          <w:rFonts w:cs="Tahoma"/>
        </w:rPr>
      </w:pPr>
    </w:p>
    <w:p w:rsidR="00704723" w:rsidRPr="000A1C8E" w:rsidRDefault="00704723" w:rsidP="00864B8A">
      <w:pPr>
        <w:spacing w:after="60"/>
        <w:ind w:left="720"/>
        <w:rPr>
          <w:rFonts w:cs="Tahoma"/>
        </w:rPr>
      </w:pPr>
      <w:r w:rsidRPr="000A1C8E">
        <w:rPr>
          <w:rFonts w:cs="Tahoma"/>
          <w:b/>
        </w:rPr>
        <w:t>Caminho de Migração do Software Assurance para o Entourage para Mac 2008</w:t>
      </w:r>
    </w:p>
    <w:p w:rsidR="00223A77" w:rsidRPr="000A1C8E" w:rsidRDefault="00704723" w:rsidP="00AE5A9F">
      <w:pPr>
        <w:adjustRightInd w:val="0"/>
        <w:ind w:left="720"/>
        <w:textAlignment w:val="baseline"/>
        <w:rPr>
          <w:rFonts w:cs="Tahoma"/>
        </w:rPr>
      </w:pPr>
      <w:r w:rsidRPr="000A1C8E">
        <w:rPr>
          <w:rFonts w:cs="Tahoma"/>
          <w:szCs w:val="20"/>
        </w:rPr>
        <w:t>A versão substituta do Entourage para Mac</w:t>
      </w:r>
      <w:bookmarkStart w:id="1042" w:name="Srv_8Project2010Pro"/>
      <w:r w:rsidRPr="000A1C8E">
        <w:rPr>
          <w:rFonts w:cs="Tahoma"/>
          <w:szCs w:val="20"/>
        </w:rPr>
        <w:t xml:space="preserve"> 2008 é o Outlook para Mac 2011.</w:t>
      </w:r>
    </w:p>
    <w:p w:rsidR="00AE5A9F" w:rsidRPr="000A1C8E" w:rsidRDefault="00AE5A9F" w:rsidP="00AE5A9F">
      <w:pPr>
        <w:adjustRightInd w:val="0"/>
        <w:textAlignment w:val="baseline"/>
        <w:rPr>
          <w:rFonts w:cs="Tahoma"/>
        </w:rPr>
      </w:pPr>
    </w:p>
    <w:p w:rsidR="00AE5A9F" w:rsidRPr="000A1C8E" w:rsidRDefault="00AE5A9F" w:rsidP="00AE5A9F">
      <w:pPr>
        <w:adjustRightInd w:val="0"/>
        <w:textAlignment w:val="baseline"/>
        <w:rPr>
          <w:rFonts w:cs="Tahoma"/>
        </w:rPr>
      </w:pPr>
    </w:p>
    <w:p w:rsidR="00223A77" w:rsidRPr="000A1C8E" w:rsidRDefault="00A560B6" w:rsidP="00223A77">
      <w:pPr>
        <w:pStyle w:val="Heading3"/>
        <w:rPr>
          <w:rFonts w:ascii="Tahoma" w:hAnsi="Tahoma" w:cs="Tahoma"/>
        </w:rPr>
      </w:pPr>
      <w:bookmarkStart w:id="1043" w:name="_132_Project_2013"/>
      <w:bookmarkStart w:id="1044" w:name="_14_Project_Professional"/>
      <w:bookmarkStart w:id="1045" w:name="_15_Project_Professional"/>
      <w:bookmarkStart w:id="1046" w:name="_Toc336338271"/>
      <w:bookmarkStart w:id="1047" w:name="_Toc361829356"/>
      <w:bookmarkStart w:id="1048" w:name="_Toc254806116"/>
      <w:bookmarkStart w:id="1049" w:name="Srv_Project2010Pro"/>
      <w:bookmarkStart w:id="1050" w:name="Aps_8Project2010Pro"/>
      <w:bookmarkEnd w:id="1043"/>
      <w:bookmarkEnd w:id="1044"/>
      <w:bookmarkEnd w:id="1045"/>
      <w:r w:rsidRPr="000A1C8E">
        <w:rPr>
          <w:rFonts w:ascii="Tahoma" w:hAnsi="Tahoma" w:cs="Tahoma"/>
          <w:caps/>
          <w:color w:val="F66400"/>
          <w:sz w:val="22"/>
          <w:vertAlign w:val="superscript"/>
        </w:rPr>
        <w:t>15</w:t>
      </w:r>
      <w:r w:rsidRPr="000A1C8E">
        <w:rPr>
          <w:rFonts w:ascii="Tahoma" w:hAnsi="Tahoma" w:cs="Tahoma"/>
          <w:color w:val="F66400"/>
          <w:sz w:val="22"/>
        </w:rPr>
        <w:t xml:space="preserve"> Project Professional 2013</w:t>
      </w:r>
      <w:bookmarkEnd w:id="1046"/>
      <w:bookmarkEnd w:id="1047"/>
      <w:r w:rsidRPr="000A1C8E">
        <w:rPr>
          <w:rFonts w:ascii="Tahoma" w:hAnsi="Tahoma" w:cs="Tahoma"/>
          <w:color w:val="F66400"/>
          <w:sz w:val="22"/>
        </w:rPr>
        <w:t xml:space="preserve"> </w:t>
      </w:r>
      <w:bookmarkEnd w:id="1048"/>
    </w:p>
    <w:bookmarkEnd w:id="1042"/>
    <w:bookmarkEnd w:id="1049"/>
    <w:bookmarkEnd w:id="1050"/>
    <w:p w:rsidR="00223A77" w:rsidRPr="000A1C8E" w:rsidRDefault="00223A77" w:rsidP="00AE5A9F">
      <w:pPr>
        <w:ind w:left="720"/>
        <w:rPr>
          <w:rFonts w:cs="Tahoma"/>
        </w:rPr>
      </w:pPr>
    </w:p>
    <w:p w:rsidR="00223A77" w:rsidRPr="000A1C8E" w:rsidRDefault="00223A77" w:rsidP="00864B8A">
      <w:pPr>
        <w:spacing w:after="60"/>
        <w:ind w:left="720"/>
        <w:rPr>
          <w:rFonts w:cs="Tahoma"/>
        </w:rPr>
      </w:pPr>
      <w:r w:rsidRPr="000A1C8E">
        <w:rPr>
          <w:rFonts w:cs="Tahoma"/>
          <w:b/>
        </w:rPr>
        <w:t>CAL do Project Server Complementar</w:t>
      </w:r>
    </w:p>
    <w:p w:rsidR="00223A77" w:rsidRPr="000A1C8E" w:rsidRDefault="00223A77" w:rsidP="00AE5A9F">
      <w:pPr>
        <w:pStyle w:val="EndnoteText"/>
        <w:ind w:left="720"/>
        <w:rPr>
          <w:rFonts w:ascii="Tahoma" w:hAnsi="Tahoma" w:cs="Tahoma"/>
        </w:rPr>
      </w:pPr>
      <w:r w:rsidRPr="000A1C8E">
        <w:rPr>
          <w:rStyle w:val="EndnoteTextChar"/>
          <w:rFonts w:ascii="Tahoma" w:hAnsi="Tahoma" w:cs="Tahoma"/>
          <w:sz w:val="18"/>
        </w:rPr>
        <w:t>Os clientes que licenciarem o Project Professional 2013 terão uma CAL do Dispositivo do Project Server 2013. O direito de acesso ao Project Server 2013 sob essa CAL se encerrará no término da Licença do Project Professional correspondente.</w:t>
      </w:r>
    </w:p>
    <w:p w:rsidR="00223A77" w:rsidRPr="00002DCF" w:rsidRDefault="00223A77" w:rsidP="00AE5A9F">
      <w:pPr>
        <w:pStyle w:val="EndnoteText"/>
        <w:ind w:left="720"/>
        <w:rPr>
          <w:rFonts w:ascii="Tahoma" w:hAnsi="Tahoma" w:cs="Tahoma"/>
          <w:sz w:val="18"/>
          <w:szCs w:val="18"/>
        </w:rPr>
      </w:pPr>
    </w:p>
    <w:p w:rsidR="00223A77" w:rsidRPr="000A1C8E" w:rsidRDefault="00223A77" w:rsidP="00AE5A9F">
      <w:pPr>
        <w:pStyle w:val="EndnoteText"/>
        <w:ind w:left="720"/>
        <w:rPr>
          <w:rFonts w:ascii="Tahoma" w:hAnsi="Tahoma" w:cs="Tahoma"/>
        </w:rPr>
      </w:pPr>
      <w:r w:rsidRPr="000A1C8E">
        <w:rPr>
          <w:rStyle w:val="EndnoteTextChar"/>
          <w:rFonts w:ascii="Tahoma" w:hAnsi="Tahoma" w:cs="Tahoma"/>
          <w:sz w:val="18"/>
        </w:rPr>
        <w:t>Os clientes com Software Assurance ativo para a licença do Project Professional terão a cobertura do Software Assurance para suas CALs do Project Server complementares. Essa cobertura se encerrará no término da cobertura do Project Professional correspondente.</w:t>
      </w:r>
    </w:p>
    <w:p w:rsidR="00223A77" w:rsidRPr="00002DCF" w:rsidRDefault="00223A77" w:rsidP="00AE5A9F">
      <w:pPr>
        <w:pStyle w:val="EndnoteText"/>
        <w:ind w:left="720"/>
        <w:rPr>
          <w:rFonts w:ascii="Tahoma" w:hAnsi="Tahoma" w:cs="Tahoma"/>
          <w:sz w:val="18"/>
          <w:szCs w:val="18"/>
        </w:rPr>
      </w:pPr>
    </w:p>
    <w:p w:rsidR="00223A77" w:rsidRPr="00002DCF" w:rsidRDefault="00223A77" w:rsidP="003C3C97">
      <w:pPr>
        <w:pStyle w:val="EndnoteText"/>
        <w:ind w:left="720"/>
        <w:rPr>
          <w:rFonts w:ascii="Tahoma" w:hAnsi="Tahoma" w:cs="Tahoma"/>
          <w:sz w:val="18"/>
          <w:szCs w:val="18"/>
        </w:rPr>
      </w:pPr>
      <w:r w:rsidRPr="000A1C8E">
        <w:rPr>
          <w:rStyle w:val="EndnoteTextChar"/>
          <w:rFonts w:ascii="Tahoma" w:hAnsi="Tahoma" w:cs="Tahoma"/>
          <w:sz w:val="18"/>
        </w:rPr>
        <w:t>Consulte as notas de condição do produto do Project Server para obter direitos adicionais aplicáveis a</w:t>
      </w:r>
      <w:r w:rsidR="003C3C97" w:rsidRPr="000A1C8E">
        <w:rPr>
          <w:rStyle w:val="EndnoteTextChar"/>
          <w:rFonts w:ascii="Tahoma" w:hAnsi="Tahoma" w:cs="Tahoma"/>
          <w:sz w:val="18"/>
        </w:rPr>
        <w:t> </w:t>
      </w:r>
      <w:r w:rsidRPr="000A1C8E">
        <w:rPr>
          <w:rStyle w:val="EndnoteTextChar"/>
          <w:rFonts w:ascii="Tahoma" w:hAnsi="Tahoma" w:cs="Tahoma"/>
          <w:sz w:val="18"/>
        </w:rPr>
        <w:t>essas</w:t>
      </w:r>
      <w:r w:rsidR="003C3C97" w:rsidRPr="000A1C8E">
        <w:rPr>
          <w:rStyle w:val="EndnoteTextChar"/>
          <w:rFonts w:ascii="Tahoma" w:hAnsi="Tahoma" w:cs="Tahoma"/>
          <w:sz w:val="18"/>
        </w:rPr>
        <w:t> </w:t>
      </w:r>
      <w:r w:rsidRPr="000A1C8E">
        <w:rPr>
          <w:rStyle w:val="EndnoteTextChar"/>
          <w:rFonts w:ascii="Tahoma" w:hAnsi="Tahoma" w:cs="Tahoma"/>
          <w:sz w:val="18"/>
        </w:rPr>
        <w:t>CALs.</w:t>
      </w:r>
    </w:p>
    <w:p w:rsidR="00AE5A9F" w:rsidRPr="000A1C8E" w:rsidRDefault="00AE5A9F" w:rsidP="00AE5A9F">
      <w:pPr>
        <w:rPr>
          <w:rFonts w:cs="Tahoma"/>
        </w:rPr>
      </w:pPr>
    </w:p>
    <w:p w:rsidR="00AE5A9F" w:rsidRPr="000A1C8E" w:rsidRDefault="00AE5A9F" w:rsidP="00AE5A9F">
      <w:pPr>
        <w:rPr>
          <w:rFonts w:cs="Tahoma"/>
        </w:rPr>
      </w:pPr>
    </w:p>
    <w:p w:rsidR="002202DB" w:rsidRPr="000A1C8E" w:rsidRDefault="00A560B6" w:rsidP="00D824E9">
      <w:pPr>
        <w:pStyle w:val="Heading3"/>
        <w:keepNext/>
        <w:rPr>
          <w:rFonts w:ascii="Tahoma" w:hAnsi="Tahoma" w:cs="Tahoma"/>
        </w:rPr>
      </w:pPr>
      <w:bookmarkStart w:id="1051" w:name="_143_Project_Pro"/>
      <w:bookmarkStart w:id="1052" w:name="_15_Project_Pro"/>
      <w:bookmarkStart w:id="1053" w:name="_16_Project_Pro"/>
      <w:bookmarkStart w:id="1054" w:name="_Toc361829357"/>
      <w:bookmarkEnd w:id="1051"/>
      <w:bookmarkEnd w:id="1052"/>
      <w:bookmarkEnd w:id="1053"/>
      <w:r w:rsidRPr="000A1C8E">
        <w:rPr>
          <w:rFonts w:ascii="Tahoma" w:hAnsi="Tahoma" w:cs="Tahoma"/>
          <w:caps/>
          <w:color w:val="F66400"/>
          <w:sz w:val="22"/>
          <w:vertAlign w:val="superscript"/>
        </w:rPr>
        <w:t xml:space="preserve">16 </w:t>
      </w:r>
      <w:r w:rsidRPr="000A1C8E">
        <w:rPr>
          <w:rFonts w:ascii="Tahoma" w:hAnsi="Tahoma" w:cs="Tahoma"/>
          <w:color w:val="F66400"/>
          <w:sz w:val="22"/>
        </w:rPr>
        <w:t>Project Pro para Office 365</w:t>
      </w:r>
      <w:bookmarkEnd w:id="1054"/>
      <w:r w:rsidRPr="000A1C8E">
        <w:rPr>
          <w:rFonts w:ascii="Tahoma" w:hAnsi="Tahoma" w:cs="Tahoma"/>
          <w:color w:val="F66400"/>
          <w:sz w:val="22"/>
        </w:rPr>
        <w:t xml:space="preserve"> </w:t>
      </w:r>
    </w:p>
    <w:p w:rsidR="00A32FE7" w:rsidRPr="000A1C8E" w:rsidRDefault="00A32FE7" w:rsidP="00D824E9">
      <w:pPr>
        <w:keepNext/>
        <w:rPr>
          <w:rFonts w:cs="Tahoma"/>
        </w:rPr>
      </w:pPr>
    </w:p>
    <w:p w:rsidR="002202DB" w:rsidRPr="000A1C8E" w:rsidRDefault="002202DB" w:rsidP="002202DB">
      <w:pPr>
        <w:spacing w:after="60"/>
        <w:ind w:left="720"/>
        <w:rPr>
          <w:rFonts w:cs="Tahoma"/>
        </w:rPr>
      </w:pPr>
      <w:r w:rsidRPr="000A1C8E">
        <w:rPr>
          <w:rFonts w:cs="Tahoma"/>
          <w:b/>
        </w:rPr>
        <w:t>Qualificação de Mídia com Serviços de Área de Trabalho Remota (RDS)</w:t>
      </w:r>
    </w:p>
    <w:p w:rsidR="002202DB" w:rsidRPr="000A1C8E" w:rsidRDefault="002202DB" w:rsidP="003C3C97">
      <w:pPr>
        <w:ind w:left="720"/>
        <w:rPr>
          <w:rFonts w:cs="Tahoma"/>
        </w:rPr>
      </w:pPr>
      <w:r w:rsidRPr="000A1C8E">
        <w:rPr>
          <w:rFonts w:cs="Tahoma"/>
          <w:szCs w:val="18"/>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Professional 2013 em um servidor de rede e 2) acessar o software Project Professional 2013 de qualquer dispositivo.</w:t>
      </w:r>
      <w:r w:rsidR="00DC6D8B" w:rsidRPr="000A1C8E">
        <w:rPr>
          <w:rFonts w:cs="Tahoma"/>
          <w:szCs w:val="18"/>
        </w:rPr>
        <w:t xml:space="preserve"> </w:t>
      </w:r>
      <w:r w:rsidRPr="000A1C8E">
        <w:rPr>
          <w:rFonts w:cs="Tahoma"/>
          <w:szCs w:val="18"/>
        </w:rPr>
        <w:t>Mediante o término da sua assinatura do Project Pro para Office 365, você deverá desinstalar o</w:t>
      </w:r>
      <w:r w:rsidR="003C3C97" w:rsidRPr="000A1C8E">
        <w:rPr>
          <w:rFonts w:cs="Tahoma"/>
          <w:szCs w:val="18"/>
        </w:rPr>
        <w:t> </w:t>
      </w:r>
      <w:r w:rsidRPr="000A1C8E">
        <w:rPr>
          <w:rFonts w:cs="Tahoma"/>
          <w:szCs w:val="18"/>
        </w:rPr>
        <w:t xml:space="preserve">software Project Professional 2013 do servidor de rede. </w:t>
      </w:r>
    </w:p>
    <w:p w:rsidR="002202DB" w:rsidRPr="000A1C8E" w:rsidRDefault="002202DB" w:rsidP="002202DB">
      <w:pPr>
        <w:ind w:left="720"/>
        <w:rPr>
          <w:rFonts w:cs="Tahoma"/>
        </w:rPr>
      </w:pPr>
    </w:p>
    <w:p w:rsidR="002202DB" w:rsidRPr="000A1C8E" w:rsidRDefault="002202DB" w:rsidP="002202DB">
      <w:pPr>
        <w:spacing w:after="60"/>
        <w:ind w:left="720"/>
        <w:rPr>
          <w:rFonts w:cs="Tahoma"/>
        </w:rPr>
      </w:pPr>
      <w:r w:rsidRPr="000A1C8E">
        <w:rPr>
          <w:rFonts w:cs="Tahoma"/>
          <w:b/>
        </w:rPr>
        <w:t>Direitos de Downgrade</w:t>
      </w:r>
    </w:p>
    <w:p w:rsidR="002202DB" w:rsidRPr="000A1C8E" w:rsidRDefault="002202DB" w:rsidP="002202DB">
      <w:pPr>
        <w:ind w:left="720"/>
        <w:rPr>
          <w:rFonts w:cs="Tahoma"/>
        </w:rPr>
      </w:pPr>
      <w:r w:rsidRPr="000A1C8E">
        <w:rPr>
          <w:rFonts w:cs="Tahoma"/>
          <w:bCs/>
          <w:szCs w:val="18"/>
        </w:rPr>
        <w:t xml:space="preserve">O serviço Project Pro para Office 365 não possui direitos de downgrade. Para obter mais informações sobre os requisitos de atualização dos Serviços Online, consulte o documento de Direitos de Uso de Produto (PUR) no site </w:t>
      </w:r>
      <w:hyperlink r:id="rId38" w:history="1">
        <w:r w:rsidRPr="000A1C8E">
          <w:rPr>
            <w:rStyle w:val="Hyperlink"/>
            <w:rFonts w:cs="Tahoma"/>
            <w:bCs/>
            <w:szCs w:val="18"/>
          </w:rPr>
          <w:t>http://www.microsoftvolumelicensing.com/userights/PUR.aspx</w:t>
        </w:r>
      </w:hyperlink>
    </w:p>
    <w:p w:rsidR="003C3C97" w:rsidRDefault="003C3C97" w:rsidP="00AE5A9F">
      <w:pPr>
        <w:rPr>
          <w:rFonts w:cs="Tahoma"/>
        </w:rPr>
      </w:pPr>
    </w:p>
    <w:p w:rsidR="00F14B68" w:rsidRDefault="00F14B68" w:rsidP="00AE5A9F">
      <w:pPr>
        <w:rPr>
          <w:rFonts w:cs="Tahoma"/>
        </w:rPr>
      </w:pPr>
    </w:p>
    <w:p w:rsidR="00F14B68" w:rsidRDefault="00F14B68" w:rsidP="00AE5A9F">
      <w:pPr>
        <w:rPr>
          <w:rFonts w:cs="Tahoma"/>
        </w:rPr>
      </w:pPr>
    </w:p>
    <w:p w:rsidR="00F14B68" w:rsidRDefault="00F14B68" w:rsidP="00AE5A9F">
      <w:pPr>
        <w:rPr>
          <w:rFonts w:cs="Tahoma"/>
        </w:rPr>
      </w:pPr>
    </w:p>
    <w:p w:rsidR="00F14B68" w:rsidRPr="000A1C8E" w:rsidRDefault="00F14B68" w:rsidP="00AE5A9F">
      <w:pPr>
        <w:rPr>
          <w:rFonts w:cs="Tahoma"/>
        </w:rPr>
      </w:pPr>
    </w:p>
    <w:p w:rsidR="00223A77" w:rsidRPr="000A1C8E" w:rsidRDefault="00A560B6" w:rsidP="002541AE">
      <w:pPr>
        <w:pStyle w:val="Heading3"/>
        <w:rPr>
          <w:rFonts w:ascii="Tahoma" w:hAnsi="Tahoma" w:cs="Tahoma"/>
        </w:rPr>
      </w:pPr>
      <w:bookmarkStart w:id="1055" w:name="_145_Rental_Rights"/>
      <w:bookmarkStart w:id="1056" w:name="_16_Rental_Rights"/>
      <w:bookmarkStart w:id="1057" w:name="_17_Direitos_de"/>
      <w:bookmarkStart w:id="1058" w:name="_Toc336338272"/>
      <w:bookmarkStart w:id="1059" w:name="_Toc361829358"/>
      <w:bookmarkStart w:id="1060" w:name="Aps_9RentalRightsOffice"/>
      <w:bookmarkStart w:id="1061" w:name="Srv_RentalRightsOffice"/>
      <w:bookmarkStart w:id="1062" w:name="Srv_9RentalRightsOffice"/>
      <w:bookmarkEnd w:id="1055"/>
      <w:bookmarkEnd w:id="1056"/>
      <w:bookmarkEnd w:id="1057"/>
      <w:r w:rsidRPr="000A1C8E">
        <w:rPr>
          <w:rFonts w:ascii="Tahoma" w:hAnsi="Tahoma" w:cs="Tahoma"/>
          <w:caps/>
          <w:color w:val="E65D08"/>
          <w:sz w:val="22"/>
          <w:szCs w:val="22"/>
          <w:vertAlign w:val="superscript"/>
        </w:rPr>
        <w:t>17</w:t>
      </w:r>
      <w:r w:rsidRPr="000A1C8E">
        <w:rPr>
          <w:rFonts w:ascii="Tahoma" w:hAnsi="Tahoma" w:cs="Tahoma"/>
          <w:color w:val="E65D08"/>
          <w:sz w:val="22"/>
          <w:szCs w:val="22"/>
        </w:rPr>
        <w:t xml:space="preserve"> Direitos de Locação do Office</w:t>
      </w:r>
      <w:bookmarkEnd w:id="1058"/>
      <w:bookmarkEnd w:id="1059"/>
    </w:p>
    <w:bookmarkEnd w:id="1060"/>
    <w:p w:rsidR="002541AE" w:rsidRPr="000A1C8E" w:rsidRDefault="002541AE" w:rsidP="002541AE">
      <w:pPr>
        <w:rPr>
          <w:rFonts w:cs="Tahoma"/>
        </w:rPr>
      </w:pPr>
    </w:p>
    <w:bookmarkEnd w:id="1061"/>
    <w:bookmarkEnd w:id="1062"/>
    <w:p w:rsidR="000B0A08" w:rsidRPr="000A1C8E" w:rsidRDefault="000B0A08" w:rsidP="003C3C97">
      <w:pPr>
        <w:pStyle w:val="FootnoteBulletLevel1"/>
        <w:tabs>
          <w:tab w:val="clear" w:pos="900"/>
        </w:tabs>
        <w:spacing w:before="0" w:after="0"/>
        <w:ind w:left="720" w:firstLine="0"/>
        <w:rPr>
          <w:rFonts w:ascii="Tahoma" w:hAnsi="Tahoma" w:cs="Tahoma"/>
          <w:spacing w:val="-2"/>
        </w:rPr>
      </w:pPr>
      <w:r w:rsidRPr="000A1C8E">
        <w:rPr>
          <w:rFonts w:ascii="Tahoma" w:hAnsi="Tahoma" w:cs="Tahoma"/>
          <w:color w:val="000000"/>
          <w:spacing w:val="-2"/>
          <w:sz w:val="18"/>
          <w:szCs w:val="18"/>
        </w:rPr>
        <w:t>As licenças de direitos de locação concedidas sob esses programas são apenas licenças complementares. Elas</w:t>
      </w:r>
      <w:r w:rsidR="003C3C97" w:rsidRPr="000A1C8E">
        <w:rPr>
          <w:rFonts w:ascii="Tahoma" w:hAnsi="Tahoma" w:cs="Tahoma"/>
          <w:color w:val="000000"/>
          <w:spacing w:val="-2"/>
          <w:sz w:val="18"/>
          <w:szCs w:val="18"/>
        </w:rPr>
        <w:t> </w:t>
      </w:r>
      <w:r w:rsidRPr="000A1C8E">
        <w:rPr>
          <w:rFonts w:ascii="Tahoma" w:hAnsi="Tahoma" w:cs="Tahoma"/>
          <w:color w:val="000000"/>
          <w:spacing w:val="-2"/>
          <w:sz w:val="18"/>
          <w:szCs w:val="18"/>
        </w:rPr>
        <w:t>não são licenças integrais de produtos. Portanto, cada desktop ao qual um cliente atribuir uma licença de direitos de locação deverá ser licenciado para executar um dos aplicativos qualificados identificados a seguir.</w:t>
      </w:r>
    </w:p>
    <w:p w:rsidR="00980240" w:rsidRPr="00F14B68" w:rsidRDefault="00980240" w:rsidP="005E3B5E">
      <w:pPr>
        <w:ind w:left="720"/>
        <w:rPr>
          <w:rFonts w:cs="Tahoma"/>
          <w:sz w:val="16"/>
          <w:szCs w:val="16"/>
        </w:rPr>
      </w:pPr>
    </w:p>
    <w:p w:rsidR="00980240" w:rsidRPr="000A1C8E" w:rsidRDefault="000B0A08" w:rsidP="00864B8A">
      <w:pPr>
        <w:spacing w:after="60"/>
        <w:ind w:left="720"/>
        <w:rPr>
          <w:rFonts w:cs="Tahoma"/>
        </w:rPr>
      </w:pPr>
      <w:r w:rsidRPr="000A1C8E">
        <w:rPr>
          <w:rFonts w:cs="Tahoma"/>
          <w:b/>
        </w:rPr>
        <w:t>Regras de Aplicativos Qualificados</w:t>
      </w:r>
    </w:p>
    <w:p w:rsidR="000B0A08" w:rsidRPr="000A1C8E" w:rsidRDefault="000B0A08" w:rsidP="005E3B5E">
      <w:pPr>
        <w:ind w:left="720"/>
        <w:rPr>
          <w:rFonts w:cs="Tahoma"/>
        </w:rPr>
      </w:pPr>
      <w:r w:rsidRPr="000A1C8E">
        <w:rPr>
          <w:rFonts w:cs="Tahoma"/>
          <w:color w:val="000000"/>
          <w:szCs w:val="18"/>
        </w:rPr>
        <w:t>Cada uma destas condições deve ser atendida para que a Licença básica o qualifique para a licença de Direitos de Locação:</w:t>
      </w:r>
    </w:p>
    <w:p w:rsidR="005E3B5E" w:rsidRPr="00F14B68" w:rsidRDefault="005E3B5E" w:rsidP="005E3B5E">
      <w:pPr>
        <w:ind w:left="900"/>
        <w:rPr>
          <w:rFonts w:cs="Tahoma"/>
          <w:sz w:val="16"/>
          <w:szCs w:val="16"/>
        </w:rPr>
      </w:pPr>
    </w:p>
    <w:p w:rsidR="000B0A08" w:rsidRPr="000A1C8E" w:rsidRDefault="000B0A08" w:rsidP="005E3B5E">
      <w:pPr>
        <w:numPr>
          <w:ilvl w:val="0"/>
          <w:numId w:val="20"/>
        </w:numPr>
        <w:spacing w:after="60"/>
        <w:ind w:left="1440"/>
        <w:rPr>
          <w:rFonts w:cs="Tahoma"/>
        </w:rPr>
      </w:pPr>
      <w:r w:rsidRPr="000A1C8E">
        <w:rPr>
          <w:rFonts w:cs="Tahoma"/>
          <w:color w:val="000000"/>
          <w:szCs w:val="18"/>
        </w:rPr>
        <w:t>A licença para o aplicativo qualificado deve ser cedida ao mesmo dispositivo ao qual a licença de Direitos de Locação de VL deverá ser cedida.</w:t>
      </w:r>
    </w:p>
    <w:p w:rsidR="000B0A08" w:rsidRPr="000A1C8E" w:rsidRDefault="000B0A08" w:rsidP="005E3B5E">
      <w:pPr>
        <w:numPr>
          <w:ilvl w:val="0"/>
          <w:numId w:val="20"/>
        </w:numPr>
        <w:tabs>
          <w:tab w:val="left" w:pos="1440"/>
        </w:tabs>
        <w:spacing w:after="60"/>
        <w:ind w:left="1440"/>
        <w:rPr>
          <w:rFonts w:cs="Tahoma"/>
        </w:rPr>
      </w:pPr>
      <w:r w:rsidRPr="000A1C8E">
        <w:rPr>
          <w:rFonts w:cs="Tahoma"/>
          <w:color w:val="000000"/>
          <w:szCs w:val="18"/>
        </w:rPr>
        <w:t>O aplicativo qualificado deve ser instalado no referido dispositivo.</w:t>
      </w:r>
    </w:p>
    <w:p w:rsidR="000B0A08" w:rsidRPr="00F14B68" w:rsidRDefault="000B0A08" w:rsidP="005E3B5E">
      <w:pPr>
        <w:pStyle w:val="EndnoteText"/>
        <w:rPr>
          <w:rFonts w:ascii="Tahoma" w:hAnsi="Tahoma" w:cs="Tahoma"/>
          <w:sz w:val="16"/>
          <w:szCs w:val="16"/>
        </w:rPr>
      </w:pPr>
    </w:p>
    <w:p w:rsidR="000B0A08" w:rsidRPr="000A1C8E" w:rsidRDefault="000B0A08" w:rsidP="005E3B5E">
      <w:pPr>
        <w:pStyle w:val="EndnoteText"/>
        <w:ind w:left="720"/>
        <w:rPr>
          <w:rFonts w:ascii="Tahoma" w:hAnsi="Tahoma" w:cs="Tahoma"/>
        </w:rPr>
      </w:pPr>
      <w:r w:rsidRPr="000A1C8E">
        <w:rPr>
          <w:rFonts w:ascii="Tahoma" w:hAnsi="Tahoma" w:cs="Tahoma"/>
          <w:color w:val="000000"/>
          <w:sz w:val="18"/>
          <w:szCs w:val="18"/>
        </w:rPr>
        <w:t>Os aplicativos qualificados por tipo de Programa são:</w:t>
      </w:r>
    </w:p>
    <w:p w:rsidR="000B0A08" w:rsidRPr="00F14B68" w:rsidRDefault="000B0A08" w:rsidP="000B0A08">
      <w:pPr>
        <w:rPr>
          <w:rFonts w:cs="Tahoma"/>
          <w:sz w:val="16"/>
          <w:szCs w:val="16"/>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0A1C8E"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0A1C8E" w:rsidRDefault="00C4660F" w:rsidP="00CC111A">
            <w:pPr>
              <w:jc w:val="center"/>
              <w:rPr>
                <w:rFonts w:eastAsia="MS PGothic" w:cs="Tahoma"/>
                <w:b/>
                <w:bCs/>
                <w:color w:val="000000"/>
                <w:szCs w:val="18"/>
              </w:rPr>
            </w:pPr>
            <w:r w:rsidRPr="000A1C8E">
              <w:rPr>
                <w:rFonts w:cs="Tahoma"/>
                <w:b/>
                <w:bCs/>
                <w:color w:val="000000"/>
                <w:szCs w:val="18"/>
              </w:rPr>
              <w:t>Aplicativos Qualificados para a</w:t>
            </w:r>
            <w:r w:rsidR="00CC111A" w:rsidRPr="000A1C8E">
              <w:rPr>
                <w:rFonts w:cs="Tahoma"/>
                <w:b/>
                <w:bCs/>
                <w:color w:val="000000"/>
                <w:szCs w:val="18"/>
              </w:rPr>
              <w:t> </w:t>
            </w:r>
            <w:r w:rsidRPr="000A1C8E">
              <w:rPr>
                <w:rFonts w:cs="Tahoma"/>
                <w:b/>
                <w:bCs/>
                <w:color w:val="000000"/>
                <w:szCs w:val="18"/>
              </w:rPr>
              <w:t>aquisição de Direitos de Locação do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A1C8E" w:rsidRDefault="00C4660F" w:rsidP="00AD69BD">
            <w:pPr>
              <w:jc w:val="center"/>
              <w:rPr>
                <w:rFonts w:cs="Tahoma"/>
                <w:b/>
                <w:bCs/>
                <w:color w:val="000000"/>
                <w:szCs w:val="18"/>
              </w:rPr>
            </w:pPr>
            <w:r w:rsidRPr="000A1C8E">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0A1C8E" w:rsidRDefault="00C4660F" w:rsidP="00AD69BD">
            <w:pPr>
              <w:jc w:val="center"/>
              <w:rPr>
                <w:rFonts w:cs="Tahoma"/>
              </w:rPr>
            </w:pPr>
            <w:r w:rsidRPr="000A1C8E">
              <w:rPr>
                <w:rFonts w:cs="Tahoma"/>
                <w:b/>
                <w:bCs/>
                <w:color w:val="000000"/>
                <w:szCs w:val="18"/>
              </w:rPr>
              <w:t>PIPC</w:t>
            </w:r>
          </w:p>
          <w:p w:rsidR="00C4660F" w:rsidRPr="000A1C8E" w:rsidRDefault="00C4660F" w:rsidP="00AD69BD">
            <w:pPr>
              <w:jc w:val="center"/>
              <w:rPr>
                <w:rFonts w:cs="Tahoma"/>
                <w:b/>
                <w:bCs/>
                <w:color w:val="000000"/>
                <w:szCs w:val="18"/>
              </w:rPr>
            </w:pPr>
            <w:r w:rsidRPr="000A1C8E">
              <w:rPr>
                <w:rFonts w:cs="Tahoma"/>
                <w:b/>
                <w:bCs/>
                <w:color w:val="000000"/>
                <w:szCs w:val="18"/>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A1C8E" w:rsidRDefault="00C4660F" w:rsidP="00AD69BD">
            <w:pPr>
              <w:jc w:val="center"/>
              <w:rPr>
                <w:rFonts w:cs="Tahoma"/>
                <w:b/>
                <w:bCs/>
                <w:color w:val="000000"/>
                <w:szCs w:val="18"/>
              </w:rPr>
            </w:pPr>
            <w:r w:rsidRPr="000A1C8E">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A1C8E" w:rsidRDefault="00C4660F" w:rsidP="00AD69BD">
            <w:pPr>
              <w:jc w:val="center"/>
              <w:rPr>
                <w:rFonts w:cs="Tahoma"/>
                <w:b/>
                <w:bCs/>
                <w:color w:val="000000"/>
                <w:szCs w:val="18"/>
              </w:rPr>
            </w:pPr>
            <w:r w:rsidRPr="000A1C8E">
              <w:rPr>
                <w:rFonts w:cs="Tahoma"/>
                <w:b/>
                <w:bCs/>
                <w:color w:val="000000"/>
                <w:szCs w:val="18"/>
              </w:rPr>
              <w:t>Licença Open</w:t>
            </w:r>
          </w:p>
        </w:tc>
      </w:tr>
      <w:tr w:rsidR="000B0A08" w:rsidRPr="000A1C8E"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A1C8E" w:rsidRDefault="000B0A08" w:rsidP="00257298">
            <w:pPr>
              <w:rPr>
                <w:rFonts w:cs="Tahoma"/>
                <w:b/>
                <w:bCs/>
                <w:color w:val="000000"/>
                <w:szCs w:val="18"/>
              </w:rPr>
            </w:pPr>
            <w:r w:rsidRPr="000A1C8E">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0A1C8E"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0A1C8E"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color w:val="000000"/>
                <w:sz w:val="21"/>
                <w:szCs w:val="21"/>
              </w:rPr>
            </w:pPr>
            <w:r w:rsidRPr="000A1C8E">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color w:val="000000"/>
                <w:sz w:val="21"/>
                <w:szCs w:val="21"/>
              </w:rPr>
            </w:pPr>
            <w:r w:rsidRPr="000A1C8E">
              <w:rPr>
                <w:rFonts w:cs="Tahoma"/>
                <w:color w:val="000000"/>
              </w:rPr>
              <w:t>x</w:t>
            </w:r>
          </w:p>
        </w:tc>
      </w:tr>
      <w:tr w:rsidR="000B0A08" w:rsidRPr="000A1C8E"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A1C8E" w:rsidRDefault="000B0A08" w:rsidP="00257298">
            <w:pPr>
              <w:rPr>
                <w:rFonts w:cs="Tahoma"/>
                <w:b/>
                <w:bCs/>
                <w:color w:val="000000"/>
                <w:szCs w:val="18"/>
              </w:rPr>
            </w:pPr>
            <w:r w:rsidRPr="000A1C8E">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color w:val="000000"/>
                <w:sz w:val="21"/>
                <w:szCs w:val="21"/>
              </w:rPr>
            </w:pPr>
            <w:r w:rsidRPr="000A1C8E">
              <w:rPr>
                <w:rFonts w:cs="Tahoma"/>
                <w:color w:val="000000"/>
              </w:rPr>
              <w:t>x</w:t>
            </w:r>
          </w:p>
        </w:tc>
        <w:tc>
          <w:tcPr>
            <w:tcW w:w="1355" w:type="dxa"/>
            <w:tcBorders>
              <w:top w:val="nil"/>
              <w:left w:val="nil"/>
              <w:bottom w:val="single" w:sz="8" w:space="0" w:color="auto"/>
              <w:right w:val="single" w:sz="8" w:space="0" w:color="auto"/>
            </w:tcBorders>
          </w:tcPr>
          <w:p w:rsidR="000B0A08" w:rsidRPr="000A1C8E"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color w:val="000000"/>
                <w:sz w:val="21"/>
                <w:szCs w:val="21"/>
              </w:rPr>
            </w:pPr>
            <w:r w:rsidRPr="000A1C8E">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color w:val="000000"/>
                <w:sz w:val="21"/>
                <w:szCs w:val="21"/>
              </w:rPr>
            </w:pPr>
            <w:r w:rsidRPr="000A1C8E">
              <w:rPr>
                <w:rFonts w:cs="Tahoma"/>
                <w:color w:val="000000"/>
              </w:rPr>
              <w:t>x</w:t>
            </w:r>
          </w:p>
        </w:tc>
      </w:tr>
    </w:tbl>
    <w:p w:rsidR="00980240" w:rsidRPr="00F14B68" w:rsidRDefault="00980240" w:rsidP="000B0A08">
      <w:pPr>
        <w:rPr>
          <w:rFonts w:cs="Tahoma"/>
          <w:sz w:val="16"/>
          <w:szCs w:val="16"/>
        </w:rPr>
      </w:pPr>
    </w:p>
    <w:p w:rsidR="001C1727" w:rsidRPr="00F14B68" w:rsidRDefault="001C1727">
      <w:pPr>
        <w:rPr>
          <w:rFonts w:cs="Tahoma"/>
          <w:sz w:val="16"/>
          <w:szCs w:val="16"/>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0A1C8E"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0A1C8E" w:rsidRDefault="00C4660F" w:rsidP="00CC111A">
            <w:pPr>
              <w:ind w:left="5" w:firstLine="13"/>
              <w:jc w:val="center"/>
              <w:rPr>
                <w:rFonts w:eastAsia="MS PGothic" w:cs="Tahoma"/>
                <w:b/>
                <w:bCs/>
                <w:szCs w:val="18"/>
              </w:rPr>
            </w:pPr>
            <w:r w:rsidRPr="000A1C8E">
              <w:rPr>
                <w:rFonts w:cs="Tahoma"/>
                <w:b/>
                <w:bCs/>
                <w:szCs w:val="18"/>
              </w:rPr>
              <w:t>Aplicativos Qualificados para a</w:t>
            </w:r>
            <w:r w:rsidR="00CC111A" w:rsidRPr="000A1C8E">
              <w:rPr>
                <w:rFonts w:cs="Tahoma"/>
                <w:b/>
                <w:bCs/>
                <w:szCs w:val="18"/>
              </w:rPr>
              <w:t> </w:t>
            </w:r>
            <w:r w:rsidRPr="000A1C8E">
              <w:rPr>
                <w:rFonts w:cs="Tahoma"/>
                <w:b/>
                <w:bCs/>
                <w:szCs w:val="18"/>
              </w:rPr>
              <w:t>aquisição de Direitos de Locação do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0A1C8E" w:rsidRDefault="00C4660F" w:rsidP="00AD69BD">
            <w:pPr>
              <w:jc w:val="center"/>
              <w:rPr>
                <w:rFonts w:cs="Tahoma"/>
                <w:b/>
                <w:bCs/>
                <w:szCs w:val="18"/>
              </w:rPr>
            </w:pPr>
            <w:r w:rsidRPr="000A1C8E">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0A1C8E" w:rsidRDefault="00C4660F" w:rsidP="00AD69BD">
            <w:pPr>
              <w:jc w:val="center"/>
              <w:rPr>
                <w:rFonts w:cs="Tahoma"/>
              </w:rPr>
            </w:pPr>
            <w:r w:rsidRPr="000A1C8E">
              <w:rPr>
                <w:rFonts w:cs="Tahoma"/>
                <w:b/>
                <w:bCs/>
                <w:szCs w:val="18"/>
              </w:rPr>
              <w:t>PIPC</w:t>
            </w:r>
          </w:p>
          <w:p w:rsidR="00C4660F" w:rsidRPr="000A1C8E" w:rsidRDefault="00C4660F" w:rsidP="00AD69BD">
            <w:pPr>
              <w:jc w:val="center"/>
              <w:rPr>
                <w:rFonts w:cs="Tahoma"/>
                <w:b/>
                <w:bCs/>
                <w:szCs w:val="16"/>
                <w:lang w:eastAsia="ja-JP"/>
              </w:rPr>
            </w:pPr>
            <w:r w:rsidRPr="000A1C8E">
              <w:rPr>
                <w:rFonts w:cs="Tahoma"/>
                <w:b/>
                <w:bCs/>
                <w:szCs w:val="18"/>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A1C8E" w:rsidRDefault="00C4660F" w:rsidP="00AD69BD">
            <w:pPr>
              <w:jc w:val="center"/>
              <w:rPr>
                <w:rFonts w:cs="Tahoma"/>
                <w:b/>
                <w:bCs/>
                <w:szCs w:val="18"/>
              </w:rPr>
            </w:pPr>
            <w:r w:rsidRPr="000A1C8E">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A1C8E" w:rsidRDefault="00C4660F" w:rsidP="00AD69BD">
            <w:pPr>
              <w:jc w:val="center"/>
              <w:rPr>
                <w:rFonts w:cs="Tahoma"/>
                <w:b/>
                <w:bCs/>
                <w:szCs w:val="18"/>
              </w:rPr>
            </w:pPr>
            <w:r w:rsidRPr="000A1C8E">
              <w:rPr>
                <w:rFonts w:cs="Tahoma"/>
                <w:b/>
                <w:bCs/>
                <w:szCs w:val="18"/>
              </w:rPr>
              <w:t>Licença Open</w:t>
            </w:r>
          </w:p>
        </w:tc>
      </w:tr>
      <w:tr w:rsidR="000B0A08" w:rsidRPr="000A1C8E"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0A1C8E" w:rsidRDefault="000B0A08" w:rsidP="00257298">
            <w:pPr>
              <w:rPr>
                <w:rFonts w:cs="Tahoma"/>
                <w:b/>
                <w:bCs/>
                <w:szCs w:val="18"/>
                <w:lang w:eastAsia="ja-JP"/>
              </w:rPr>
            </w:pPr>
            <w:r w:rsidRPr="000A1C8E">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BE21F5" w:rsidP="00AD69BD">
            <w:pPr>
              <w:jc w:val="center"/>
              <w:rPr>
                <w:rFonts w:eastAsia="MS PGothic" w:cs="Tahoma"/>
                <w:szCs w:val="18"/>
              </w:rPr>
            </w:pPr>
            <w:r w:rsidRPr="000A1C8E">
              <w:rPr>
                <w:rFonts w:cs="Tahoma"/>
                <w:szCs w:val="18"/>
              </w:rPr>
              <w:t xml:space="preserve"> </w:t>
            </w:r>
          </w:p>
        </w:tc>
        <w:tc>
          <w:tcPr>
            <w:tcW w:w="1355" w:type="dxa"/>
            <w:tcBorders>
              <w:top w:val="nil"/>
              <w:left w:val="nil"/>
              <w:bottom w:val="single" w:sz="8" w:space="0" w:color="auto"/>
              <w:right w:val="single" w:sz="8" w:space="0" w:color="auto"/>
            </w:tcBorders>
          </w:tcPr>
          <w:p w:rsidR="000B0A08" w:rsidRPr="000A1C8E"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szCs w:val="18"/>
              </w:rPr>
            </w:pPr>
            <w:r w:rsidRPr="000A1C8E">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szCs w:val="18"/>
              </w:rPr>
            </w:pPr>
            <w:r w:rsidRPr="000A1C8E">
              <w:rPr>
                <w:rFonts w:cs="Tahoma"/>
                <w:szCs w:val="18"/>
              </w:rPr>
              <w:t>x</w:t>
            </w:r>
          </w:p>
        </w:tc>
      </w:tr>
      <w:tr w:rsidR="000B0A08" w:rsidRPr="000A1C8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A1C8E" w:rsidRDefault="000B0A08" w:rsidP="00257298">
            <w:pPr>
              <w:rPr>
                <w:rFonts w:cs="Tahoma"/>
                <w:b/>
                <w:bCs/>
                <w:szCs w:val="18"/>
                <w:lang w:eastAsia="ja-JP"/>
              </w:rPr>
            </w:pPr>
            <w:r w:rsidRPr="000A1C8E">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BE21F5" w:rsidP="00AD69BD">
            <w:pPr>
              <w:jc w:val="center"/>
              <w:rPr>
                <w:rFonts w:eastAsia="MS PGothic" w:cs="Tahoma"/>
                <w:szCs w:val="18"/>
              </w:rPr>
            </w:pPr>
            <w:r w:rsidRPr="000A1C8E">
              <w:rPr>
                <w:rFonts w:cs="Tahoma"/>
                <w:szCs w:val="18"/>
              </w:rPr>
              <w:t xml:space="preserve"> </w:t>
            </w:r>
          </w:p>
        </w:tc>
        <w:tc>
          <w:tcPr>
            <w:tcW w:w="1355" w:type="dxa"/>
            <w:tcBorders>
              <w:top w:val="nil"/>
              <w:left w:val="nil"/>
              <w:bottom w:val="single" w:sz="8" w:space="0" w:color="auto"/>
              <w:right w:val="single" w:sz="8" w:space="0" w:color="auto"/>
            </w:tcBorders>
          </w:tcPr>
          <w:p w:rsidR="000B0A08" w:rsidRPr="000A1C8E"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szCs w:val="18"/>
              </w:rPr>
            </w:pPr>
            <w:r w:rsidRPr="000A1C8E">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jc w:val="center"/>
              <w:rPr>
                <w:rFonts w:eastAsia="MS PGothic" w:cs="Tahoma"/>
                <w:szCs w:val="18"/>
              </w:rPr>
            </w:pPr>
            <w:r w:rsidRPr="000A1C8E">
              <w:rPr>
                <w:rFonts w:cs="Tahoma"/>
                <w:szCs w:val="18"/>
              </w:rPr>
              <w:t>x</w:t>
            </w:r>
          </w:p>
        </w:tc>
      </w:tr>
      <w:tr w:rsidR="000B0A08" w:rsidRPr="000A1C8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A1C8E" w:rsidRDefault="000B0A08" w:rsidP="00257298">
            <w:pPr>
              <w:rPr>
                <w:rFonts w:cs="Tahoma"/>
                <w:b/>
                <w:bCs/>
                <w:szCs w:val="18"/>
              </w:rPr>
            </w:pPr>
            <w:r w:rsidRPr="000A1C8E">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0A1C8E" w:rsidRDefault="000B0A08" w:rsidP="00AD69BD">
            <w:pPr>
              <w:jc w:val="center"/>
              <w:rPr>
                <w:rFonts w:eastAsia="MS PGothic" w:cs="Tahoma"/>
                <w:color w:val="000000"/>
                <w:szCs w:val="18"/>
              </w:rPr>
            </w:pPr>
            <w:r w:rsidRPr="000A1C8E">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szCs w:val="18"/>
              </w:rPr>
            </w:pPr>
          </w:p>
        </w:tc>
      </w:tr>
      <w:tr w:rsidR="000B0A08" w:rsidRPr="000A1C8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A1C8E" w:rsidRDefault="000B0A08" w:rsidP="00257298">
            <w:pPr>
              <w:rPr>
                <w:rFonts w:cs="Tahoma"/>
                <w:b/>
                <w:bCs/>
                <w:szCs w:val="18"/>
              </w:rPr>
            </w:pPr>
            <w:r w:rsidRPr="000A1C8E">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0A1C8E" w:rsidRDefault="000B0A08" w:rsidP="00AD69BD">
            <w:pPr>
              <w:jc w:val="center"/>
              <w:rPr>
                <w:rFonts w:eastAsia="MS PGothic" w:cs="Tahoma"/>
                <w:color w:val="000000"/>
                <w:szCs w:val="18"/>
              </w:rPr>
            </w:pPr>
            <w:r w:rsidRPr="000A1C8E">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szCs w:val="18"/>
              </w:rPr>
            </w:pPr>
          </w:p>
        </w:tc>
      </w:tr>
      <w:tr w:rsidR="000B0A08" w:rsidRPr="000A1C8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A1C8E" w:rsidRDefault="000B0A08" w:rsidP="00257298">
            <w:pPr>
              <w:rPr>
                <w:rFonts w:cs="Tahoma"/>
                <w:b/>
                <w:bCs/>
                <w:szCs w:val="18"/>
              </w:rPr>
            </w:pPr>
            <w:r w:rsidRPr="000A1C8E">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0A1C8E" w:rsidRDefault="000B0A08" w:rsidP="00AD69BD">
            <w:pPr>
              <w:jc w:val="center"/>
              <w:rPr>
                <w:rFonts w:eastAsia="MS PGothic" w:cs="Tahoma"/>
                <w:color w:val="000000" w:themeColor="text1"/>
                <w:szCs w:val="18"/>
              </w:rPr>
            </w:pPr>
            <w:r w:rsidRPr="000A1C8E">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A1C8E" w:rsidRDefault="000B0A08" w:rsidP="00AD69BD">
            <w:pPr>
              <w:rPr>
                <w:rFonts w:eastAsia="Times New Roman" w:cs="Tahoma"/>
                <w:color w:val="000000" w:themeColor="text1"/>
                <w:szCs w:val="18"/>
              </w:rPr>
            </w:pPr>
          </w:p>
        </w:tc>
      </w:tr>
    </w:tbl>
    <w:p w:rsidR="000B0A08" w:rsidRPr="00F14B68" w:rsidRDefault="000B0A08" w:rsidP="00980240">
      <w:pPr>
        <w:rPr>
          <w:rFonts w:cs="Tahoma"/>
          <w:sz w:val="16"/>
          <w:szCs w:val="16"/>
        </w:rPr>
      </w:pPr>
    </w:p>
    <w:p w:rsidR="000B0A08" w:rsidRPr="000A1C8E" w:rsidRDefault="000B0A08" w:rsidP="005C382A">
      <w:pPr>
        <w:ind w:left="720"/>
        <w:rPr>
          <w:rFonts w:cs="Tahoma"/>
        </w:rPr>
      </w:pPr>
      <w:r w:rsidRPr="000A1C8E">
        <w:rPr>
          <w:rFonts w:cs="Tahoma"/>
          <w:color w:val="000000"/>
          <w:szCs w:val="18"/>
        </w:rPr>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rsidR="00223A77" w:rsidRPr="00F14B68" w:rsidRDefault="00223A77" w:rsidP="005C382A">
      <w:pPr>
        <w:ind w:left="720"/>
        <w:rPr>
          <w:rFonts w:cs="Tahoma"/>
          <w:sz w:val="16"/>
          <w:szCs w:val="16"/>
        </w:rPr>
      </w:pPr>
    </w:p>
    <w:p w:rsidR="00223A77" w:rsidRPr="000A1C8E" w:rsidRDefault="00223A77" w:rsidP="00864B8A">
      <w:pPr>
        <w:spacing w:after="60"/>
        <w:ind w:left="720"/>
        <w:rPr>
          <w:rFonts w:cs="Tahoma"/>
        </w:rPr>
      </w:pPr>
      <w:r w:rsidRPr="000A1C8E">
        <w:rPr>
          <w:rFonts w:cs="Tahoma"/>
          <w:b/>
        </w:rPr>
        <w:t>Exceção do Software Assurance</w:t>
      </w:r>
    </w:p>
    <w:p w:rsidR="009504CA" w:rsidRPr="00F14B68" w:rsidRDefault="00223A77" w:rsidP="005C382A">
      <w:pPr>
        <w:ind w:left="720"/>
        <w:rPr>
          <w:rFonts w:cs="Tahoma"/>
          <w:spacing w:val="-3"/>
        </w:rPr>
      </w:pPr>
      <w:r w:rsidRPr="00F14B68">
        <w:rPr>
          <w:rFonts w:cs="Tahoma"/>
          <w:color w:val="000000"/>
          <w:spacing w:val="-3"/>
          <w:szCs w:val="18"/>
        </w:rPr>
        <w:t>Os clientes que estiverem adquirindo licenças de direitos de locação não estarão qualificados a obter o Software Assurance para as licenças de direitos de locação nem para as licenças básicas de software qualificado.</w:t>
      </w:r>
    </w:p>
    <w:p w:rsidR="00980240" w:rsidRDefault="00980240" w:rsidP="00980240">
      <w:pPr>
        <w:rPr>
          <w:rFonts w:cs="Tahoma"/>
          <w:sz w:val="16"/>
          <w:szCs w:val="16"/>
        </w:rPr>
      </w:pPr>
    </w:p>
    <w:p w:rsidR="00F14B68" w:rsidRPr="00F14B68" w:rsidRDefault="00F14B68" w:rsidP="00980240">
      <w:pPr>
        <w:rPr>
          <w:rFonts w:cs="Tahoma"/>
          <w:sz w:val="16"/>
          <w:szCs w:val="16"/>
        </w:rPr>
      </w:pPr>
    </w:p>
    <w:p w:rsidR="00257298" w:rsidRPr="000A1C8E" w:rsidRDefault="00A560B6" w:rsidP="005C382A">
      <w:pPr>
        <w:pStyle w:val="Heading3"/>
        <w:rPr>
          <w:rFonts w:ascii="Tahoma" w:hAnsi="Tahoma" w:cs="Tahoma"/>
        </w:rPr>
      </w:pPr>
      <w:bookmarkStart w:id="1063" w:name="_15_Visio_Professional"/>
      <w:bookmarkStart w:id="1064" w:name="_17_Visio_Professional"/>
      <w:bookmarkStart w:id="1065" w:name="_18_Visio_Professional"/>
      <w:bookmarkStart w:id="1066" w:name="_Toc361829359"/>
      <w:bookmarkEnd w:id="1063"/>
      <w:bookmarkEnd w:id="1064"/>
      <w:bookmarkEnd w:id="1065"/>
      <w:r w:rsidRPr="000A1C8E">
        <w:rPr>
          <w:rFonts w:ascii="Tahoma" w:hAnsi="Tahoma" w:cs="Tahoma"/>
          <w:caps/>
          <w:color w:val="F66400"/>
          <w:sz w:val="22"/>
          <w:vertAlign w:val="superscript"/>
        </w:rPr>
        <w:t>18</w:t>
      </w:r>
      <w:r w:rsidRPr="000A1C8E">
        <w:rPr>
          <w:rFonts w:ascii="Tahoma" w:hAnsi="Tahoma" w:cs="Tahoma"/>
          <w:color w:val="F66400"/>
          <w:sz w:val="22"/>
        </w:rPr>
        <w:t xml:space="preserve"> Visio Professional 2013</w:t>
      </w:r>
      <w:bookmarkEnd w:id="1066"/>
    </w:p>
    <w:p w:rsidR="005C382A" w:rsidRPr="00F14B68" w:rsidRDefault="005C382A" w:rsidP="005C382A">
      <w:pPr>
        <w:rPr>
          <w:rFonts w:cs="Tahoma"/>
          <w:sz w:val="16"/>
          <w:szCs w:val="16"/>
        </w:rPr>
      </w:pPr>
    </w:p>
    <w:p w:rsidR="00257298" w:rsidRPr="000A1C8E" w:rsidRDefault="00257298" w:rsidP="00864B8A">
      <w:pPr>
        <w:spacing w:after="60"/>
        <w:ind w:left="720"/>
        <w:rPr>
          <w:rFonts w:cs="Tahoma"/>
        </w:rPr>
      </w:pPr>
      <w:r w:rsidRPr="000A1C8E">
        <w:rPr>
          <w:rFonts w:cs="Tahoma"/>
          <w:b/>
        </w:rPr>
        <w:t xml:space="preserve">Caminho de Migração do Software Assurance para </w:t>
      </w:r>
      <w:bookmarkStart w:id="1067" w:name="Srv_11VisioPremium2010"/>
      <w:bookmarkStart w:id="1068" w:name="Aps_11VisioPremium2010"/>
      <w:bookmarkStart w:id="1069" w:name="_Toc336338274"/>
      <w:bookmarkStart w:id="1070" w:name="Srv_VisioPremium2010"/>
      <w:r w:rsidRPr="000A1C8E">
        <w:rPr>
          <w:rFonts w:cs="Tahoma"/>
          <w:b/>
        </w:rPr>
        <w:t>Visio Premium 2010</w:t>
      </w:r>
      <w:bookmarkEnd w:id="1067"/>
      <w:bookmarkEnd w:id="1068"/>
      <w:bookmarkEnd w:id="1069"/>
    </w:p>
    <w:bookmarkEnd w:id="1070"/>
    <w:p w:rsidR="00257298" w:rsidRDefault="00257298" w:rsidP="00CC111A">
      <w:pPr>
        <w:pStyle w:val="FootnoteBulletLevel1"/>
        <w:spacing w:before="0" w:after="0"/>
        <w:ind w:left="720" w:firstLine="0"/>
        <w:rPr>
          <w:rFonts w:ascii="Tahoma" w:hAnsi="Tahoma" w:cs="Tahoma"/>
          <w:sz w:val="18"/>
        </w:rPr>
      </w:pPr>
      <w:r w:rsidRPr="000A1C8E">
        <w:rPr>
          <w:rFonts w:ascii="Tahoma" w:hAnsi="Tahoma" w:cs="Tahoma"/>
          <w:sz w:val="18"/>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DC6D8B" w:rsidRPr="000A1C8E">
        <w:rPr>
          <w:rFonts w:ascii="Tahoma" w:hAnsi="Tahoma" w:cs="Tahoma"/>
          <w:sz w:val="18"/>
        </w:rPr>
        <w:t xml:space="preserve"> </w:t>
      </w:r>
      <w:r w:rsidRPr="000A1C8E">
        <w:rPr>
          <w:rFonts w:ascii="Tahoma" w:hAnsi="Tahoma" w:cs="Tahoma"/>
          <w:sz w:val="18"/>
        </w:rPr>
        <w:t>O uso</w:t>
      </w:r>
      <w:r w:rsidR="003C3C97" w:rsidRPr="000A1C8E">
        <w:rPr>
          <w:rFonts w:ascii="Tahoma" w:hAnsi="Tahoma" w:cs="Tahoma"/>
          <w:sz w:val="18"/>
        </w:rPr>
        <w:t> </w:t>
      </w:r>
      <w:r w:rsidRPr="000A1C8E">
        <w:rPr>
          <w:rFonts w:ascii="Tahoma" w:hAnsi="Tahoma" w:cs="Tahoma"/>
          <w:sz w:val="18"/>
        </w:rPr>
        <w:t>do Visio Professional 2013 é regido pelos direitos de uso do Visio Professional 2013 e pelos termos e</w:t>
      </w:r>
      <w:r w:rsidR="00CC111A" w:rsidRPr="000A1C8E">
        <w:rPr>
          <w:rFonts w:ascii="Tahoma" w:hAnsi="Tahoma" w:cs="Tahoma"/>
          <w:sz w:val="18"/>
        </w:rPr>
        <w:t> </w:t>
      </w:r>
      <w:r w:rsidRPr="000A1C8E">
        <w:rPr>
          <w:rFonts w:ascii="Tahoma" w:hAnsi="Tahoma" w:cs="Tahoma"/>
          <w:sz w:val="18"/>
        </w:rPr>
        <w:t>condições do contrato de licenciamento por volume do cliente.</w:t>
      </w:r>
      <w:r w:rsidR="00DC6D8B" w:rsidRPr="000A1C8E">
        <w:rPr>
          <w:rFonts w:ascii="Tahoma" w:hAnsi="Tahoma" w:cs="Tahoma"/>
          <w:sz w:val="18"/>
        </w:rPr>
        <w:t xml:space="preserve"> </w:t>
      </w:r>
      <w:r w:rsidRPr="000A1C8E">
        <w:rPr>
          <w:rFonts w:ascii="Tahoma" w:hAnsi="Tahoma" w:cs="Tahoma"/>
          <w:sz w:val="18"/>
        </w:rPr>
        <w:t xml:space="preserve">Esta nota de condição do produto e a </w:t>
      </w:r>
      <w:r w:rsidRPr="000A1C8E">
        <w:rPr>
          <w:rFonts w:ascii="Tahoma" w:hAnsi="Tahoma" w:cs="Tahoma"/>
          <w:sz w:val="18"/>
        </w:rPr>
        <w:lastRenderedPageBreak/>
        <w:t>evidência do cliente quanto à licença qualificada correspondente comprovam o direito de uso do Visio Professional 2013 sob esta oferta.</w:t>
      </w:r>
      <w:r w:rsidR="00DC6D8B" w:rsidRPr="000A1C8E">
        <w:rPr>
          <w:rFonts w:ascii="Tahoma" w:hAnsi="Tahoma" w:cs="Tahoma"/>
          <w:sz w:val="18"/>
        </w:rPr>
        <w:t xml:space="preserve"> </w:t>
      </w:r>
      <w:r w:rsidRPr="000A1C8E">
        <w:rPr>
          <w:rFonts w:ascii="Tahoma" w:hAnsi="Tahoma" w:cs="Tahoma"/>
          <w:sz w:val="18"/>
        </w:rPr>
        <w:t>No término da cobertura do Software Assurance para o Visio Premium 2010, o cliente poderá adquirir o Software Assurance para o Visio Professional 2013 sem precisar adquirir uma nova licença separadamente.</w:t>
      </w:r>
    </w:p>
    <w:p w:rsidR="00F14B68" w:rsidRPr="000A1C8E" w:rsidRDefault="00F14B68" w:rsidP="00CC111A">
      <w:pPr>
        <w:pStyle w:val="FootnoteBulletLevel1"/>
        <w:spacing w:before="0" w:after="0"/>
        <w:ind w:left="720" w:firstLine="0"/>
        <w:rPr>
          <w:rFonts w:ascii="Tahoma" w:hAnsi="Tahoma" w:cs="Tahoma"/>
        </w:rPr>
      </w:pPr>
    </w:p>
    <w:p w:rsidR="00DF3CEE" w:rsidRPr="000A1C8E" w:rsidRDefault="00DF3CEE" w:rsidP="00864B8A">
      <w:pPr>
        <w:spacing w:after="60"/>
        <w:ind w:left="720"/>
        <w:rPr>
          <w:rFonts w:cs="Tahoma"/>
        </w:rPr>
      </w:pPr>
      <w:r w:rsidRPr="000A1C8E">
        <w:rPr>
          <w:rFonts w:cs="Tahoma"/>
          <w:b/>
        </w:rPr>
        <w:t>Direitos de Downgrade para o Visio Professional 2013</w:t>
      </w:r>
    </w:p>
    <w:p w:rsidR="00DF3CEE" w:rsidRPr="000A1C8E" w:rsidRDefault="00DF3CEE" w:rsidP="005C382A">
      <w:pPr>
        <w:pStyle w:val="FootnoteBulletLevel1"/>
        <w:spacing w:before="0" w:after="0"/>
        <w:ind w:left="720" w:firstLine="0"/>
        <w:rPr>
          <w:rFonts w:ascii="Tahoma" w:hAnsi="Tahoma" w:cs="Tahoma"/>
          <w:spacing w:val="-2"/>
        </w:rPr>
      </w:pPr>
      <w:r w:rsidRPr="000A1C8E">
        <w:rPr>
          <w:rFonts w:ascii="Tahoma" w:hAnsi="Tahoma" w:cs="Tahoma"/>
          <w:spacing w:val="-2"/>
          <w:sz w:val="18"/>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 2010.</w:t>
      </w:r>
    </w:p>
    <w:p w:rsidR="005C382A" w:rsidRPr="000A1C8E" w:rsidRDefault="005C382A" w:rsidP="005C382A">
      <w:pPr>
        <w:rPr>
          <w:rFonts w:cs="Tahoma"/>
        </w:rPr>
      </w:pPr>
    </w:p>
    <w:p w:rsidR="00676723" w:rsidRPr="000A1C8E" w:rsidRDefault="00676723" w:rsidP="005C382A">
      <w:pPr>
        <w:rPr>
          <w:rFonts w:cs="Tahoma"/>
        </w:rPr>
      </w:pPr>
    </w:p>
    <w:p w:rsidR="00BE4D27" w:rsidRDefault="00A560B6" w:rsidP="00BE4D27">
      <w:pPr>
        <w:pStyle w:val="Heading3"/>
        <w:rPr>
          <w:rFonts w:ascii="Tahoma" w:hAnsi="Tahoma" w:cs="Tahoma"/>
          <w:color w:val="F66400"/>
          <w:sz w:val="22"/>
        </w:rPr>
      </w:pPr>
      <w:bookmarkStart w:id="1071" w:name="_18_Visio_Pro"/>
      <w:bookmarkStart w:id="1072" w:name="_19_Visio_Pro"/>
      <w:bookmarkStart w:id="1073" w:name="_Toc361829360"/>
      <w:bookmarkEnd w:id="1071"/>
      <w:bookmarkEnd w:id="1072"/>
      <w:r w:rsidRPr="000A1C8E">
        <w:rPr>
          <w:rFonts w:ascii="Tahoma" w:hAnsi="Tahoma" w:cs="Tahoma"/>
          <w:caps/>
          <w:color w:val="F66400"/>
          <w:sz w:val="22"/>
          <w:vertAlign w:val="superscript"/>
        </w:rPr>
        <w:t>19</w:t>
      </w:r>
      <w:r w:rsidRPr="000A1C8E">
        <w:rPr>
          <w:rFonts w:ascii="Tahoma" w:hAnsi="Tahoma" w:cs="Tahoma"/>
          <w:color w:val="F66400"/>
          <w:sz w:val="22"/>
        </w:rPr>
        <w:t xml:space="preserve"> Visio Pro para Office 365</w:t>
      </w:r>
      <w:bookmarkEnd w:id="1073"/>
    </w:p>
    <w:p w:rsidR="00F14B68" w:rsidRPr="00F14B68" w:rsidRDefault="00F14B68" w:rsidP="00F14B68"/>
    <w:p w:rsidR="00BE4D27" w:rsidRPr="000A1C8E" w:rsidRDefault="00BE4D27" w:rsidP="00BE4D27">
      <w:pPr>
        <w:spacing w:after="60"/>
        <w:ind w:left="720"/>
        <w:rPr>
          <w:rFonts w:cs="Tahoma"/>
        </w:rPr>
      </w:pPr>
      <w:r w:rsidRPr="000A1C8E">
        <w:rPr>
          <w:rFonts w:cs="Tahoma"/>
          <w:b/>
        </w:rPr>
        <w:t>Qualificação de Mídia com Serviços de Área de Trabalho Remota (RDS)</w:t>
      </w:r>
    </w:p>
    <w:p w:rsidR="00BE4D27" w:rsidRPr="000A1C8E" w:rsidRDefault="00BE4D27" w:rsidP="003C3C97">
      <w:pPr>
        <w:ind w:left="720"/>
        <w:rPr>
          <w:rFonts w:cs="Tahoma"/>
        </w:rPr>
      </w:pPr>
      <w:r w:rsidRPr="000A1C8E">
        <w:rPr>
          <w:rFonts w:cs="Tahoma"/>
          <w:szCs w:val="18"/>
        </w:rPr>
        <w:t>Se o usuário para o qual você atribuiu uma licença do Visio Pro para Office 365 usar o software em um servidor de rede com a função RDS ativada, em vez de instalar uma cópia do software fornecido com o Visio 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DC6D8B" w:rsidRPr="000A1C8E">
        <w:rPr>
          <w:rFonts w:cs="Tahoma"/>
          <w:szCs w:val="18"/>
        </w:rPr>
        <w:t xml:space="preserve"> </w:t>
      </w:r>
      <w:r w:rsidRPr="000A1C8E">
        <w:rPr>
          <w:rFonts w:cs="Tahoma"/>
          <w:szCs w:val="18"/>
        </w:rPr>
        <w:t>Mediante o término da sua assinatura do Visio Pro para Office 365, você deverá desinstalar o</w:t>
      </w:r>
      <w:r w:rsidR="003C3C97" w:rsidRPr="000A1C8E">
        <w:rPr>
          <w:rFonts w:cs="Tahoma"/>
          <w:szCs w:val="18"/>
        </w:rPr>
        <w:t> </w:t>
      </w:r>
      <w:r w:rsidRPr="000A1C8E">
        <w:rPr>
          <w:rFonts w:cs="Tahoma"/>
          <w:szCs w:val="18"/>
        </w:rPr>
        <w:t xml:space="preserve">software Visio 2013 Professional do servidor de rede. </w:t>
      </w:r>
    </w:p>
    <w:p w:rsidR="00BE4D27" w:rsidRPr="000A1C8E" w:rsidRDefault="00BE4D27" w:rsidP="00BE4D27">
      <w:pPr>
        <w:ind w:left="720"/>
        <w:rPr>
          <w:rFonts w:cs="Tahoma"/>
        </w:rPr>
      </w:pPr>
    </w:p>
    <w:p w:rsidR="00BE4D27" w:rsidRPr="000A1C8E" w:rsidRDefault="00BE4D27" w:rsidP="00BE4D27">
      <w:pPr>
        <w:spacing w:after="60"/>
        <w:ind w:left="720"/>
        <w:rPr>
          <w:rFonts w:cs="Tahoma"/>
        </w:rPr>
      </w:pPr>
      <w:r w:rsidRPr="000A1C8E">
        <w:rPr>
          <w:rFonts w:cs="Tahoma"/>
          <w:b/>
        </w:rPr>
        <w:t>Direitos de Downgrade</w:t>
      </w:r>
    </w:p>
    <w:p w:rsidR="00BE4D27" w:rsidRPr="000A1C8E" w:rsidRDefault="00BE4D27" w:rsidP="00BE4D27">
      <w:pPr>
        <w:ind w:left="720"/>
        <w:rPr>
          <w:rFonts w:cs="Tahoma"/>
        </w:rPr>
      </w:pPr>
      <w:r w:rsidRPr="000A1C8E">
        <w:rPr>
          <w:rFonts w:cs="Tahoma"/>
          <w:bCs/>
          <w:szCs w:val="18"/>
        </w:rPr>
        <w:t xml:space="preserve">O serviço Visio Pro para Office 365 não possui direitos de downgrade. Para obter mais informações sobre os requisitos de atualização dos Serviços Online, consulte o documento de Direitos de Uso de Produto (PUR) no site </w:t>
      </w:r>
      <w:hyperlink r:id="rId39" w:history="1">
        <w:r w:rsidRPr="000A1C8E">
          <w:rPr>
            <w:rStyle w:val="Hyperlink"/>
            <w:rFonts w:cs="Tahoma"/>
            <w:bCs/>
            <w:szCs w:val="18"/>
          </w:rPr>
          <w:t>http://www.microsoftvolumelicensing.com/userights/PUR.aspx</w:t>
        </w:r>
      </w:hyperlink>
    </w:p>
    <w:p w:rsidR="00BE4D27" w:rsidRPr="000A1C8E" w:rsidRDefault="00BE4D27" w:rsidP="005C382A">
      <w:pPr>
        <w:rPr>
          <w:rFonts w:cs="Tahoma"/>
        </w:rPr>
      </w:pPr>
    </w:p>
    <w:p w:rsidR="005C382A" w:rsidRPr="000A1C8E" w:rsidRDefault="005C382A" w:rsidP="005C382A">
      <w:pPr>
        <w:rPr>
          <w:rFonts w:cs="Tahoma"/>
        </w:rPr>
      </w:pPr>
    </w:p>
    <w:p w:rsidR="00223A77" w:rsidRPr="000A1C8E" w:rsidRDefault="00A560B6" w:rsidP="00223A77">
      <w:pPr>
        <w:pStyle w:val="Heading3"/>
        <w:rPr>
          <w:rFonts w:ascii="Tahoma" w:hAnsi="Tahoma" w:cs="Tahoma"/>
        </w:rPr>
      </w:pPr>
      <w:bookmarkStart w:id="1074" w:name="_19_Visual_Studio"/>
      <w:bookmarkStart w:id="1075" w:name="_Toc336338275"/>
      <w:bookmarkStart w:id="1076" w:name="_Toc361829361"/>
      <w:bookmarkStart w:id="1077" w:name="Aps_12VS2010Professional"/>
      <w:bookmarkStart w:id="1078" w:name="_Toc252341836"/>
      <w:bookmarkEnd w:id="1074"/>
      <w:r w:rsidRPr="000A1C8E">
        <w:rPr>
          <w:rFonts w:ascii="Tahoma" w:hAnsi="Tahoma" w:cs="Tahoma"/>
          <w:caps/>
          <w:color w:val="F66400"/>
          <w:sz w:val="22"/>
          <w:vertAlign w:val="superscript"/>
        </w:rPr>
        <w:t>20</w:t>
      </w:r>
      <w:r w:rsidRPr="000A1C8E">
        <w:rPr>
          <w:rFonts w:ascii="Tahoma" w:hAnsi="Tahoma" w:cs="Tahoma"/>
          <w:color w:val="F66400"/>
          <w:sz w:val="22"/>
        </w:rPr>
        <w:t xml:space="preserve"> Visual Studio Professional 2012</w:t>
      </w:r>
      <w:bookmarkEnd w:id="1075"/>
      <w:bookmarkEnd w:id="1076"/>
    </w:p>
    <w:bookmarkEnd w:id="1077"/>
    <w:p w:rsidR="009275A3" w:rsidRPr="000A1C8E" w:rsidRDefault="009275A3" w:rsidP="009275A3">
      <w:pPr>
        <w:pStyle w:val="FootnoteBulletLevel1"/>
        <w:tabs>
          <w:tab w:val="clear" w:pos="900"/>
        </w:tabs>
        <w:spacing w:before="0" w:after="0"/>
        <w:ind w:left="0" w:firstLine="0"/>
        <w:rPr>
          <w:rFonts w:ascii="Tahoma" w:hAnsi="Tahoma" w:cs="Tahoma"/>
        </w:rPr>
      </w:pPr>
    </w:p>
    <w:p w:rsidR="006D58DB" w:rsidRPr="000A1C8E" w:rsidRDefault="006D58DB" w:rsidP="00864B8A">
      <w:pPr>
        <w:spacing w:after="60"/>
        <w:ind w:left="720"/>
        <w:rPr>
          <w:rFonts w:cs="Tahoma"/>
        </w:rPr>
      </w:pPr>
      <w:r w:rsidRPr="000A1C8E">
        <w:rPr>
          <w:rFonts w:cs="Tahoma"/>
          <w:b/>
        </w:rPr>
        <w:t>Caminho de Migração do Software Assurance para o Visual Studio LightSwitch 2011</w:t>
      </w:r>
    </w:p>
    <w:p w:rsidR="006D58DB" w:rsidRPr="000A1C8E" w:rsidRDefault="006D58DB" w:rsidP="003C3C97">
      <w:pPr>
        <w:pStyle w:val="FootnoteBulletLevel1"/>
        <w:tabs>
          <w:tab w:val="clear" w:pos="900"/>
        </w:tabs>
        <w:spacing w:before="0" w:after="0"/>
        <w:ind w:left="720" w:firstLine="0"/>
        <w:rPr>
          <w:rFonts w:ascii="Tahoma" w:hAnsi="Tahoma" w:cs="Tahoma"/>
        </w:rPr>
      </w:pPr>
      <w:r w:rsidRPr="000A1C8E">
        <w:rPr>
          <w:rFonts w:ascii="Tahoma" w:hAnsi="Tahoma" w:cs="Tahoma"/>
          <w:sz w:val="18"/>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DC6D8B" w:rsidRPr="000A1C8E">
        <w:rPr>
          <w:rFonts w:ascii="Tahoma" w:hAnsi="Tahoma" w:cs="Tahoma"/>
          <w:sz w:val="18"/>
        </w:rPr>
        <w:t xml:space="preserve"> </w:t>
      </w:r>
      <w:r w:rsidRPr="000A1C8E">
        <w:rPr>
          <w:rFonts w:ascii="Tahoma" w:hAnsi="Tahoma" w:cs="Tahoma"/>
          <w:sz w:val="18"/>
        </w:rPr>
        <w:t>O uso do Visual Studio Professional 2012 é regido pelos direitos de uso do Visual Studio Professional 2012 e pelos termos e</w:t>
      </w:r>
      <w:r w:rsidR="003C3C97" w:rsidRPr="000A1C8E">
        <w:rPr>
          <w:rFonts w:ascii="Tahoma" w:hAnsi="Tahoma" w:cs="Tahoma"/>
          <w:sz w:val="18"/>
        </w:rPr>
        <w:t> </w:t>
      </w:r>
      <w:r w:rsidRPr="000A1C8E">
        <w:rPr>
          <w:rFonts w:ascii="Tahoma" w:hAnsi="Tahoma" w:cs="Tahoma"/>
          <w:sz w:val="18"/>
        </w:rPr>
        <w:t>pelas condições do contrato de licenciamento por volume do cliente.</w:t>
      </w:r>
      <w:r w:rsidR="00DC6D8B" w:rsidRPr="000A1C8E">
        <w:rPr>
          <w:rFonts w:ascii="Tahoma" w:hAnsi="Tahoma" w:cs="Tahoma"/>
          <w:sz w:val="18"/>
        </w:rPr>
        <w:t xml:space="preserve"> </w:t>
      </w:r>
      <w:r w:rsidRPr="000A1C8E">
        <w:rPr>
          <w:rFonts w:ascii="Tahoma" w:hAnsi="Tahoma" w:cs="Tahoma"/>
          <w:sz w:val="18"/>
        </w:rPr>
        <w:t>Esta nota de condição do produto e</w:t>
      </w:r>
      <w:r w:rsidR="003C3C97" w:rsidRPr="000A1C8E">
        <w:rPr>
          <w:rFonts w:ascii="Tahoma" w:hAnsi="Tahoma" w:cs="Tahoma"/>
          <w:sz w:val="18"/>
        </w:rPr>
        <w:t> </w:t>
      </w:r>
      <w:r w:rsidRPr="000A1C8E">
        <w:rPr>
          <w:rFonts w:ascii="Tahoma" w:hAnsi="Tahoma" w:cs="Tahoma"/>
          <w:sz w:val="18"/>
        </w:rPr>
        <w:t>a</w:t>
      </w:r>
      <w:r w:rsidR="003C3C97" w:rsidRPr="000A1C8E">
        <w:rPr>
          <w:rFonts w:ascii="Tahoma" w:hAnsi="Tahoma" w:cs="Tahoma"/>
          <w:sz w:val="18"/>
        </w:rPr>
        <w:t> </w:t>
      </w:r>
      <w:r w:rsidRPr="000A1C8E">
        <w:rPr>
          <w:rFonts w:ascii="Tahoma" w:hAnsi="Tahoma" w:cs="Tahoma"/>
          <w:sz w:val="18"/>
        </w:rPr>
        <w:t>evidência do cliente quanto à licença qualificada correspondente comprovam o direito de uso do Visual Studio Professional 2012 sob esta oferta.</w:t>
      </w:r>
      <w:r w:rsidR="00DC6D8B" w:rsidRPr="000A1C8E">
        <w:rPr>
          <w:rFonts w:ascii="Tahoma" w:hAnsi="Tahoma" w:cs="Tahoma"/>
          <w:sz w:val="18"/>
        </w:rPr>
        <w:t xml:space="preserve"> </w:t>
      </w:r>
    </w:p>
    <w:p w:rsidR="00223A77" w:rsidRPr="000A1C8E" w:rsidRDefault="00223A77" w:rsidP="009275A3">
      <w:pPr>
        <w:rPr>
          <w:rFonts w:cs="Tahoma"/>
        </w:rPr>
      </w:pPr>
    </w:p>
    <w:p w:rsidR="00691648" w:rsidRPr="000A1C8E" w:rsidRDefault="00691648" w:rsidP="00691648">
      <w:pPr>
        <w:spacing w:after="60"/>
        <w:ind w:left="720"/>
        <w:rPr>
          <w:rFonts w:cs="Tahoma"/>
        </w:rPr>
      </w:pPr>
      <w:r w:rsidRPr="000A1C8E">
        <w:rPr>
          <w:rFonts w:cs="Tahoma"/>
          <w:b/>
          <w:bCs/>
        </w:rPr>
        <w:t>Caminho de Migração do Software Assurance para o Expression Studio Ultimate 4</w:t>
      </w:r>
    </w:p>
    <w:p w:rsidR="00691648" w:rsidRPr="000A1C8E" w:rsidRDefault="00691648" w:rsidP="00691648">
      <w:pPr>
        <w:ind w:left="720"/>
        <w:rPr>
          <w:rFonts w:cs="Tahoma"/>
        </w:rPr>
      </w:pPr>
      <w:r w:rsidRPr="000A1C8E">
        <w:rPr>
          <w:rFonts w:cs="Tahoma"/>
        </w:rPr>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DC6D8B" w:rsidRPr="000A1C8E">
        <w:rPr>
          <w:rFonts w:cs="Tahoma"/>
        </w:rPr>
        <w:t xml:space="preserve"> </w:t>
      </w:r>
      <w:r w:rsidRPr="000A1C8E">
        <w:rPr>
          <w:rFonts w:cs="Tahoma"/>
        </w:rPr>
        <w:t>O uso do Visual Studio Professional 2012 é regido pelos direitos de uso do Visual Studio Professional 2012 e pelos termos e pelas condições do contrato de licenciamento por volume do cliente.</w:t>
      </w:r>
      <w:r w:rsidR="00DC6D8B" w:rsidRPr="000A1C8E">
        <w:rPr>
          <w:rFonts w:cs="Tahoma"/>
        </w:rPr>
        <w:t xml:space="preserve"> </w:t>
      </w:r>
      <w:r w:rsidRPr="000A1C8E">
        <w:rPr>
          <w:rFonts w:cs="Tahoma"/>
        </w:rPr>
        <w:t>Esta nota de condição do produto e a evidência do cliente quanto à licença qualificada correspondente comprovam o direito de uso do Visual Studio Professional 2012 sob esta oferta.</w:t>
      </w:r>
      <w:r w:rsidR="00DC6D8B" w:rsidRPr="000A1C8E">
        <w:rPr>
          <w:rFonts w:cs="Tahoma"/>
        </w:rPr>
        <w:t xml:space="preserve"> </w:t>
      </w:r>
    </w:p>
    <w:p w:rsidR="009275A3" w:rsidRPr="000A1C8E" w:rsidRDefault="009275A3" w:rsidP="009275A3">
      <w:pPr>
        <w:rPr>
          <w:rFonts w:cs="Tahoma"/>
        </w:rPr>
      </w:pPr>
    </w:p>
    <w:p w:rsidR="00F73587" w:rsidRPr="000A1C8E" w:rsidRDefault="00F73587" w:rsidP="009275A3">
      <w:pPr>
        <w:rPr>
          <w:rFonts w:cs="Tahoma"/>
        </w:rPr>
      </w:pPr>
    </w:p>
    <w:p w:rsidR="00223A77" w:rsidRPr="000A1C8E" w:rsidRDefault="00A560B6" w:rsidP="00223A77">
      <w:pPr>
        <w:pStyle w:val="Heading3"/>
        <w:rPr>
          <w:rFonts w:ascii="Tahoma" w:hAnsi="Tahoma" w:cs="Tahoma"/>
        </w:rPr>
      </w:pPr>
      <w:bookmarkStart w:id="1079" w:name="_20_Visual_Studio"/>
      <w:bookmarkStart w:id="1080" w:name="_Toc336338276"/>
      <w:bookmarkStart w:id="1081" w:name="_Toc361829362"/>
      <w:bookmarkStart w:id="1082" w:name="Aps_13VS2010ProfessionalMSDN"/>
      <w:bookmarkEnd w:id="1079"/>
      <w:r w:rsidRPr="000A1C8E">
        <w:rPr>
          <w:rFonts w:ascii="Tahoma" w:hAnsi="Tahoma" w:cs="Tahoma"/>
          <w:caps/>
          <w:color w:val="F66400"/>
          <w:sz w:val="22"/>
          <w:vertAlign w:val="superscript"/>
        </w:rPr>
        <w:t>21</w:t>
      </w:r>
      <w:r w:rsidRPr="000A1C8E">
        <w:rPr>
          <w:rFonts w:ascii="Tahoma" w:hAnsi="Tahoma" w:cs="Tahoma"/>
          <w:color w:val="F66400"/>
          <w:sz w:val="22"/>
        </w:rPr>
        <w:t xml:space="preserve"> Visual Studio Professional 2012 com MSDN</w:t>
      </w:r>
      <w:bookmarkEnd w:id="1080"/>
      <w:bookmarkEnd w:id="1081"/>
      <w:r w:rsidRPr="000A1C8E">
        <w:rPr>
          <w:rFonts w:ascii="Tahoma" w:hAnsi="Tahoma" w:cs="Tahoma"/>
          <w:color w:val="F66400"/>
          <w:sz w:val="22"/>
        </w:rPr>
        <w:t xml:space="preserve"> </w:t>
      </w:r>
      <w:bookmarkEnd w:id="1078"/>
    </w:p>
    <w:p w:rsidR="00F6352F" w:rsidRPr="000A1C8E" w:rsidRDefault="00F6352F" w:rsidP="005B0791">
      <w:pPr>
        <w:ind w:left="720"/>
        <w:rPr>
          <w:rFonts w:cs="Tahoma"/>
        </w:rPr>
      </w:pPr>
    </w:p>
    <w:bookmarkEnd w:id="1082"/>
    <w:p w:rsidR="001026FD" w:rsidRPr="000A1C8E" w:rsidRDefault="001026FD" w:rsidP="00864B8A">
      <w:pPr>
        <w:spacing w:after="60"/>
        <w:ind w:left="720"/>
        <w:rPr>
          <w:rFonts w:cs="Tahoma"/>
        </w:rPr>
      </w:pPr>
      <w:r w:rsidRPr="000A1C8E">
        <w:rPr>
          <w:rFonts w:cs="Tahoma"/>
          <w:b/>
        </w:rPr>
        <w:t>Visual Studio Team Foundation Server 2012</w:t>
      </w:r>
    </w:p>
    <w:p w:rsidR="001026FD" w:rsidRPr="000A1C8E" w:rsidRDefault="001026FD" w:rsidP="005B0791">
      <w:pPr>
        <w:pStyle w:val="EndnoteText"/>
        <w:tabs>
          <w:tab w:val="num" w:pos="1350"/>
        </w:tabs>
        <w:ind w:left="720"/>
        <w:rPr>
          <w:rFonts w:ascii="Tahoma" w:hAnsi="Tahoma" w:cs="Tahoma"/>
        </w:rPr>
      </w:pPr>
      <w:r w:rsidRPr="000A1C8E">
        <w:rPr>
          <w:rFonts w:ascii="Tahoma" w:hAnsi="Tahoma" w:cs="Tahoma"/>
          <w:sz w:val="18"/>
        </w:rPr>
        <w:lastRenderedPageBreak/>
        <w:t>O assinante está qualificado para uma licença de servidor para o Visual Studio Team Foundation Server 2012 e uma CAL de Usuário do Team Foundation Server.</w:t>
      </w:r>
      <w:r w:rsidR="00DC6D8B" w:rsidRPr="000A1C8E">
        <w:rPr>
          <w:rFonts w:ascii="Tahoma" w:hAnsi="Tahoma" w:cs="Tahoma"/>
          <w:sz w:val="18"/>
        </w:rPr>
        <w:t xml:space="preserve"> </w:t>
      </w:r>
      <w:r w:rsidRPr="000A1C8E">
        <w:rPr>
          <w:rFonts w:ascii="Tahoma" w:hAnsi="Tahoma" w:cs="Tahoma"/>
          <w:sz w:val="18"/>
        </w:rPr>
        <w:t>A CAL é reservada unicamente para uso do assinante.</w:t>
      </w:r>
    </w:p>
    <w:p w:rsidR="001026FD" w:rsidRPr="000A1C8E" w:rsidRDefault="001026FD" w:rsidP="005B0791">
      <w:pPr>
        <w:pStyle w:val="EndnoteText"/>
        <w:tabs>
          <w:tab w:val="num" w:pos="1350"/>
        </w:tabs>
        <w:ind w:left="720"/>
        <w:rPr>
          <w:rFonts w:ascii="Tahoma" w:hAnsi="Tahoma" w:cs="Tahoma"/>
        </w:rPr>
      </w:pPr>
    </w:p>
    <w:p w:rsidR="001026FD" w:rsidRPr="000A1C8E" w:rsidRDefault="001026FD" w:rsidP="00864B8A">
      <w:pPr>
        <w:spacing w:after="60"/>
        <w:ind w:left="720"/>
        <w:rPr>
          <w:rFonts w:cs="Tahoma"/>
        </w:rPr>
      </w:pPr>
      <w:r w:rsidRPr="000A1C8E">
        <w:rPr>
          <w:rFonts w:cs="Tahoma"/>
          <w:b/>
        </w:rPr>
        <w:t>SQL Server Parallel Data Warehouse Developer</w:t>
      </w:r>
    </w:p>
    <w:p w:rsidR="001026FD" w:rsidRPr="000A1C8E" w:rsidRDefault="001026FD" w:rsidP="005B0791">
      <w:pPr>
        <w:pStyle w:val="EndnoteText"/>
        <w:tabs>
          <w:tab w:val="num" w:pos="1350"/>
        </w:tabs>
        <w:ind w:left="720"/>
        <w:rPr>
          <w:rFonts w:ascii="Tahoma" w:hAnsi="Tahoma" w:cs="Tahoma"/>
        </w:rPr>
      </w:pPr>
      <w:r w:rsidRPr="000A1C8E">
        <w:rPr>
          <w:rFonts w:ascii="Tahoma" w:hAnsi="Tahoma" w:cs="Tahoma"/>
          <w:sz w:val="18"/>
        </w:rPr>
        <w:t>O assinante é qualificado para uma licença do SQL Server 2008 R2 Parallel Data Warehouse Developer.</w:t>
      </w:r>
    </w:p>
    <w:p w:rsidR="005B0791" w:rsidRPr="000A1C8E" w:rsidRDefault="005B0791" w:rsidP="005B0791">
      <w:pPr>
        <w:pStyle w:val="FootnoteBulletLevel1"/>
        <w:tabs>
          <w:tab w:val="clear" w:pos="900"/>
          <w:tab w:val="num" w:pos="1350"/>
        </w:tabs>
        <w:spacing w:before="0" w:after="0"/>
        <w:ind w:left="720" w:firstLine="0"/>
        <w:rPr>
          <w:rFonts w:ascii="Tahoma" w:hAnsi="Tahoma" w:cs="Tahoma"/>
        </w:rPr>
      </w:pPr>
    </w:p>
    <w:p w:rsidR="00223A77" w:rsidRPr="000A1C8E" w:rsidRDefault="00223A77" w:rsidP="00864B8A">
      <w:pPr>
        <w:spacing w:after="60"/>
        <w:ind w:left="720"/>
        <w:rPr>
          <w:rFonts w:cs="Tahoma"/>
        </w:rPr>
      </w:pPr>
      <w:r w:rsidRPr="000A1C8E">
        <w:rPr>
          <w:rFonts w:cs="Tahoma"/>
          <w:b/>
        </w:rPr>
        <w:t>Caminho de Migração do Software Assurance para o Visual Studio 2010 Professional com MSDN Embedded</w:t>
      </w:r>
    </w:p>
    <w:p w:rsidR="00223A77" w:rsidRPr="000A1C8E" w:rsidRDefault="00223A77" w:rsidP="005B0791">
      <w:pPr>
        <w:pStyle w:val="FootnoteBulletLevel1"/>
        <w:tabs>
          <w:tab w:val="clear" w:pos="900"/>
          <w:tab w:val="num" w:pos="1350"/>
        </w:tabs>
        <w:spacing w:before="0" w:after="0"/>
        <w:ind w:left="720" w:firstLine="0"/>
        <w:rPr>
          <w:rFonts w:ascii="Tahoma" w:hAnsi="Tahoma" w:cs="Tahoma"/>
        </w:rPr>
      </w:pPr>
      <w:r w:rsidRPr="000A1C8E">
        <w:rPr>
          <w:rFonts w:ascii="Tahoma" w:hAnsi="Tahoma" w:cs="Tahoma"/>
          <w:sz w:val="18"/>
        </w:rPr>
        <w:t xml:space="preserve">A versão sucessora do Visual Studio 2010 Professional com MSDN Embedded é o Visual Studio Professional 2012 com MSDN. </w:t>
      </w:r>
    </w:p>
    <w:p w:rsidR="005B0791" w:rsidRPr="000A1C8E" w:rsidRDefault="005B0791" w:rsidP="005B0791">
      <w:pPr>
        <w:pStyle w:val="FootnoteBulletLevel1"/>
        <w:tabs>
          <w:tab w:val="clear" w:pos="900"/>
          <w:tab w:val="num" w:pos="1350"/>
        </w:tabs>
        <w:spacing w:before="0" w:after="0"/>
        <w:ind w:left="720" w:firstLine="0"/>
        <w:rPr>
          <w:rFonts w:ascii="Tahoma" w:hAnsi="Tahoma" w:cs="Tahoma"/>
        </w:rPr>
      </w:pPr>
    </w:p>
    <w:p w:rsidR="00223A77" w:rsidRPr="000A1C8E" w:rsidRDefault="00223A77" w:rsidP="00864B8A">
      <w:pPr>
        <w:spacing w:after="60"/>
        <w:ind w:left="720"/>
        <w:rPr>
          <w:rFonts w:cs="Tahoma"/>
        </w:rPr>
      </w:pPr>
      <w:r w:rsidRPr="000A1C8E">
        <w:rPr>
          <w:rFonts w:cs="Tahoma"/>
          <w:b/>
        </w:rPr>
        <w:t>Qualificação do Software Assurance</w:t>
      </w:r>
    </w:p>
    <w:p w:rsidR="00BE4D27" w:rsidRPr="000A1C8E" w:rsidRDefault="00223A77" w:rsidP="000C6DBC">
      <w:pPr>
        <w:pStyle w:val="EndnoteText"/>
        <w:tabs>
          <w:tab w:val="left" w:pos="1170"/>
        </w:tabs>
        <w:ind w:left="720"/>
        <w:rPr>
          <w:rFonts w:ascii="Tahoma" w:hAnsi="Tahoma" w:cs="Tahoma"/>
        </w:rPr>
      </w:pPr>
      <w:r w:rsidRPr="000A1C8E">
        <w:rPr>
          <w:rFonts w:ascii="Tahoma" w:hAnsi="Tahoma" w:cs="Tahoma"/>
          <w:sz w:val="18"/>
        </w:rPr>
        <w:t>Os clientes com Software Assurance próximo à data de término referente às licenças dos produtos a seguir estão qualificados a renovar suas coberturas como Visual Studio Professional 2012 com MSDN.</w:t>
      </w:r>
      <w:r w:rsidRPr="000A1C8E">
        <w:rPr>
          <w:rFonts w:ascii="Tahoma" w:hAnsi="Tahoma" w:cs="Tahoma"/>
        </w:rPr>
        <w:t xml:space="preserve"> </w:t>
      </w:r>
      <w:r w:rsidRPr="000A1C8E">
        <w:rPr>
          <w:rFonts w:ascii="Tahoma" w:hAnsi="Tahoma" w:cs="Tahoma"/>
          <w:sz w:val="18"/>
        </w:rPr>
        <w:t>Ao renovar para um nível de assinatura do MSDN diferente, os novos termos de uso substituirão os termos de uso anteriores, e qualquer software não incluído na nova assinatura do MSDN deverá ser removido.</w:t>
      </w:r>
    </w:p>
    <w:p w:rsidR="00223A77" w:rsidRPr="000A1C8E" w:rsidRDefault="00223A77" w:rsidP="00223A77">
      <w:pPr>
        <w:pStyle w:val="EndnoteText"/>
        <w:rPr>
          <w:rFonts w:ascii="Tahoma" w:hAnsi="Tahoma" w:cs="Tahoma"/>
        </w:rPr>
      </w:pP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Ultimate com MSDN</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Premium com MSDN</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Professional com MSDN</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Professional com MSDN Embedded</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Professional com MSDN Professional</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Professional com MSDN Premium</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Team System Team Suite com MSDN Premium</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Team System Test Edition com MSDN Premium</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Team System Development Edition com MSDN Premium</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 xml:space="preserve">Visual Studio Team System Architecture Edition com MSDN Premium </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Visual Studio Team System Database Edition com MSDN Premium</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Clientes com uma assinatura de varejo ativa para qualquer um dos softwares acima</w:t>
      </w:r>
    </w:p>
    <w:p w:rsidR="00223A77" w:rsidRPr="000A1C8E" w:rsidRDefault="00223A77" w:rsidP="005B0791">
      <w:pPr>
        <w:pStyle w:val="FootnoteBulletLevel2"/>
        <w:numPr>
          <w:ilvl w:val="0"/>
          <w:numId w:val="4"/>
        </w:numPr>
        <w:spacing w:before="0" w:after="60"/>
        <w:ind w:left="1440"/>
        <w:rPr>
          <w:rFonts w:ascii="Tahoma" w:hAnsi="Tahoma" w:cs="Tahoma"/>
        </w:rPr>
      </w:pPr>
      <w:r w:rsidRPr="000A1C8E">
        <w:rPr>
          <w:rFonts w:ascii="Tahoma" w:hAnsi="Tahoma" w:cs="Tahoma"/>
          <w:sz w:val="18"/>
        </w:rPr>
        <w:t>MSDN Essentials (adquirido com a licença de varejo do Visual Studio 2010 Professional)</w:t>
      </w:r>
    </w:p>
    <w:p w:rsidR="00223A77" w:rsidRPr="000A1C8E" w:rsidRDefault="00223A77" w:rsidP="005B0791">
      <w:pPr>
        <w:pStyle w:val="FootnoteBulletLevel1"/>
        <w:spacing w:before="0" w:after="0"/>
        <w:ind w:left="0" w:firstLine="0"/>
        <w:rPr>
          <w:rFonts w:ascii="Tahoma" w:hAnsi="Tahoma" w:cs="Tahoma"/>
        </w:rPr>
      </w:pPr>
    </w:p>
    <w:p w:rsidR="00223A77" w:rsidRPr="000A1C8E" w:rsidRDefault="00223A77" w:rsidP="005B0791">
      <w:pPr>
        <w:pStyle w:val="FootnoteBulletLevel1"/>
        <w:tabs>
          <w:tab w:val="clear" w:pos="900"/>
        </w:tabs>
        <w:spacing w:before="0" w:after="0"/>
        <w:ind w:left="720" w:firstLine="0"/>
        <w:rPr>
          <w:rFonts w:ascii="Tahoma" w:hAnsi="Tahoma" w:cs="Tahoma"/>
        </w:rPr>
      </w:pPr>
      <w:r w:rsidRPr="000A1C8E">
        <w:rPr>
          <w:rFonts w:ascii="Tahoma" w:hAnsi="Tahoma" w:cs="Tahoma"/>
          <w:sz w:val="18"/>
        </w:rPr>
        <w:t xml:space="preserve">Os clientes do Enterprise, Select ou Open Value com cobertura ativa do Software Assurance para o Visual Studio Professional 2012 com MSDN também podem fazer step-up para o Visual Studio Premium 2012 com MSDN ou o Visual Studio Ultimate 2012 com MSDN por meio da aquisição de </w:t>
      </w:r>
      <w:hyperlink w:anchor="Step_Up" w:history="1">
        <w:r w:rsidRPr="000A1C8E">
          <w:rPr>
            <w:rFonts w:ascii="Tahoma" w:hAnsi="Tahoma" w:cs="Tahoma"/>
            <w:sz w:val="18"/>
          </w:rPr>
          <w:t>SKUs de Step-up</w:t>
        </w:r>
      </w:hyperlink>
      <w:r w:rsidRPr="000A1C8E">
        <w:rPr>
          <w:rFonts w:ascii="Tahoma" w:hAnsi="Tahoma" w:cs="Tahoma"/>
          <w:sz w:val="18"/>
        </w:rPr>
        <w:t xml:space="preserve"> apropriadas.</w:t>
      </w:r>
    </w:p>
    <w:p w:rsidR="005B0791" w:rsidRPr="000A1C8E" w:rsidRDefault="005B0791" w:rsidP="005B0791">
      <w:pPr>
        <w:pStyle w:val="FootnoteBulletLevel2"/>
        <w:tabs>
          <w:tab w:val="clear" w:pos="1260"/>
        </w:tabs>
        <w:spacing w:before="0"/>
        <w:ind w:left="720" w:firstLine="0"/>
        <w:rPr>
          <w:rFonts w:ascii="Tahoma" w:hAnsi="Tahoma" w:cs="Tahoma"/>
        </w:rPr>
      </w:pPr>
    </w:p>
    <w:p w:rsidR="0055611F" w:rsidRPr="000A1C8E" w:rsidRDefault="009B2474" w:rsidP="00864B8A">
      <w:pPr>
        <w:spacing w:after="60"/>
        <w:ind w:left="720"/>
        <w:rPr>
          <w:rFonts w:cs="Tahoma"/>
        </w:rPr>
      </w:pPr>
      <w:r w:rsidRPr="000A1C8E">
        <w:rPr>
          <w:rFonts w:cs="Tahoma"/>
          <w:b/>
        </w:rPr>
        <w:t>Serviços de Assinatura</w:t>
      </w:r>
    </w:p>
    <w:p w:rsidR="0055611F" w:rsidRPr="000A1C8E" w:rsidRDefault="0055611F" w:rsidP="003C3C97">
      <w:pPr>
        <w:pStyle w:val="FootnoteBulletLevel2"/>
        <w:tabs>
          <w:tab w:val="clear" w:pos="1260"/>
        </w:tabs>
        <w:spacing w:before="0"/>
        <w:ind w:left="720" w:firstLine="0"/>
        <w:rPr>
          <w:rFonts w:ascii="Tahoma" w:hAnsi="Tahoma" w:cs="Tahoma"/>
        </w:rPr>
      </w:pPr>
      <w:r w:rsidRPr="000A1C8E">
        <w:rPr>
          <w:rFonts w:ascii="Tahoma" w:hAnsi="Tahoma" w:cs="Tahoma"/>
          <w:sz w:val="18"/>
        </w:rPr>
        <w:t>Os serviços de assinatura MSDN, que podem incluir downloads, chaves de produto, benefícios do Windows Azure, benefícios do Office 365 Developer, e-learning, suporte técnico, benefícios do Windows Store e</w:t>
      </w:r>
      <w:r w:rsidR="003C3C97" w:rsidRPr="000A1C8E">
        <w:rPr>
          <w:rFonts w:ascii="Tahoma" w:hAnsi="Tahoma" w:cs="Tahoma"/>
          <w:sz w:val="18"/>
        </w:rPr>
        <w:t> </w:t>
      </w:r>
      <w:r w:rsidRPr="000A1C8E">
        <w:rPr>
          <w:rFonts w:ascii="Tahoma" w:hAnsi="Tahoma" w:cs="Tahoma"/>
          <w:sz w:val="18"/>
        </w:rPr>
        <w:t>outros serviços, só estarão disponíveis enquanto a assinatura estiver ativa.</w:t>
      </w:r>
    </w:p>
    <w:p w:rsidR="0055611F" w:rsidRPr="000A1C8E" w:rsidRDefault="0055611F" w:rsidP="005B0791">
      <w:pPr>
        <w:pStyle w:val="FootnoteBulletLevel1"/>
        <w:tabs>
          <w:tab w:val="clear" w:pos="900"/>
        </w:tabs>
        <w:spacing w:before="0" w:after="0"/>
        <w:ind w:left="720" w:firstLine="0"/>
        <w:rPr>
          <w:rFonts w:ascii="Tahoma" w:hAnsi="Tahoma" w:cs="Tahoma"/>
        </w:rPr>
      </w:pPr>
    </w:p>
    <w:p w:rsidR="0055611F" w:rsidRPr="000A1C8E" w:rsidRDefault="009B2474" w:rsidP="00864B8A">
      <w:pPr>
        <w:spacing w:after="60"/>
        <w:ind w:left="720"/>
        <w:rPr>
          <w:rFonts w:cs="Tahoma"/>
        </w:rPr>
      </w:pPr>
      <w:r w:rsidRPr="000A1C8E">
        <w:rPr>
          <w:rFonts w:cs="Tahoma"/>
          <w:b/>
        </w:rPr>
        <w:t>Serviços da Plataforma do Windows Azure</w:t>
      </w:r>
    </w:p>
    <w:p w:rsidR="0055611F" w:rsidRPr="000A1C8E" w:rsidRDefault="0055611F" w:rsidP="005B0791">
      <w:pPr>
        <w:pStyle w:val="FootnoteBulletLevel2"/>
        <w:tabs>
          <w:tab w:val="clear" w:pos="1260"/>
        </w:tabs>
        <w:spacing w:before="0"/>
        <w:ind w:left="720" w:firstLine="0"/>
        <w:rPr>
          <w:rFonts w:ascii="Tahoma" w:hAnsi="Tahoma" w:cs="Tahoma"/>
        </w:rPr>
      </w:pPr>
      <w:r w:rsidRPr="000A1C8E">
        <w:rPr>
          <w:rFonts w:ascii="Tahoma" w:hAnsi="Tahoma" w:cs="Tahoma"/>
          <w:sz w:val="18"/>
        </w:rPr>
        <w:t>Os benefícios do Windows Azure não podem ser combinados de várias assinaturas do MSDN em uma única conta do Windows Azure. O uso do Windows Azure está sujeito aos termos de uso do Windows Azure.</w:t>
      </w:r>
    </w:p>
    <w:p w:rsidR="005B0791" w:rsidRDefault="005B0791" w:rsidP="005B0791">
      <w:pPr>
        <w:pStyle w:val="FootnoteBulletLevel2"/>
        <w:tabs>
          <w:tab w:val="clear" w:pos="1260"/>
        </w:tabs>
        <w:spacing w:before="0"/>
        <w:ind w:left="0" w:firstLine="0"/>
        <w:rPr>
          <w:rFonts w:ascii="Tahoma" w:hAnsi="Tahoma" w:cs="Tahoma"/>
        </w:rPr>
      </w:pPr>
    </w:p>
    <w:p w:rsidR="00E36EF1" w:rsidRPr="000A1C8E" w:rsidRDefault="00E36EF1" w:rsidP="00E36EF1">
      <w:pPr>
        <w:spacing w:after="60"/>
        <w:ind w:left="720"/>
        <w:rPr>
          <w:rFonts w:cs="Tahoma"/>
        </w:rPr>
      </w:pPr>
      <w:r w:rsidRPr="000A1C8E">
        <w:rPr>
          <w:rFonts w:cs="Tahoma"/>
          <w:b/>
        </w:rPr>
        <w:t>Termos de Licença Adicionais para MSDN Subscriptions</w:t>
      </w:r>
    </w:p>
    <w:p w:rsidR="00E36EF1" w:rsidRPr="000A1C8E" w:rsidRDefault="00E36EF1" w:rsidP="00E36EF1">
      <w:pPr>
        <w:pStyle w:val="PURBlueStrong-Indented"/>
        <w:ind w:left="990"/>
        <w:rPr>
          <w:rFonts w:ascii="Tahoma" w:hAnsi="Tahoma" w:cs="Tahoma"/>
        </w:rPr>
      </w:pPr>
      <w:r w:rsidRPr="000A1C8E">
        <w:rPr>
          <w:rFonts w:ascii="Tahoma" w:hAnsi="Tahoma" w:cs="Tahoma"/>
          <w:smallCaps w:val="0"/>
          <w:color w:val="auto"/>
          <w:sz w:val="18"/>
          <w:szCs w:val="18"/>
        </w:rPr>
        <w:t>Executando o Software em Servidores Compartilhados por Terceiros</w:t>
      </w:r>
    </w:p>
    <w:p w:rsidR="00E36EF1" w:rsidRPr="000A1C8E" w:rsidRDefault="00E36EF1" w:rsidP="003D3933">
      <w:pPr>
        <w:pStyle w:val="PURBody-Indented"/>
        <w:numPr>
          <w:ilvl w:val="0"/>
          <w:numId w:val="131"/>
        </w:numPr>
        <w:spacing w:after="0"/>
        <w:ind w:left="1440" w:hanging="270"/>
        <w:rPr>
          <w:rFonts w:ascii="Tahoma" w:hAnsi="Tahoma" w:cs="Tahoma"/>
        </w:rPr>
      </w:pPr>
      <w:r w:rsidRPr="000A1C8E">
        <w:rPr>
          <w:rFonts w:ascii="Tahoma" w:hAnsi="Tahoma" w:cs="Tahoma"/>
          <w:sz w:val="18"/>
          <w:szCs w:val="18"/>
        </w:rPr>
        <w:t>O Usuário Licenciado poderá executar o software em servidores compartilhados por terceiros com Parceiros de Nuvem do MSDN Qualificados.</w:t>
      </w:r>
    </w:p>
    <w:p w:rsidR="00E36EF1" w:rsidRPr="000A1C8E" w:rsidRDefault="00E36EF1" w:rsidP="003D3933">
      <w:pPr>
        <w:pStyle w:val="PURBody-Indented"/>
        <w:numPr>
          <w:ilvl w:val="0"/>
          <w:numId w:val="131"/>
        </w:numPr>
        <w:spacing w:after="0"/>
        <w:ind w:left="1440" w:hanging="270"/>
        <w:rPr>
          <w:rFonts w:ascii="Tahoma" w:hAnsi="Tahoma" w:cs="Tahoma"/>
        </w:rPr>
      </w:pPr>
      <w:r w:rsidRPr="000A1C8E">
        <w:rPr>
          <w:rFonts w:ascii="Tahoma" w:hAnsi="Tahoma" w:cs="Tahoma"/>
          <w:sz w:val="18"/>
          <w:szCs w:val="18"/>
        </w:rPr>
        <w:t>O uso do software permanece sujeito aos termos e às condições do seu contrato de licença.</w:t>
      </w:r>
    </w:p>
    <w:p w:rsidR="00E36EF1" w:rsidRPr="000A1C8E" w:rsidRDefault="00E36EF1" w:rsidP="003D3933">
      <w:pPr>
        <w:pStyle w:val="PURBullet-Indented"/>
        <w:numPr>
          <w:ilvl w:val="0"/>
          <w:numId w:val="131"/>
        </w:numPr>
        <w:spacing w:after="0"/>
        <w:ind w:left="1440" w:hanging="270"/>
        <w:rPr>
          <w:rFonts w:ascii="Tahoma" w:hAnsi="Tahoma" w:cs="Tahoma"/>
        </w:rPr>
      </w:pPr>
      <w:r w:rsidRPr="000A1C8E">
        <w:rPr>
          <w:rFonts w:ascii="Tahoma" w:hAnsi="Tahoma" w:cs="Tahoma"/>
          <w:sz w:val="18"/>
          <w:szCs w:val="18"/>
        </w:rPr>
        <w:t>Exceto conforme definido aqui, a seção Ferramentas para Desenvolvedor destes Direitos de Uso do Produto se aplica ao uso do software.</w:t>
      </w:r>
    </w:p>
    <w:p w:rsidR="00E36EF1" w:rsidRPr="000A1C8E" w:rsidRDefault="00E36EF1" w:rsidP="003D3933">
      <w:pPr>
        <w:pStyle w:val="PURBullet-Indented"/>
        <w:numPr>
          <w:ilvl w:val="0"/>
          <w:numId w:val="131"/>
        </w:numPr>
        <w:spacing w:after="0"/>
        <w:ind w:left="1440" w:hanging="270"/>
        <w:rPr>
          <w:rFonts w:ascii="Tahoma" w:hAnsi="Tahoma" w:cs="Tahoma"/>
        </w:rPr>
      </w:pPr>
      <w:r w:rsidRPr="000A1C8E">
        <w:rPr>
          <w:rFonts w:ascii="Tahoma" w:hAnsi="Tahoma" w:cs="Tahoma"/>
          <w:sz w:val="18"/>
          <w:szCs w:val="18"/>
        </w:rPr>
        <w:lastRenderedPageBreak/>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rsidR="00E36EF1" w:rsidRPr="000A1C8E" w:rsidRDefault="00E36EF1" w:rsidP="003D3933">
      <w:pPr>
        <w:pStyle w:val="PURBullet-Indented"/>
        <w:numPr>
          <w:ilvl w:val="0"/>
          <w:numId w:val="131"/>
        </w:numPr>
        <w:spacing w:after="0"/>
        <w:ind w:left="1440" w:hanging="270"/>
        <w:rPr>
          <w:rFonts w:ascii="Tahoma" w:hAnsi="Tahoma" w:cs="Tahoma"/>
        </w:rPr>
      </w:pPr>
      <w:r w:rsidRPr="000A1C8E">
        <w:rPr>
          <w:rFonts w:ascii="Tahoma" w:hAnsi="Tahoma" w:cs="Tahoma"/>
          <w:sz w:val="18"/>
          <w:szCs w:val="18"/>
        </w:rPr>
        <w:t>O direito de executar o software em servidores de terceiros compartilhados expira no término da sua assinatura do MSDN.</w:t>
      </w:r>
    </w:p>
    <w:p w:rsidR="00E36EF1" w:rsidRPr="000A1C8E" w:rsidRDefault="00E36EF1" w:rsidP="00E36EF1">
      <w:pPr>
        <w:pStyle w:val="PURBullet-Indented"/>
        <w:spacing w:after="0"/>
        <w:ind w:left="990" w:firstLine="0"/>
        <w:rPr>
          <w:rFonts w:ascii="Tahoma" w:hAnsi="Tahoma" w:cs="Tahoma"/>
        </w:rPr>
      </w:pPr>
    </w:p>
    <w:p w:rsidR="00E36EF1" w:rsidRPr="000A1C8E" w:rsidRDefault="00E36EF1" w:rsidP="00E36EF1">
      <w:pPr>
        <w:pStyle w:val="PURBullet-Indented"/>
        <w:spacing w:after="0"/>
        <w:ind w:left="990" w:firstLine="0"/>
        <w:rPr>
          <w:rFonts w:ascii="Tahoma" w:hAnsi="Tahoma" w:cs="Tahoma"/>
        </w:rPr>
      </w:pPr>
    </w:p>
    <w:p w:rsidR="00E36EF1" w:rsidRPr="000A1C8E" w:rsidRDefault="00E36EF1" w:rsidP="00E36EF1">
      <w:pPr>
        <w:keepNext/>
        <w:spacing w:after="60"/>
        <w:ind w:left="994"/>
        <w:rPr>
          <w:rFonts w:cs="Tahoma"/>
        </w:rPr>
      </w:pPr>
      <w:r w:rsidRPr="000A1C8E">
        <w:rPr>
          <w:rFonts w:cs="Tahoma"/>
          <w:b/>
          <w:szCs w:val="18"/>
        </w:rPr>
        <w:t>Parceiros de Nuvem do MSDN Qualificados</w:t>
      </w:r>
    </w:p>
    <w:p w:rsidR="00E36EF1" w:rsidRPr="000A1C8E" w:rsidRDefault="00E36EF1" w:rsidP="00E36EF1">
      <w:pPr>
        <w:pStyle w:val="PURBody-Indented"/>
        <w:spacing w:after="60"/>
        <w:ind w:left="990"/>
        <w:rPr>
          <w:rFonts w:ascii="Tahoma" w:hAnsi="Tahoma" w:cs="Tahoma"/>
        </w:rPr>
      </w:pPr>
      <w:r w:rsidRPr="000A1C8E">
        <w:rPr>
          <w:rFonts w:ascii="Tahoma" w:hAnsi="Tahoma" w:cs="Tahoma"/>
          <w:sz w:val="18"/>
          <w:szCs w:val="18"/>
        </w:rPr>
        <w:t xml:space="preserve">Para executar o software em servidores compartilhados por terceiros, você deve: </w:t>
      </w:r>
    </w:p>
    <w:p w:rsidR="00E36EF1" w:rsidRPr="000A1C8E" w:rsidRDefault="00E36EF1" w:rsidP="003D3933">
      <w:pPr>
        <w:pStyle w:val="PURBody-Indented"/>
        <w:numPr>
          <w:ilvl w:val="0"/>
          <w:numId w:val="132"/>
        </w:numPr>
        <w:spacing w:after="0"/>
        <w:ind w:left="1440" w:hanging="270"/>
        <w:rPr>
          <w:rFonts w:ascii="Tahoma" w:hAnsi="Tahoma" w:cs="Tahoma"/>
        </w:rPr>
      </w:pPr>
      <w:r w:rsidRPr="000A1C8E">
        <w:rPr>
          <w:rFonts w:ascii="Tahoma" w:hAnsi="Tahoma" w:cs="Tahoma"/>
          <w:sz w:val="18"/>
          <w:szCs w:val="18"/>
        </w:rPr>
        <w:t>Ativar a assinatura do MSDN, vinculando sua conta da Microsoft à assinatura do MSDN.</w:t>
      </w:r>
    </w:p>
    <w:p w:rsidR="00E36EF1" w:rsidRPr="000A1C8E" w:rsidRDefault="00E36EF1" w:rsidP="003D3933">
      <w:pPr>
        <w:pStyle w:val="PURBody-Indented"/>
        <w:numPr>
          <w:ilvl w:val="0"/>
          <w:numId w:val="132"/>
        </w:numPr>
        <w:spacing w:after="0"/>
        <w:ind w:left="1440" w:hanging="270"/>
        <w:rPr>
          <w:rFonts w:ascii="Tahoma" w:hAnsi="Tahoma" w:cs="Tahoma"/>
        </w:rPr>
      </w:pPr>
      <w:r w:rsidRPr="000A1C8E">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0" w:history="1">
        <w:r w:rsidRPr="000A1C8E">
          <w:rPr>
            <w:rStyle w:val="Hyperlink"/>
            <w:rFonts w:ascii="Tahoma" w:hAnsi="Tahoma" w:cs="Tahoma"/>
            <w:sz w:val="18"/>
            <w:szCs w:val="18"/>
          </w:rPr>
          <w:t>http://go.microsoft.com/fwlink/?LinkId=294716</w:t>
        </w:r>
      </w:hyperlink>
      <w:r w:rsidRPr="000A1C8E">
        <w:rPr>
          <w:rFonts w:ascii="Tahoma" w:hAnsi="Tahoma" w:cs="Tahoma"/>
          <w:color w:val="3B3838"/>
          <w:sz w:val="18"/>
          <w:szCs w:val="18"/>
        </w:rPr>
        <w:t xml:space="preserve"> </w:t>
      </w:r>
    </w:p>
    <w:p w:rsidR="00E36EF1" w:rsidRPr="000A1C8E" w:rsidRDefault="00E36EF1" w:rsidP="003D3933">
      <w:pPr>
        <w:pStyle w:val="PURBullet-Indented"/>
        <w:numPr>
          <w:ilvl w:val="0"/>
          <w:numId w:val="132"/>
        </w:numPr>
        <w:spacing w:after="0"/>
        <w:ind w:left="1440" w:hanging="270"/>
        <w:rPr>
          <w:rFonts w:ascii="Tahoma" w:hAnsi="Tahoma" w:cs="Tahoma"/>
        </w:rPr>
      </w:pPr>
      <w:r w:rsidRPr="000A1C8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rsidR="00E36EF1" w:rsidRPr="000A1C8E" w:rsidRDefault="00E36EF1" w:rsidP="005B0791">
      <w:pPr>
        <w:pStyle w:val="FootnoteBulletLevel2"/>
        <w:tabs>
          <w:tab w:val="clear" w:pos="1260"/>
        </w:tabs>
        <w:spacing w:before="0"/>
        <w:ind w:left="0" w:firstLine="0"/>
        <w:rPr>
          <w:rFonts w:ascii="Tahoma" w:hAnsi="Tahoma" w:cs="Tahoma"/>
        </w:rPr>
      </w:pPr>
    </w:p>
    <w:p w:rsidR="005B0791" w:rsidRPr="000A1C8E" w:rsidRDefault="005B0791" w:rsidP="005B0791">
      <w:pPr>
        <w:pStyle w:val="FootnoteBulletLevel2"/>
        <w:tabs>
          <w:tab w:val="clear" w:pos="1260"/>
        </w:tabs>
        <w:spacing w:before="0"/>
        <w:ind w:left="0" w:firstLine="0"/>
        <w:rPr>
          <w:rFonts w:ascii="Tahoma" w:hAnsi="Tahoma" w:cs="Tahoma"/>
        </w:rPr>
      </w:pPr>
    </w:p>
    <w:p w:rsidR="00223A77" w:rsidRPr="000A1C8E" w:rsidRDefault="00A560B6" w:rsidP="00223A77">
      <w:pPr>
        <w:pStyle w:val="Heading3"/>
        <w:rPr>
          <w:rFonts w:ascii="Tahoma" w:hAnsi="Tahoma" w:cs="Tahoma"/>
        </w:rPr>
      </w:pPr>
      <w:bookmarkStart w:id="1083" w:name="_21_Visual_Studio"/>
      <w:bookmarkStart w:id="1084" w:name="_Toc336338277"/>
      <w:bookmarkStart w:id="1085" w:name="_Toc361829363"/>
      <w:bookmarkStart w:id="1086" w:name="_Toc252341837"/>
      <w:bookmarkStart w:id="1087" w:name="Aps_16VS2010PremiumMSDN"/>
      <w:bookmarkEnd w:id="1083"/>
      <w:r w:rsidRPr="000A1C8E">
        <w:rPr>
          <w:rFonts w:ascii="Tahoma" w:hAnsi="Tahoma" w:cs="Tahoma"/>
          <w:caps/>
          <w:color w:val="F66400"/>
          <w:sz w:val="22"/>
          <w:vertAlign w:val="superscript"/>
        </w:rPr>
        <w:t>22</w:t>
      </w:r>
      <w:r w:rsidRPr="000A1C8E">
        <w:rPr>
          <w:rFonts w:ascii="Tahoma" w:hAnsi="Tahoma" w:cs="Tahoma"/>
          <w:color w:val="F66400"/>
          <w:sz w:val="22"/>
        </w:rPr>
        <w:t xml:space="preserve"> Visual Studio Premium 2012 com MSDN</w:t>
      </w:r>
      <w:bookmarkEnd w:id="1084"/>
      <w:bookmarkEnd w:id="1085"/>
      <w:r w:rsidRPr="000A1C8E">
        <w:rPr>
          <w:rFonts w:ascii="Tahoma" w:hAnsi="Tahoma" w:cs="Tahoma"/>
          <w:color w:val="F66400"/>
          <w:sz w:val="22"/>
        </w:rPr>
        <w:t xml:space="preserve"> </w:t>
      </w:r>
      <w:bookmarkEnd w:id="1086"/>
    </w:p>
    <w:bookmarkEnd w:id="1087"/>
    <w:p w:rsidR="00CB436E" w:rsidRPr="000A1C8E" w:rsidRDefault="00CB436E" w:rsidP="00CB436E">
      <w:pPr>
        <w:pStyle w:val="FootnoteBulletLevel1"/>
        <w:tabs>
          <w:tab w:val="clear" w:pos="900"/>
        </w:tabs>
        <w:spacing w:before="0" w:after="0"/>
        <w:ind w:left="720" w:firstLine="0"/>
        <w:rPr>
          <w:rFonts w:ascii="Tahoma" w:hAnsi="Tahoma" w:cs="Tahoma"/>
        </w:rPr>
      </w:pPr>
    </w:p>
    <w:p w:rsidR="001026FD" w:rsidRPr="000A1C8E" w:rsidRDefault="001026FD" w:rsidP="00864B8A">
      <w:pPr>
        <w:spacing w:after="60"/>
        <w:ind w:left="720"/>
        <w:rPr>
          <w:rFonts w:cs="Tahoma"/>
        </w:rPr>
      </w:pPr>
      <w:r w:rsidRPr="000A1C8E">
        <w:rPr>
          <w:rFonts w:cs="Tahoma"/>
          <w:b/>
        </w:rPr>
        <w:t>Visual Studio Team Foundation Server 2012</w:t>
      </w:r>
    </w:p>
    <w:p w:rsidR="001026FD" w:rsidRPr="000A1C8E" w:rsidRDefault="001026FD" w:rsidP="00CB436E">
      <w:pPr>
        <w:pStyle w:val="EndnoteText"/>
        <w:ind w:left="720"/>
        <w:rPr>
          <w:rFonts w:ascii="Tahoma" w:hAnsi="Tahoma" w:cs="Tahoma"/>
        </w:rPr>
      </w:pPr>
      <w:r w:rsidRPr="000A1C8E">
        <w:rPr>
          <w:rFonts w:ascii="Tahoma" w:hAnsi="Tahoma" w:cs="Tahoma"/>
          <w:sz w:val="18"/>
        </w:rPr>
        <w:t>O assinante está qualificado para uma licença de servidor para o Visual Studio Team Foundation Server 2012 e uma CAL de Usuário do Team Foundation Server.</w:t>
      </w:r>
      <w:r w:rsidR="00DC6D8B" w:rsidRPr="000A1C8E">
        <w:rPr>
          <w:rFonts w:ascii="Tahoma" w:hAnsi="Tahoma" w:cs="Tahoma"/>
          <w:sz w:val="18"/>
        </w:rPr>
        <w:t xml:space="preserve"> </w:t>
      </w:r>
      <w:r w:rsidRPr="000A1C8E">
        <w:rPr>
          <w:rFonts w:ascii="Tahoma" w:hAnsi="Tahoma" w:cs="Tahoma"/>
          <w:sz w:val="18"/>
        </w:rPr>
        <w:t>A CAL é reservada unicamente para uso do assinante.</w:t>
      </w:r>
    </w:p>
    <w:p w:rsidR="001026FD" w:rsidRPr="000A1C8E" w:rsidRDefault="001026FD" w:rsidP="00CB436E">
      <w:pPr>
        <w:pStyle w:val="EndnoteText"/>
        <w:ind w:left="720"/>
        <w:rPr>
          <w:rFonts w:ascii="Tahoma" w:hAnsi="Tahoma" w:cs="Tahoma"/>
        </w:rPr>
      </w:pPr>
    </w:p>
    <w:p w:rsidR="001026FD" w:rsidRPr="000A1C8E" w:rsidRDefault="001026FD" w:rsidP="00864B8A">
      <w:pPr>
        <w:spacing w:after="60"/>
        <w:ind w:left="720"/>
        <w:rPr>
          <w:rFonts w:cs="Tahoma"/>
        </w:rPr>
      </w:pPr>
      <w:r w:rsidRPr="000A1C8E">
        <w:rPr>
          <w:rFonts w:cs="Tahoma"/>
          <w:b/>
        </w:rPr>
        <w:t>SQL Server Parallel Data Warehouse Developer</w:t>
      </w:r>
    </w:p>
    <w:p w:rsidR="001026FD" w:rsidRPr="000A1C8E" w:rsidRDefault="001026FD" w:rsidP="00CB436E">
      <w:pPr>
        <w:pStyle w:val="EndnoteText"/>
        <w:ind w:left="720"/>
        <w:rPr>
          <w:rFonts w:ascii="Tahoma" w:hAnsi="Tahoma" w:cs="Tahoma"/>
        </w:rPr>
      </w:pPr>
      <w:r w:rsidRPr="000A1C8E">
        <w:rPr>
          <w:rFonts w:ascii="Tahoma" w:hAnsi="Tahoma" w:cs="Tahoma"/>
          <w:sz w:val="18"/>
        </w:rPr>
        <w:t>O assinante é qualificado para uma licença do SQL Server 2008 R2 Parallel Data Warehouse Developer.</w:t>
      </w:r>
    </w:p>
    <w:p w:rsidR="000369DF" w:rsidRDefault="000369DF" w:rsidP="00E36EF1">
      <w:pPr>
        <w:pStyle w:val="FootnoteBulletLevel1"/>
        <w:tabs>
          <w:tab w:val="clear" w:pos="900"/>
        </w:tabs>
        <w:spacing w:before="0" w:after="0"/>
        <w:ind w:left="0" w:firstLine="0"/>
        <w:rPr>
          <w:rFonts w:ascii="Tahoma" w:hAnsi="Tahoma" w:cs="Tahoma"/>
        </w:rPr>
      </w:pPr>
    </w:p>
    <w:p w:rsidR="00223A77" w:rsidRPr="000A1C8E" w:rsidRDefault="009B2474" w:rsidP="00F14B68">
      <w:pPr>
        <w:keepNext/>
        <w:keepLines/>
        <w:spacing w:after="60"/>
        <w:ind w:left="720"/>
        <w:rPr>
          <w:rFonts w:cs="Tahoma"/>
        </w:rPr>
      </w:pPr>
      <w:r w:rsidRPr="000A1C8E">
        <w:rPr>
          <w:rFonts w:cs="Tahoma"/>
          <w:b/>
        </w:rPr>
        <w:t>Qualificação do Software Assurance</w:t>
      </w:r>
    </w:p>
    <w:p w:rsidR="00BE4D27" w:rsidRPr="000A1C8E" w:rsidRDefault="00223A77" w:rsidP="000C6DBC">
      <w:pPr>
        <w:pStyle w:val="EndnoteText"/>
        <w:tabs>
          <w:tab w:val="left" w:pos="1080"/>
        </w:tabs>
        <w:ind w:left="720"/>
        <w:rPr>
          <w:rFonts w:ascii="Tahoma" w:hAnsi="Tahoma" w:cs="Tahoma"/>
        </w:rPr>
      </w:pPr>
      <w:r w:rsidRPr="000A1C8E">
        <w:rPr>
          <w:rFonts w:ascii="Tahoma" w:hAnsi="Tahoma" w:cs="Tahoma"/>
          <w:sz w:val="18"/>
        </w:rPr>
        <w:t>Os clientes com Software Assurance próximo à data de término referente aos produtos a seguir estão qualificados a renovar suas coberturas como Visual Studio Premium 2012 com MSDN. Ao renovar uma nível de assinatura MSDN diferente, os novos termos de uso substituirão os termos de uso anteriores, e qualquer software não incluído na nova assinatura MSDN deverá ser removido.</w:t>
      </w:r>
    </w:p>
    <w:p w:rsidR="00223A77" w:rsidRPr="000A1C8E" w:rsidRDefault="00223A77" w:rsidP="007E466C">
      <w:pPr>
        <w:pStyle w:val="EndnoteText"/>
        <w:ind w:left="720"/>
        <w:rPr>
          <w:rFonts w:ascii="Tahoma" w:hAnsi="Tahoma" w:cs="Tahoma"/>
        </w:rPr>
      </w:pP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Visual Studio Ultimate com MSDN</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Visual Studio Premium com MSDN</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Visual Studio Professional com MSDN Premium</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Visual Studio Team System Team Suite com MSDN Premium</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Visual Studio Team System Test Edition com MSDN Premium</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Visual Studio Team System Development Edition com MSDN Premium</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 xml:space="preserve">Visual Studio Team System Architecture Edition com MSDN Premium </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Visual Studio Team System Database Edition com MSDN Premium</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Clientes com uma assinatura de varejo ativa para qualquer um dos softwares acima</w:t>
      </w:r>
    </w:p>
    <w:p w:rsidR="00413D8A" w:rsidRPr="000A1C8E" w:rsidRDefault="00413D8A">
      <w:pPr>
        <w:rPr>
          <w:rFonts w:cs="Tahoma"/>
        </w:rPr>
      </w:pPr>
    </w:p>
    <w:p w:rsidR="00223A77" w:rsidRPr="000A1C8E" w:rsidRDefault="00223A77" w:rsidP="00AF1D88">
      <w:pPr>
        <w:pStyle w:val="FootnoteBulletLevel1"/>
        <w:keepNext/>
        <w:tabs>
          <w:tab w:val="clear" w:pos="900"/>
        </w:tabs>
        <w:spacing w:before="0" w:after="0"/>
        <w:ind w:left="720" w:firstLine="0"/>
        <w:rPr>
          <w:rFonts w:ascii="Tahoma" w:hAnsi="Tahoma" w:cs="Tahoma"/>
        </w:rPr>
      </w:pPr>
      <w:r w:rsidRPr="000A1C8E">
        <w:rPr>
          <w:rFonts w:ascii="Tahoma" w:hAnsi="Tahoma" w:cs="Tahoma"/>
          <w:sz w:val="18"/>
        </w:rPr>
        <w:t xml:space="preserve">Os clientes com Software Assurance próximo à data de término referente ao Visual Studio Premium 2012 com MSDN estão qualificados a renovar suas coberturas como: </w:t>
      </w:r>
    </w:p>
    <w:p w:rsidR="00CB436E" w:rsidRPr="000A1C8E" w:rsidRDefault="00CB436E" w:rsidP="00AF1D88">
      <w:pPr>
        <w:pStyle w:val="FootnoteBulletLevel1"/>
        <w:keepNext/>
        <w:spacing w:before="0" w:after="0"/>
        <w:ind w:left="907" w:firstLine="0"/>
        <w:rPr>
          <w:rFonts w:ascii="Tahoma" w:hAnsi="Tahoma" w:cs="Tahoma"/>
        </w:rPr>
      </w:pPr>
    </w:p>
    <w:p w:rsidR="00223A77" w:rsidRPr="000A1C8E" w:rsidRDefault="00223A77" w:rsidP="00AF1D88">
      <w:pPr>
        <w:pStyle w:val="FootnoteBulletLevel2"/>
        <w:keepNext/>
        <w:numPr>
          <w:ilvl w:val="0"/>
          <w:numId w:val="6"/>
        </w:numPr>
        <w:spacing w:before="0" w:after="60"/>
        <w:ind w:left="1440"/>
        <w:rPr>
          <w:rFonts w:ascii="Tahoma" w:hAnsi="Tahoma" w:cs="Tahoma"/>
        </w:rPr>
      </w:pPr>
      <w:r w:rsidRPr="000A1C8E">
        <w:rPr>
          <w:rFonts w:ascii="Tahoma" w:hAnsi="Tahoma" w:cs="Tahoma"/>
          <w:sz w:val="18"/>
        </w:rPr>
        <w:t>Visual Studio Professional com MSDN</w:t>
      </w:r>
    </w:p>
    <w:p w:rsidR="006771C8" w:rsidRPr="000A1C8E" w:rsidRDefault="006771C8"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Visual Studio Test Professional com MSDN</w:t>
      </w:r>
    </w:p>
    <w:p w:rsidR="00223A77" w:rsidRPr="000A1C8E" w:rsidRDefault="00223A77" w:rsidP="00CB436E">
      <w:pPr>
        <w:pStyle w:val="FootnoteBulletLevel2"/>
        <w:numPr>
          <w:ilvl w:val="0"/>
          <w:numId w:val="6"/>
        </w:numPr>
        <w:spacing w:before="0" w:after="60"/>
        <w:ind w:left="1440"/>
        <w:rPr>
          <w:rFonts w:ascii="Tahoma" w:hAnsi="Tahoma" w:cs="Tahoma"/>
        </w:rPr>
      </w:pPr>
      <w:r w:rsidRPr="000A1C8E">
        <w:rPr>
          <w:rFonts w:ascii="Tahoma" w:hAnsi="Tahoma" w:cs="Tahoma"/>
          <w:sz w:val="18"/>
        </w:rPr>
        <w:t>MSDN Operating Systems</w:t>
      </w:r>
    </w:p>
    <w:p w:rsidR="00223A77" w:rsidRPr="000A1C8E" w:rsidRDefault="00223A77" w:rsidP="00CB436E">
      <w:pPr>
        <w:pStyle w:val="FootnoteBulletLevel1"/>
        <w:spacing w:before="0" w:after="0"/>
        <w:ind w:left="907" w:firstLine="0"/>
        <w:rPr>
          <w:rFonts w:ascii="Tahoma" w:hAnsi="Tahoma" w:cs="Tahoma"/>
        </w:rPr>
      </w:pPr>
    </w:p>
    <w:p w:rsidR="0055611F" w:rsidRPr="000A1C8E" w:rsidRDefault="00223A77" w:rsidP="00076CB4">
      <w:pPr>
        <w:pStyle w:val="FootnoteBulletLevel1"/>
        <w:tabs>
          <w:tab w:val="clear" w:pos="900"/>
        </w:tabs>
        <w:spacing w:before="0" w:after="0"/>
        <w:ind w:left="720" w:firstLine="0"/>
        <w:rPr>
          <w:rFonts w:ascii="Tahoma" w:hAnsi="Tahoma" w:cs="Tahoma"/>
        </w:rPr>
      </w:pPr>
      <w:r w:rsidRPr="000A1C8E">
        <w:rPr>
          <w:rFonts w:ascii="Tahoma" w:hAnsi="Tahoma" w:cs="Tahoma"/>
          <w:sz w:val="18"/>
        </w:rPr>
        <w:t xml:space="preserve">Os clientes do Enterprise, Select ou Open Value com cobertura do Software Assurance ativa para o Visual Studio Premium 2012 com MSDN também podem fazer step-up para o Visual Studio Ultimate 2012 com MSDN por meio da aquisição </w:t>
      </w:r>
      <w:r w:rsidRPr="000A1C8E">
        <w:rPr>
          <w:rFonts w:ascii="Tahoma" w:hAnsi="Tahoma" w:cs="Tahoma"/>
          <w:sz w:val="18"/>
          <w:szCs w:val="24"/>
        </w:rPr>
        <w:t>de SKUs de Step-Up</w:t>
      </w:r>
      <w:hyperlink w:anchor="Step_Up" w:history="1">
        <w:r w:rsidRPr="000A1C8E">
          <w:rPr>
            <w:rFonts w:ascii="Tahoma" w:hAnsi="Tahoma" w:cs="Tahoma"/>
            <w:sz w:val="18"/>
            <w:szCs w:val="24"/>
          </w:rPr>
          <w:t xml:space="preserve"> apropriadas</w:t>
        </w:r>
      </w:hyperlink>
      <w:r w:rsidRPr="000A1C8E">
        <w:rPr>
          <w:rFonts w:ascii="Tahoma" w:hAnsi="Tahoma" w:cs="Tahoma"/>
          <w:sz w:val="18"/>
        </w:rPr>
        <w:t>.</w:t>
      </w:r>
    </w:p>
    <w:p w:rsidR="00CB436E" w:rsidRPr="000A1C8E" w:rsidRDefault="00CB436E" w:rsidP="00076CB4">
      <w:pPr>
        <w:pStyle w:val="FootnoteBulletLevel2"/>
        <w:tabs>
          <w:tab w:val="clear" w:pos="1260"/>
        </w:tabs>
        <w:spacing w:before="0"/>
        <w:ind w:left="720" w:firstLine="0"/>
        <w:rPr>
          <w:rFonts w:ascii="Tahoma" w:hAnsi="Tahoma" w:cs="Tahoma"/>
        </w:rPr>
      </w:pPr>
    </w:p>
    <w:p w:rsidR="0055611F" w:rsidRPr="000A1C8E" w:rsidRDefault="0055611F" w:rsidP="00E36EF1">
      <w:pPr>
        <w:keepNext/>
        <w:spacing w:after="60"/>
        <w:ind w:left="720"/>
        <w:rPr>
          <w:rFonts w:cs="Tahoma"/>
        </w:rPr>
      </w:pPr>
      <w:r w:rsidRPr="000A1C8E">
        <w:rPr>
          <w:rFonts w:cs="Tahoma"/>
          <w:b/>
        </w:rPr>
        <w:t>Serviços de Assinatura</w:t>
      </w:r>
    </w:p>
    <w:p w:rsidR="0055611F" w:rsidRPr="000A1C8E" w:rsidRDefault="0055611F" w:rsidP="000369DF">
      <w:pPr>
        <w:pStyle w:val="FootnoteBulletLevel2"/>
        <w:tabs>
          <w:tab w:val="clear" w:pos="1260"/>
        </w:tabs>
        <w:spacing w:before="0"/>
        <w:ind w:left="720" w:firstLine="0"/>
        <w:rPr>
          <w:rFonts w:ascii="Tahoma" w:hAnsi="Tahoma" w:cs="Tahoma"/>
        </w:rPr>
      </w:pPr>
      <w:r w:rsidRPr="000A1C8E">
        <w:rPr>
          <w:rFonts w:ascii="Tahoma" w:hAnsi="Tahoma" w:cs="Tahoma"/>
          <w:sz w:val="18"/>
        </w:rPr>
        <w:t>Os serviços de assinatura MSDN, que podem incluir downloads, chaves de produto, benefícios do Windows Azure, benefícios do Office 365 Developer, e-learning, suporte técnico, benefícios do Windows Store e</w:t>
      </w:r>
      <w:r w:rsidR="000369DF" w:rsidRPr="000A1C8E">
        <w:rPr>
          <w:rFonts w:ascii="Tahoma" w:hAnsi="Tahoma" w:cs="Tahoma"/>
          <w:sz w:val="18"/>
        </w:rPr>
        <w:t> </w:t>
      </w:r>
      <w:r w:rsidRPr="000A1C8E">
        <w:rPr>
          <w:rFonts w:ascii="Tahoma" w:hAnsi="Tahoma" w:cs="Tahoma"/>
          <w:sz w:val="18"/>
        </w:rPr>
        <w:t>outros serviços, só estarão disponíveis enquanto a assinatura estiver ativa.</w:t>
      </w:r>
    </w:p>
    <w:p w:rsidR="0055611F" w:rsidRPr="000A1C8E" w:rsidRDefault="0055611F" w:rsidP="00076CB4">
      <w:pPr>
        <w:pStyle w:val="FootnoteBulletLevel1"/>
        <w:tabs>
          <w:tab w:val="clear" w:pos="900"/>
        </w:tabs>
        <w:spacing w:before="0" w:after="0"/>
        <w:ind w:left="720" w:firstLine="0"/>
        <w:rPr>
          <w:rFonts w:ascii="Tahoma" w:hAnsi="Tahoma" w:cs="Tahoma"/>
        </w:rPr>
      </w:pPr>
    </w:p>
    <w:p w:rsidR="0055611F" w:rsidRPr="000A1C8E" w:rsidRDefault="009B2474" w:rsidP="00864B8A">
      <w:pPr>
        <w:spacing w:after="60"/>
        <w:ind w:left="720"/>
        <w:rPr>
          <w:rFonts w:cs="Tahoma"/>
        </w:rPr>
      </w:pPr>
      <w:r w:rsidRPr="000A1C8E">
        <w:rPr>
          <w:rFonts w:cs="Tahoma"/>
          <w:b/>
        </w:rPr>
        <w:t>Serviços da Plataforma do Windows Azure</w:t>
      </w:r>
    </w:p>
    <w:p w:rsidR="0055611F" w:rsidRPr="000A1C8E" w:rsidRDefault="0055611F" w:rsidP="00076CB4">
      <w:pPr>
        <w:pStyle w:val="FootnoteBulletLevel2"/>
        <w:tabs>
          <w:tab w:val="clear" w:pos="1260"/>
        </w:tabs>
        <w:spacing w:before="0"/>
        <w:ind w:left="720" w:firstLine="0"/>
        <w:rPr>
          <w:rFonts w:ascii="Tahoma" w:hAnsi="Tahoma" w:cs="Tahoma"/>
        </w:rPr>
      </w:pPr>
      <w:r w:rsidRPr="000A1C8E">
        <w:rPr>
          <w:rFonts w:ascii="Tahoma" w:hAnsi="Tahoma" w:cs="Tahoma"/>
          <w:sz w:val="18"/>
        </w:rPr>
        <w:t>Os benefícios do Windows Azure não podem ser combinados de várias assinaturas do MSDN em uma única conta do Windows Azure. O uso do Windows Azure está sujeito aos termos de uso do Windows Azure.</w:t>
      </w:r>
    </w:p>
    <w:p w:rsidR="00DB3ECB" w:rsidRPr="000A1C8E" w:rsidRDefault="00DB3ECB" w:rsidP="00DB3ECB">
      <w:pPr>
        <w:spacing w:after="60"/>
        <w:ind w:left="720"/>
        <w:rPr>
          <w:rFonts w:cs="Tahoma"/>
        </w:rPr>
      </w:pPr>
    </w:p>
    <w:p w:rsidR="00DB3ECB" w:rsidRPr="000A1C8E" w:rsidRDefault="00DB3ECB" w:rsidP="00DB3ECB">
      <w:pPr>
        <w:spacing w:after="60"/>
        <w:ind w:left="720"/>
        <w:rPr>
          <w:rFonts w:cs="Tahoma"/>
        </w:rPr>
      </w:pPr>
      <w:r w:rsidRPr="000A1C8E">
        <w:rPr>
          <w:rFonts w:cs="Tahoma"/>
          <w:b/>
        </w:rPr>
        <w:t>Termos de Licença Adicionais para MSDN Subscriptions</w:t>
      </w:r>
    </w:p>
    <w:p w:rsidR="00DB3ECB" w:rsidRPr="000A1C8E" w:rsidRDefault="00DB3ECB" w:rsidP="00DB3ECB">
      <w:pPr>
        <w:pStyle w:val="PURBlueStrong-Indented"/>
        <w:ind w:left="990"/>
        <w:rPr>
          <w:rFonts w:ascii="Tahoma" w:hAnsi="Tahoma" w:cs="Tahoma"/>
        </w:rPr>
      </w:pPr>
      <w:r w:rsidRPr="000A1C8E">
        <w:rPr>
          <w:rFonts w:ascii="Tahoma" w:hAnsi="Tahoma" w:cs="Tahoma"/>
          <w:smallCaps w:val="0"/>
          <w:color w:val="auto"/>
          <w:sz w:val="18"/>
          <w:szCs w:val="18"/>
        </w:rPr>
        <w:t>Executando o Software em Servidores Compartilhados por Terceiros</w:t>
      </w:r>
    </w:p>
    <w:p w:rsidR="00DB3ECB" w:rsidRPr="000A1C8E" w:rsidRDefault="00DB3ECB" w:rsidP="003D3933">
      <w:pPr>
        <w:pStyle w:val="PURBody-Indented"/>
        <w:numPr>
          <w:ilvl w:val="0"/>
          <w:numId w:val="135"/>
        </w:numPr>
        <w:spacing w:after="0"/>
        <w:ind w:left="1440" w:hanging="270"/>
        <w:rPr>
          <w:rFonts w:ascii="Tahoma" w:hAnsi="Tahoma" w:cs="Tahoma"/>
        </w:rPr>
      </w:pPr>
      <w:r w:rsidRPr="000A1C8E">
        <w:rPr>
          <w:rFonts w:ascii="Tahoma" w:hAnsi="Tahoma" w:cs="Tahoma"/>
          <w:sz w:val="18"/>
          <w:szCs w:val="18"/>
        </w:rPr>
        <w:t>O Usuário Licenciado poderá executar o software em servidores compartilhados por terceiros com Parceiros de Nuvem do MSDN Qualificados.</w:t>
      </w:r>
    </w:p>
    <w:p w:rsidR="00DB3ECB" w:rsidRPr="000A1C8E" w:rsidRDefault="00DB3ECB" w:rsidP="003D3933">
      <w:pPr>
        <w:pStyle w:val="PURBody-Indented"/>
        <w:numPr>
          <w:ilvl w:val="0"/>
          <w:numId w:val="135"/>
        </w:numPr>
        <w:spacing w:after="0"/>
        <w:ind w:left="1440" w:hanging="270"/>
        <w:rPr>
          <w:rFonts w:ascii="Tahoma" w:hAnsi="Tahoma" w:cs="Tahoma"/>
        </w:rPr>
      </w:pPr>
      <w:r w:rsidRPr="000A1C8E">
        <w:rPr>
          <w:rFonts w:ascii="Tahoma" w:hAnsi="Tahoma" w:cs="Tahoma"/>
          <w:sz w:val="18"/>
          <w:szCs w:val="18"/>
        </w:rPr>
        <w:t>O uso do software permanece sujeito aos termos e às condições do seu contrato de licença.</w:t>
      </w:r>
    </w:p>
    <w:p w:rsidR="00DB3ECB" w:rsidRPr="000A1C8E" w:rsidRDefault="00DB3ECB" w:rsidP="003D3933">
      <w:pPr>
        <w:pStyle w:val="PURBullet-Indented"/>
        <w:numPr>
          <w:ilvl w:val="0"/>
          <w:numId w:val="135"/>
        </w:numPr>
        <w:spacing w:after="0"/>
        <w:ind w:left="1440" w:hanging="270"/>
        <w:rPr>
          <w:rFonts w:ascii="Tahoma" w:hAnsi="Tahoma" w:cs="Tahoma"/>
        </w:rPr>
      </w:pPr>
      <w:r w:rsidRPr="000A1C8E">
        <w:rPr>
          <w:rFonts w:ascii="Tahoma" w:hAnsi="Tahoma" w:cs="Tahoma"/>
          <w:sz w:val="18"/>
          <w:szCs w:val="18"/>
        </w:rPr>
        <w:t>Exceto conforme definido aqui, a seção Ferramentas para Desenvolvedor destes Direitos de Uso do Produto se aplica ao uso do software.</w:t>
      </w:r>
    </w:p>
    <w:p w:rsidR="00DB3ECB" w:rsidRPr="000A1C8E" w:rsidRDefault="00DB3ECB" w:rsidP="003D3933">
      <w:pPr>
        <w:pStyle w:val="PURBullet-Indented"/>
        <w:numPr>
          <w:ilvl w:val="0"/>
          <w:numId w:val="135"/>
        </w:numPr>
        <w:spacing w:after="0"/>
        <w:ind w:left="1440" w:hanging="270"/>
        <w:rPr>
          <w:rFonts w:ascii="Tahoma" w:hAnsi="Tahoma" w:cs="Tahoma"/>
        </w:rPr>
      </w:pPr>
      <w:r w:rsidRPr="000A1C8E">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rsidR="00DB3ECB" w:rsidRPr="000A1C8E" w:rsidRDefault="00DB3ECB" w:rsidP="003D3933">
      <w:pPr>
        <w:pStyle w:val="PURBullet-Indented"/>
        <w:numPr>
          <w:ilvl w:val="0"/>
          <w:numId w:val="135"/>
        </w:numPr>
        <w:spacing w:after="0"/>
        <w:ind w:left="1440" w:hanging="270"/>
        <w:rPr>
          <w:rFonts w:ascii="Tahoma" w:hAnsi="Tahoma" w:cs="Tahoma"/>
        </w:rPr>
      </w:pPr>
      <w:r w:rsidRPr="000A1C8E">
        <w:rPr>
          <w:rFonts w:ascii="Tahoma" w:hAnsi="Tahoma" w:cs="Tahoma"/>
          <w:sz w:val="18"/>
          <w:szCs w:val="18"/>
        </w:rPr>
        <w:t>O direito de executar o software em servidores de terceiros compartilhados expira no término da sua assinatura do MSDN.</w:t>
      </w:r>
    </w:p>
    <w:p w:rsidR="000369DF" w:rsidRPr="000A1C8E" w:rsidRDefault="000369DF" w:rsidP="00E36EF1">
      <w:pPr>
        <w:pStyle w:val="PURBullet-Indented"/>
        <w:spacing w:after="0"/>
        <w:ind w:left="0" w:firstLine="0"/>
        <w:rPr>
          <w:rFonts w:ascii="Tahoma" w:hAnsi="Tahoma" w:cs="Tahoma"/>
        </w:rPr>
      </w:pPr>
    </w:p>
    <w:p w:rsidR="00DB3ECB" w:rsidRPr="000A1C8E" w:rsidRDefault="00DB3ECB" w:rsidP="00D824E9">
      <w:pPr>
        <w:keepNext/>
        <w:spacing w:after="60"/>
        <w:ind w:left="994"/>
        <w:rPr>
          <w:rFonts w:cs="Tahoma"/>
        </w:rPr>
      </w:pPr>
      <w:r w:rsidRPr="000A1C8E">
        <w:rPr>
          <w:rFonts w:cs="Tahoma"/>
          <w:b/>
          <w:szCs w:val="18"/>
        </w:rPr>
        <w:t>Parceiros de Nuvem do MSDN Qualificados</w:t>
      </w:r>
    </w:p>
    <w:p w:rsidR="00DB3ECB" w:rsidRPr="000A1C8E" w:rsidRDefault="00DB3ECB" w:rsidP="00DB3ECB">
      <w:pPr>
        <w:pStyle w:val="PURBody-Indented"/>
        <w:spacing w:after="60"/>
        <w:ind w:left="990"/>
        <w:rPr>
          <w:rFonts w:ascii="Tahoma" w:hAnsi="Tahoma" w:cs="Tahoma"/>
        </w:rPr>
      </w:pPr>
      <w:r w:rsidRPr="000A1C8E">
        <w:rPr>
          <w:rFonts w:ascii="Tahoma" w:hAnsi="Tahoma" w:cs="Tahoma"/>
          <w:sz w:val="18"/>
          <w:szCs w:val="18"/>
        </w:rPr>
        <w:t xml:space="preserve">Para executar o software em servidores compartilhados por terceiros, você deve: </w:t>
      </w:r>
    </w:p>
    <w:p w:rsidR="00DB3ECB" w:rsidRPr="000A1C8E" w:rsidRDefault="00DB3ECB" w:rsidP="003D3933">
      <w:pPr>
        <w:pStyle w:val="PURBody-Indented"/>
        <w:numPr>
          <w:ilvl w:val="0"/>
          <w:numId w:val="136"/>
        </w:numPr>
        <w:spacing w:after="0"/>
        <w:ind w:left="1440" w:hanging="270"/>
        <w:rPr>
          <w:rFonts w:ascii="Tahoma" w:hAnsi="Tahoma" w:cs="Tahoma"/>
        </w:rPr>
      </w:pPr>
      <w:r w:rsidRPr="000A1C8E">
        <w:rPr>
          <w:rFonts w:ascii="Tahoma" w:hAnsi="Tahoma" w:cs="Tahoma"/>
          <w:sz w:val="18"/>
          <w:szCs w:val="18"/>
        </w:rPr>
        <w:t>Ativar a assinatura do MSDN, vinculando sua conta da Microsoft à assinatura do MSDN.</w:t>
      </w:r>
    </w:p>
    <w:p w:rsidR="00DB3ECB" w:rsidRPr="000A1C8E" w:rsidRDefault="00DB3ECB" w:rsidP="003D3933">
      <w:pPr>
        <w:pStyle w:val="PURBody-Indented"/>
        <w:numPr>
          <w:ilvl w:val="0"/>
          <w:numId w:val="136"/>
        </w:numPr>
        <w:spacing w:after="0"/>
        <w:ind w:left="1440" w:hanging="270"/>
        <w:rPr>
          <w:rFonts w:ascii="Tahoma" w:hAnsi="Tahoma" w:cs="Tahoma"/>
        </w:rPr>
      </w:pPr>
      <w:r w:rsidRPr="000A1C8E">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1" w:history="1">
        <w:r w:rsidRPr="000A1C8E">
          <w:rPr>
            <w:rStyle w:val="Hyperlink"/>
            <w:rFonts w:ascii="Tahoma" w:hAnsi="Tahoma" w:cs="Tahoma"/>
            <w:sz w:val="18"/>
            <w:szCs w:val="18"/>
          </w:rPr>
          <w:t>http://go.microsoft.com/fwlink/?LinkId=294716</w:t>
        </w:r>
      </w:hyperlink>
      <w:r w:rsidRPr="000A1C8E">
        <w:rPr>
          <w:rFonts w:ascii="Tahoma" w:hAnsi="Tahoma" w:cs="Tahoma"/>
          <w:color w:val="3B3838"/>
          <w:sz w:val="18"/>
          <w:szCs w:val="18"/>
        </w:rPr>
        <w:t xml:space="preserve"> </w:t>
      </w:r>
    </w:p>
    <w:p w:rsidR="00DB3ECB" w:rsidRPr="000A1C8E" w:rsidRDefault="00DB3ECB" w:rsidP="003D3933">
      <w:pPr>
        <w:pStyle w:val="PURBullet-Indented"/>
        <w:numPr>
          <w:ilvl w:val="0"/>
          <w:numId w:val="136"/>
        </w:numPr>
        <w:spacing w:after="0"/>
        <w:ind w:left="1440" w:hanging="270"/>
        <w:rPr>
          <w:rFonts w:ascii="Tahoma" w:hAnsi="Tahoma" w:cs="Tahoma"/>
        </w:rPr>
      </w:pPr>
      <w:r w:rsidRPr="000A1C8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rsidR="0055611F" w:rsidRPr="000A1C8E" w:rsidRDefault="0055611F" w:rsidP="00CB436E">
      <w:pPr>
        <w:pStyle w:val="FootnoteBulletLevel2"/>
        <w:tabs>
          <w:tab w:val="clear" w:pos="1260"/>
        </w:tabs>
        <w:spacing w:before="0"/>
        <w:ind w:left="0" w:firstLine="0"/>
        <w:rPr>
          <w:rFonts w:ascii="Tahoma" w:hAnsi="Tahoma" w:cs="Tahoma"/>
        </w:rPr>
      </w:pPr>
    </w:p>
    <w:p w:rsidR="00E03856" w:rsidRPr="000A1C8E" w:rsidRDefault="00E03856" w:rsidP="00CB436E">
      <w:pPr>
        <w:pStyle w:val="FootnoteBulletLevel2"/>
        <w:tabs>
          <w:tab w:val="clear" w:pos="1260"/>
        </w:tabs>
        <w:spacing w:before="0"/>
        <w:ind w:left="0" w:firstLine="0"/>
        <w:rPr>
          <w:rFonts w:ascii="Tahoma" w:hAnsi="Tahoma" w:cs="Tahoma"/>
        </w:rPr>
      </w:pPr>
    </w:p>
    <w:p w:rsidR="00223A77" w:rsidRPr="000A1C8E" w:rsidRDefault="00A560B6" w:rsidP="00223A77">
      <w:pPr>
        <w:pStyle w:val="Heading3"/>
        <w:rPr>
          <w:rFonts w:ascii="Tahoma" w:hAnsi="Tahoma" w:cs="Tahoma"/>
        </w:rPr>
      </w:pPr>
      <w:bookmarkStart w:id="1088" w:name="_22_Visual_Studio"/>
      <w:bookmarkStart w:id="1089" w:name="_Toc336338278"/>
      <w:bookmarkStart w:id="1090" w:name="_Toc361829364"/>
      <w:bookmarkStart w:id="1091" w:name="Aps_18VS2010UltimateMSDN"/>
      <w:bookmarkEnd w:id="1088"/>
      <w:r w:rsidRPr="000A1C8E">
        <w:rPr>
          <w:rFonts w:ascii="Tahoma" w:hAnsi="Tahoma" w:cs="Tahoma"/>
          <w:caps/>
          <w:color w:val="F66400"/>
          <w:sz w:val="22"/>
          <w:vertAlign w:val="superscript"/>
        </w:rPr>
        <w:t>23</w:t>
      </w:r>
      <w:r w:rsidRPr="000A1C8E">
        <w:rPr>
          <w:rFonts w:ascii="Tahoma" w:hAnsi="Tahoma" w:cs="Tahoma"/>
          <w:color w:val="F66400"/>
          <w:sz w:val="22"/>
        </w:rPr>
        <w:t xml:space="preserve"> Visual Studio Ultimate 2012 com MSDN</w:t>
      </w:r>
      <w:bookmarkEnd w:id="1089"/>
      <w:bookmarkEnd w:id="1090"/>
      <w:r w:rsidRPr="000A1C8E">
        <w:rPr>
          <w:rFonts w:ascii="Tahoma" w:hAnsi="Tahoma" w:cs="Tahoma"/>
          <w:color w:val="F66400"/>
          <w:sz w:val="22"/>
        </w:rPr>
        <w:t xml:space="preserve"> </w:t>
      </w:r>
    </w:p>
    <w:bookmarkEnd w:id="1091"/>
    <w:p w:rsidR="0032113C" w:rsidRPr="000A1C8E" w:rsidRDefault="0032113C" w:rsidP="007A4659">
      <w:pPr>
        <w:adjustRightInd w:val="0"/>
        <w:ind w:left="540"/>
        <w:textAlignment w:val="baseline"/>
        <w:rPr>
          <w:rFonts w:cs="Tahoma"/>
        </w:rPr>
      </w:pPr>
    </w:p>
    <w:p w:rsidR="001026FD" w:rsidRPr="000A1C8E" w:rsidRDefault="001026FD" w:rsidP="00864B8A">
      <w:pPr>
        <w:spacing w:after="60"/>
        <w:ind w:left="720"/>
        <w:rPr>
          <w:rFonts w:cs="Tahoma"/>
        </w:rPr>
      </w:pPr>
      <w:r w:rsidRPr="000A1C8E">
        <w:rPr>
          <w:rFonts w:cs="Tahoma"/>
          <w:b/>
        </w:rPr>
        <w:t>Visual Studio Team Foundation Server 2012</w:t>
      </w:r>
    </w:p>
    <w:p w:rsidR="001026FD" w:rsidRPr="000A1C8E" w:rsidRDefault="001026FD" w:rsidP="000369DF">
      <w:pPr>
        <w:pStyle w:val="EndnoteText"/>
        <w:ind w:left="720"/>
        <w:rPr>
          <w:rFonts w:ascii="Tahoma" w:hAnsi="Tahoma" w:cs="Tahoma"/>
          <w:spacing w:val="-2"/>
        </w:rPr>
      </w:pPr>
      <w:r w:rsidRPr="000A1C8E">
        <w:rPr>
          <w:rFonts w:ascii="Tahoma" w:hAnsi="Tahoma" w:cs="Tahoma"/>
          <w:spacing w:val="-2"/>
          <w:sz w:val="18"/>
        </w:rPr>
        <w:t>O assinante está qualificado para uma licença de servidor para o Visual Studio Team Foundation Server 2012 e</w:t>
      </w:r>
      <w:r w:rsidR="000369DF" w:rsidRPr="000A1C8E">
        <w:rPr>
          <w:rFonts w:ascii="Tahoma" w:hAnsi="Tahoma" w:cs="Tahoma"/>
          <w:spacing w:val="-2"/>
          <w:sz w:val="18"/>
        </w:rPr>
        <w:t> </w:t>
      </w:r>
      <w:r w:rsidRPr="000A1C8E">
        <w:rPr>
          <w:rFonts w:ascii="Tahoma" w:hAnsi="Tahoma" w:cs="Tahoma"/>
          <w:spacing w:val="-2"/>
          <w:sz w:val="18"/>
        </w:rPr>
        <w:t>uma CAL de Usuário do Team Foundation Server.</w:t>
      </w:r>
      <w:r w:rsidR="00DC6D8B" w:rsidRPr="000A1C8E">
        <w:rPr>
          <w:rFonts w:ascii="Tahoma" w:hAnsi="Tahoma" w:cs="Tahoma"/>
          <w:spacing w:val="-2"/>
          <w:sz w:val="18"/>
        </w:rPr>
        <w:t xml:space="preserve"> </w:t>
      </w:r>
      <w:r w:rsidRPr="000A1C8E">
        <w:rPr>
          <w:rFonts w:ascii="Tahoma" w:hAnsi="Tahoma" w:cs="Tahoma"/>
          <w:spacing w:val="-2"/>
          <w:sz w:val="18"/>
        </w:rPr>
        <w:t>A CAL é reservada unicamente para uso do assinante.</w:t>
      </w:r>
    </w:p>
    <w:p w:rsidR="001026FD" w:rsidRPr="000A1C8E" w:rsidRDefault="001026FD" w:rsidP="007A4659">
      <w:pPr>
        <w:pStyle w:val="EndnoteText"/>
        <w:ind w:left="720"/>
        <w:rPr>
          <w:rFonts w:ascii="Tahoma" w:hAnsi="Tahoma" w:cs="Tahoma"/>
        </w:rPr>
      </w:pPr>
    </w:p>
    <w:p w:rsidR="001026FD" w:rsidRPr="000A1C8E" w:rsidRDefault="001026FD" w:rsidP="00864B8A">
      <w:pPr>
        <w:spacing w:after="60"/>
        <w:ind w:left="720"/>
        <w:rPr>
          <w:rFonts w:cs="Tahoma"/>
        </w:rPr>
      </w:pPr>
      <w:r w:rsidRPr="000A1C8E">
        <w:rPr>
          <w:rFonts w:cs="Tahoma"/>
          <w:b/>
        </w:rPr>
        <w:t>SQL Server Parallel Data Warehouse Developer</w:t>
      </w:r>
    </w:p>
    <w:p w:rsidR="001026FD" w:rsidRPr="000A1C8E" w:rsidRDefault="001026FD" w:rsidP="007A4659">
      <w:pPr>
        <w:pStyle w:val="EndnoteText"/>
        <w:ind w:left="720"/>
        <w:rPr>
          <w:rFonts w:ascii="Tahoma" w:hAnsi="Tahoma" w:cs="Tahoma"/>
        </w:rPr>
      </w:pPr>
      <w:r w:rsidRPr="000A1C8E">
        <w:rPr>
          <w:rFonts w:ascii="Tahoma" w:hAnsi="Tahoma" w:cs="Tahoma"/>
          <w:sz w:val="18"/>
        </w:rPr>
        <w:t>O assinante é qualificado para uma licença do SQL Server 2008 R2 Parallel Data Warehouse Developer.</w:t>
      </w:r>
    </w:p>
    <w:p w:rsidR="007A4659" w:rsidRPr="000A1C8E" w:rsidRDefault="007A4659" w:rsidP="007A4659">
      <w:pPr>
        <w:adjustRightInd w:val="0"/>
        <w:ind w:left="720"/>
        <w:textAlignment w:val="baseline"/>
        <w:rPr>
          <w:rFonts w:cs="Tahoma"/>
        </w:rPr>
      </w:pPr>
    </w:p>
    <w:p w:rsidR="0032113C" w:rsidRPr="000A1C8E" w:rsidRDefault="0032113C" w:rsidP="00864B8A">
      <w:pPr>
        <w:spacing w:after="60"/>
        <w:ind w:left="720"/>
        <w:rPr>
          <w:rFonts w:cs="Tahoma"/>
        </w:rPr>
      </w:pPr>
      <w:r w:rsidRPr="000A1C8E">
        <w:rPr>
          <w:rFonts w:cs="Tahoma"/>
          <w:b/>
        </w:rPr>
        <w:t>Qualificação do Software Assurance</w:t>
      </w:r>
    </w:p>
    <w:p w:rsidR="0032113C" w:rsidRPr="000A1C8E" w:rsidRDefault="0032113C" w:rsidP="00CC111A">
      <w:pPr>
        <w:pStyle w:val="EndnoteText"/>
        <w:ind w:left="720"/>
        <w:rPr>
          <w:rFonts w:ascii="Tahoma" w:hAnsi="Tahoma" w:cs="Tahoma"/>
        </w:rPr>
      </w:pPr>
      <w:r w:rsidRPr="000A1C8E">
        <w:rPr>
          <w:rFonts w:ascii="Tahoma" w:hAnsi="Tahoma" w:cs="Tahoma"/>
          <w:sz w:val="18"/>
          <w:szCs w:val="18"/>
        </w:rPr>
        <w:t>Os clientes com Software Assurance próximo à data de término referente aos produtos a seguir estão qualificados a renovar suas coberturas como Visual Studio Ultimate 2012 com MSDN. Ao renovar para um nível de assinatura do MSDN diferente, os novos termos de uso substituirão os termos de uso anteriores, e</w:t>
      </w:r>
      <w:r w:rsidR="00CC111A" w:rsidRPr="000A1C8E">
        <w:rPr>
          <w:rFonts w:ascii="Tahoma" w:hAnsi="Tahoma" w:cs="Tahoma"/>
          <w:sz w:val="18"/>
          <w:szCs w:val="18"/>
        </w:rPr>
        <w:t> </w:t>
      </w:r>
      <w:r w:rsidRPr="000A1C8E">
        <w:rPr>
          <w:rFonts w:ascii="Tahoma" w:hAnsi="Tahoma" w:cs="Tahoma"/>
          <w:sz w:val="18"/>
          <w:szCs w:val="18"/>
        </w:rPr>
        <w:t>qualquer software não incluído na nova assinatura do MSDN</w:t>
      </w:r>
      <w:r w:rsidRPr="000A1C8E">
        <w:rPr>
          <w:rFonts w:ascii="Tahoma" w:hAnsi="Tahoma" w:cs="Tahoma"/>
          <w:sz w:val="18"/>
        </w:rPr>
        <w:t xml:space="preserve"> deverá ser removido.</w:t>
      </w:r>
    </w:p>
    <w:p w:rsidR="0032113C" w:rsidRPr="000A1C8E" w:rsidRDefault="0032113C" w:rsidP="0032113C">
      <w:pPr>
        <w:ind w:left="900"/>
        <w:rPr>
          <w:rFonts w:cs="Tahoma"/>
        </w:rPr>
      </w:pP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lastRenderedPageBreak/>
        <w:t>Visual Studio Ultimate com MSDN</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Visual Studio Team System Team Suite com MSDN Premium</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Visual Studio Team System Test Edition com MSDN Premium</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Visual Studio Team System Development Edition com MSDN Premium</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 xml:space="preserve">Visual Studio Team System Architecture Edition com MSDN Premium </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Visual Studio Team System Database Edition com MSDN Premium</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Clientes com uma assinatura de varejo ativa para qualquer um dos softwares acima</w:t>
      </w:r>
    </w:p>
    <w:p w:rsidR="0032113C" w:rsidRPr="000A1C8E" w:rsidRDefault="0032113C" w:rsidP="007A4659">
      <w:pPr>
        <w:tabs>
          <w:tab w:val="num" w:pos="900"/>
        </w:tabs>
        <w:adjustRightInd w:val="0"/>
        <w:ind w:left="1440"/>
        <w:textAlignment w:val="baseline"/>
        <w:rPr>
          <w:rFonts w:cs="Tahoma"/>
        </w:rPr>
      </w:pPr>
    </w:p>
    <w:p w:rsidR="0032113C" w:rsidRPr="000A1C8E" w:rsidRDefault="0032113C" w:rsidP="007A4659">
      <w:pPr>
        <w:adjustRightInd w:val="0"/>
        <w:ind w:left="720"/>
        <w:textAlignment w:val="baseline"/>
        <w:rPr>
          <w:rFonts w:cs="Tahoma"/>
        </w:rPr>
      </w:pPr>
      <w:r w:rsidRPr="000A1C8E">
        <w:rPr>
          <w:rFonts w:cs="Tahoma"/>
          <w:szCs w:val="20"/>
        </w:rPr>
        <w:t xml:space="preserve">Os clientes com Software Assurance próximo à data de término referente ao Visual Studio Ultimate 2012 com MSDN estão qualificados a renovar suas coberturas como: </w:t>
      </w:r>
    </w:p>
    <w:p w:rsidR="007A4659" w:rsidRPr="000A1C8E" w:rsidRDefault="007A4659" w:rsidP="007A4659">
      <w:pPr>
        <w:adjustRightInd w:val="0"/>
        <w:ind w:left="720"/>
        <w:textAlignment w:val="baseline"/>
        <w:rPr>
          <w:rFonts w:cs="Tahoma"/>
        </w:rPr>
      </w:pP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Visual Studio Premium com MSDN</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Visual Studio Professional com MSDN</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Visual Studio Test Professional com MSDN</w:t>
      </w:r>
    </w:p>
    <w:p w:rsidR="0032113C" w:rsidRPr="000A1C8E" w:rsidRDefault="0032113C" w:rsidP="007A4659">
      <w:pPr>
        <w:numPr>
          <w:ilvl w:val="0"/>
          <w:numId w:val="6"/>
        </w:numPr>
        <w:adjustRightInd w:val="0"/>
        <w:snapToGrid w:val="0"/>
        <w:spacing w:after="60"/>
        <w:ind w:left="1440"/>
        <w:textAlignment w:val="baseline"/>
        <w:rPr>
          <w:rFonts w:cs="Tahoma"/>
        </w:rPr>
      </w:pPr>
      <w:r w:rsidRPr="000A1C8E">
        <w:rPr>
          <w:rFonts w:cs="Tahoma"/>
          <w:szCs w:val="24"/>
        </w:rPr>
        <w:t>MSDN Operating Systems</w:t>
      </w:r>
    </w:p>
    <w:p w:rsidR="00413D8A" w:rsidRPr="000A1C8E" w:rsidRDefault="00413D8A">
      <w:pPr>
        <w:rPr>
          <w:rFonts w:cs="Tahoma"/>
        </w:rPr>
      </w:pPr>
    </w:p>
    <w:p w:rsidR="0055611F" w:rsidRPr="000A1C8E" w:rsidRDefault="009B2474" w:rsidP="007B35CE">
      <w:pPr>
        <w:keepNext/>
        <w:spacing w:after="60"/>
        <w:ind w:left="720"/>
        <w:rPr>
          <w:rFonts w:cs="Tahoma"/>
        </w:rPr>
      </w:pPr>
      <w:r w:rsidRPr="000A1C8E">
        <w:rPr>
          <w:rFonts w:cs="Tahoma"/>
          <w:b/>
        </w:rPr>
        <w:t>Serviços de Assinatura</w:t>
      </w:r>
    </w:p>
    <w:p w:rsidR="0055611F" w:rsidRPr="000A1C8E" w:rsidRDefault="0055611F" w:rsidP="007A4659">
      <w:pPr>
        <w:pStyle w:val="FootnoteBulletLevel2"/>
        <w:tabs>
          <w:tab w:val="clear" w:pos="1260"/>
        </w:tabs>
        <w:spacing w:before="0"/>
        <w:ind w:left="720" w:firstLine="0"/>
        <w:rPr>
          <w:rFonts w:ascii="Tahoma" w:hAnsi="Tahoma" w:cs="Tahoma"/>
        </w:rPr>
      </w:pPr>
      <w:r w:rsidRPr="000A1C8E">
        <w:rPr>
          <w:rFonts w:ascii="Tahoma" w:hAnsi="Tahoma" w:cs="Tahoma"/>
          <w:sz w:val="18"/>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rsidR="0055611F" w:rsidRPr="000A1C8E" w:rsidRDefault="0055611F" w:rsidP="007A4659">
      <w:pPr>
        <w:pStyle w:val="FootnoteBulletLevel1"/>
        <w:spacing w:before="0" w:after="0"/>
        <w:ind w:left="720" w:firstLine="0"/>
        <w:rPr>
          <w:rFonts w:ascii="Tahoma" w:hAnsi="Tahoma" w:cs="Tahoma"/>
        </w:rPr>
      </w:pPr>
    </w:p>
    <w:p w:rsidR="0055611F" w:rsidRPr="000A1C8E" w:rsidRDefault="0055611F" w:rsidP="00864B8A">
      <w:pPr>
        <w:spacing w:after="60"/>
        <w:ind w:left="720"/>
        <w:rPr>
          <w:rFonts w:cs="Tahoma"/>
        </w:rPr>
      </w:pPr>
      <w:r w:rsidRPr="000A1C8E">
        <w:rPr>
          <w:rFonts w:cs="Tahoma"/>
          <w:b/>
        </w:rPr>
        <w:t>Serviços da Plataforma do Windows Azure</w:t>
      </w:r>
    </w:p>
    <w:p w:rsidR="007A4659" w:rsidRDefault="0055611F" w:rsidP="007B35CE">
      <w:pPr>
        <w:adjustRightInd w:val="0"/>
        <w:snapToGrid w:val="0"/>
        <w:ind w:left="720"/>
        <w:textAlignment w:val="baseline"/>
        <w:rPr>
          <w:rFonts w:cs="Tahoma"/>
        </w:rPr>
      </w:pPr>
      <w:r w:rsidRPr="000A1C8E">
        <w:rPr>
          <w:rFonts w:cs="Tahoma"/>
        </w:rPr>
        <w:t>Os benefícios do Windows Azure não podem ser combinados de várias assinaturas do MSDN em uma única conta do Windows Azure. O uso do Windows Azure está sujeito aos termos de uso do Windows Azure.</w:t>
      </w:r>
      <w:bookmarkStart w:id="1092" w:name="Aps_19VS2010TestMSDN"/>
    </w:p>
    <w:p w:rsidR="00E36EF1" w:rsidRDefault="00E36EF1" w:rsidP="007B35CE">
      <w:pPr>
        <w:adjustRightInd w:val="0"/>
        <w:snapToGrid w:val="0"/>
        <w:ind w:left="720"/>
        <w:textAlignment w:val="baseline"/>
        <w:rPr>
          <w:rFonts w:cs="Tahoma"/>
        </w:rPr>
      </w:pPr>
    </w:p>
    <w:p w:rsidR="00E36EF1" w:rsidRPr="000A1C8E" w:rsidRDefault="00E36EF1" w:rsidP="00E36EF1">
      <w:pPr>
        <w:spacing w:after="60"/>
        <w:ind w:left="720"/>
        <w:rPr>
          <w:rFonts w:cs="Tahoma"/>
        </w:rPr>
      </w:pPr>
      <w:r w:rsidRPr="000A1C8E">
        <w:rPr>
          <w:rFonts w:cs="Tahoma"/>
          <w:b/>
        </w:rPr>
        <w:t>Termos de Licença Adicionais para MSDN Subscriptions</w:t>
      </w:r>
    </w:p>
    <w:p w:rsidR="00E36EF1" w:rsidRPr="000A1C8E" w:rsidRDefault="00E36EF1" w:rsidP="00E36EF1">
      <w:pPr>
        <w:pStyle w:val="PURBlueStrong-Indented"/>
        <w:ind w:left="990"/>
        <w:rPr>
          <w:rFonts w:ascii="Tahoma" w:hAnsi="Tahoma" w:cs="Tahoma"/>
        </w:rPr>
      </w:pPr>
      <w:r w:rsidRPr="000A1C8E">
        <w:rPr>
          <w:rFonts w:ascii="Tahoma" w:hAnsi="Tahoma" w:cs="Tahoma"/>
          <w:smallCaps w:val="0"/>
          <w:color w:val="auto"/>
          <w:sz w:val="18"/>
          <w:szCs w:val="18"/>
        </w:rPr>
        <w:t>Executando o Software em Servidores Compartilhados por Terceiros</w:t>
      </w:r>
    </w:p>
    <w:p w:rsidR="00E36EF1" w:rsidRPr="000A1C8E" w:rsidRDefault="00E36EF1" w:rsidP="003D3933">
      <w:pPr>
        <w:pStyle w:val="PURBody-Indented"/>
        <w:numPr>
          <w:ilvl w:val="0"/>
          <w:numId w:val="137"/>
        </w:numPr>
        <w:spacing w:after="0"/>
        <w:ind w:left="1440" w:hanging="270"/>
        <w:rPr>
          <w:rFonts w:ascii="Tahoma" w:hAnsi="Tahoma" w:cs="Tahoma"/>
        </w:rPr>
      </w:pPr>
      <w:r w:rsidRPr="000A1C8E">
        <w:rPr>
          <w:rFonts w:ascii="Tahoma" w:hAnsi="Tahoma" w:cs="Tahoma"/>
          <w:sz w:val="18"/>
          <w:szCs w:val="18"/>
        </w:rPr>
        <w:t>O Usuário Licenciado poderá executar o software em servidores compartilhados por terceiros com Parceiros de Nuvem do MSDN Qualificados.</w:t>
      </w:r>
    </w:p>
    <w:p w:rsidR="00E36EF1" w:rsidRPr="000A1C8E" w:rsidRDefault="00E36EF1" w:rsidP="003D3933">
      <w:pPr>
        <w:pStyle w:val="PURBody-Indented"/>
        <w:numPr>
          <w:ilvl w:val="0"/>
          <w:numId w:val="137"/>
        </w:numPr>
        <w:spacing w:after="0"/>
        <w:ind w:left="1440" w:hanging="270"/>
        <w:rPr>
          <w:rFonts w:ascii="Tahoma" w:hAnsi="Tahoma" w:cs="Tahoma"/>
        </w:rPr>
      </w:pPr>
      <w:r w:rsidRPr="000A1C8E">
        <w:rPr>
          <w:rFonts w:ascii="Tahoma" w:hAnsi="Tahoma" w:cs="Tahoma"/>
          <w:sz w:val="18"/>
          <w:szCs w:val="18"/>
        </w:rPr>
        <w:t>O uso do software permanece sujeito aos termos e às condições do seu contrato de licença.</w:t>
      </w:r>
    </w:p>
    <w:p w:rsidR="00E36EF1" w:rsidRPr="000A1C8E" w:rsidRDefault="00E36EF1" w:rsidP="003D3933">
      <w:pPr>
        <w:pStyle w:val="PURBullet-Indented"/>
        <w:numPr>
          <w:ilvl w:val="0"/>
          <w:numId w:val="137"/>
        </w:numPr>
        <w:spacing w:after="0"/>
        <w:ind w:left="1440" w:hanging="270"/>
        <w:rPr>
          <w:rFonts w:ascii="Tahoma" w:hAnsi="Tahoma" w:cs="Tahoma"/>
        </w:rPr>
      </w:pPr>
      <w:r w:rsidRPr="000A1C8E">
        <w:rPr>
          <w:rFonts w:ascii="Tahoma" w:hAnsi="Tahoma" w:cs="Tahoma"/>
          <w:sz w:val="18"/>
          <w:szCs w:val="18"/>
        </w:rPr>
        <w:t>Exceto conforme definido aqui, a seção Ferramentas para Desenvolvedor destes Direitos de Uso do Produto se aplica ao uso do software.</w:t>
      </w:r>
    </w:p>
    <w:p w:rsidR="00E36EF1" w:rsidRPr="000A1C8E" w:rsidRDefault="00E36EF1" w:rsidP="003D3933">
      <w:pPr>
        <w:pStyle w:val="PURBullet-Indented"/>
        <w:numPr>
          <w:ilvl w:val="0"/>
          <w:numId w:val="137"/>
        </w:numPr>
        <w:spacing w:after="0"/>
        <w:ind w:left="1440" w:hanging="270"/>
        <w:rPr>
          <w:rFonts w:ascii="Tahoma" w:hAnsi="Tahoma" w:cs="Tahoma"/>
        </w:rPr>
      </w:pPr>
      <w:r w:rsidRPr="000A1C8E">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rsidR="00E36EF1" w:rsidRPr="000A1C8E" w:rsidRDefault="00E36EF1" w:rsidP="003D3933">
      <w:pPr>
        <w:pStyle w:val="PURBullet-Indented"/>
        <w:numPr>
          <w:ilvl w:val="0"/>
          <w:numId w:val="137"/>
        </w:numPr>
        <w:spacing w:after="0"/>
        <w:ind w:left="1440" w:hanging="270"/>
        <w:rPr>
          <w:rFonts w:ascii="Tahoma" w:hAnsi="Tahoma" w:cs="Tahoma"/>
        </w:rPr>
      </w:pPr>
      <w:r w:rsidRPr="000A1C8E">
        <w:rPr>
          <w:rFonts w:ascii="Tahoma" w:hAnsi="Tahoma" w:cs="Tahoma"/>
          <w:sz w:val="18"/>
          <w:szCs w:val="18"/>
        </w:rPr>
        <w:t>O direito de executar o software em servidores de terceiros compartilhados expira no término da sua assinatura do MSDN.</w:t>
      </w:r>
    </w:p>
    <w:p w:rsidR="00E36EF1" w:rsidRPr="000A1C8E" w:rsidRDefault="00E36EF1" w:rsidP="00E36EF1">
      <w:pPr>
        <w:pStyle w:val="PURBullet-Indented"/>
        <w:spacing w:after="0"/>
        <w:ind w:left="0" w:firstLine="0"/>
        <w:rPr>
          <w:rFonts w:ascii="Tahoma" w:hAnsi="Tahoma" w:cs="Tahoma"/>
        </w:rPr>
      </w:pPr>
    </w:p>
    <w:p w:rsidR="00E36EF1" w:rsidRPr="000A1C8E" w:rsidRDefault="00E36EF1" w:rsidP="00E36EF1">
      <w:pPr>
        <w:keepNext/>
        <w:spacing w:after="60"/>
        <w:ind w:left="994"/>
        <w:rPr>
          <w:rFonts w:cs="Tahoma"/>
        </w:rPr>
      </w:pPr>
      <w:r w:rsidRPr="000A1C8E">
        <w:rPr>
          <w:rFonts w:cs="Tahoma"/>
          <w:b/>
          <w:szCs w:val="18"/>
        </w:rPr>
        <w:t>Parceiros de Nuvem do MSDN Qualificados</w:t>
      </w:r>
    </w:p>
    <w:p w:rsidR="00E36EF1" w:rsidRPr="000A1C8E" w:rsidRDefault="00E36EF1" w:rsidP="00E36EF1">
      <w:pPr>
        <w:pStyle w:val="PURBody-Indented"/>
        <w:spacing w:after="60"/>
        <w:ind w:left="990"/>
        <w:rPr>
          <w:rFonts w:ascii="Tahoma" w:hAnsi="Tahoma" w:cs="Tahoma"/>
        </w:rPr>
      </w:pPr>
      <w:r w:rsidRPr="000A1C8E">
        <w:rPr>
          <w:rFonts w:ascii="Tahoma" w:hAnsi="Tahoma" w:cs="Tahoma"/>
          <w:sz w:val="18"/>
          <w:szCs w:val="18"/>
        </w:rPr>
        <w:t xml:space="preserve">Para executar o software em servidores compartilhados por terceiros, você deve: </w:t>
      </w:r>
    </w:p>
    <w:p w:rsidR="00E36EF1" w:rsidRPr="000A1C8E" w:rsidRDefault="00E36EF1" w:rsidP="003D3933">
      <w:pPr>
        <w:pStyle w:val="PURBody-Indented"/>
        <w:numPr>
          <w:ilvl w:val="0"/>
          <w:numId w:val="138"/>
        </w:numPr>
        <w:spacing w:after="0"/>
        <w:ind w:left="1440" w:hanging="270"/>
        <w:rPr>
          <w:rFonts w:ascii="Tahoma" w:hAnsi="Tahoma" w:cs="Tahoma"/>
        </w:rPr>
      </w:pPr>
      <w:r w:rsidRPr="000A1C8E">
        <w:rPr>
          <w:rFonts w:ascii="Tahoma" w:hAnsi="Tahoma" w:cs="Tahoma"/>
          <w:sz w:val="18"/>
          <w:szCs w:val="18"/>
        </w:rPr>
        <w:t>Ativar a assinatura do MSDN, vinculando sua conta da Microsoft à assinatura do MSDN.</w:t>
      </w:r>
    </w:p>
    <w:p w:rsidR="00E36EF1" w:rsidRPr="000A1C8E" w:rsidRDefault="00E36EF1" w:rsidP="003D3933">
      <w:pPr>
        <w:pStyle w:val="PURBody-Indented"/>
        <w:numPr>
          <w:ilvl w:val="0"/>
          <w:numId w:val="138"/>
        </w:numPr>
        <w:spacing w:after="0"/>
        <w:ind w:left="1440" w:hanging="270"/>
        <w:rPr>
          <w:rFonts w:ascii="Tahoma" w:hAnsi="Tahoma" w:cs="Tahoma"/>
        </w:rPr>
      </w:pPr>
      <w:r w:rsidRPr="000A1C8E">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2" w:history="1">
        <w:r w:rsidRPr="000A1C8E">
          <w:rPr>
            <w:rStyle w:val="Hyperlink"/>
            <w:rFonts w:ascii="Tahoma" w:hAnsi="Tahoma" w:cs="Tahoma"/>
            <w:sz w:val="18"/>
            <w:szCs w:val="18"/>
          </w:rPr>
          <w:t>http://go.microsoft.com/fwlink/?LinkId=294716</w:t>
        </w:r>
      </w:hyperlink>
      <w:r w:rsidRPr="000A1C8E">
        <w:rPr>
          <w:rFonts w:ascii="Tahoma" w:hAnsi="Tahoma" w:cs="Tahoma"/>
          <w:color w:val="3B3838"/>
          <w:sz w:val="18"/>
          <w:szCs w:val="18"/>
        </w:rPr>
        <w:t xml:space="preserve"> </w:t>
      </w:r>
    </w:p>
    <w:p w:rsidR="00E36EF1" w:rsidRPr="00E36EF1" w:rsidRDefault="00E36EF1" w:rsidP="003D3933">
      <w:pPr>
        <w:pStyle w:val="PURBullet-Indented"/>
        <w:numPr>
          <w:ilvl w:val="0"/>
          <w:numId w:val="138"/>
        </w:numPr>
        <w:spacing w:after="0"/>
        <w:ind w:left="1440" w:hanging="270"/>
        <w:rPr>
          <w:rFonts w:ascii="Tahoma" w:hAnsi="Tahoma" w:cs="Tahoma"/>
        </w:rPr>
      </w:pPr>
      <w:r w:rsidRPr="000A1C8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rsidR="00F40C90" w:rsidRPr="000A1C8E" w:rsidRDefault="00F40C90" w:rsidP="007A4659">
      <w:pPr>
        <w:adjustRightInd w:val="0"/>
        <w:snapToGrid w:val="0"/>
        <w:textAlignment w:val="baseline"/>
        <w:rPr>
          <w:rFonts w:cs="Tahoma"/>
        </w:rPr>
      </w:pPr>
    </w:p>
    <w:p w:rsidR="007A4659" w:rsidRPr="000A1C8E" w:rsidRDefault="007A4659" w:rsidP="007A4659">
      <w:pPr>
        <w:adjustRightInd w:val="0"/>
        <w:snapToGrid w:val="0"/>
        <w:textAlignment w:val="baseline"/>
        <w:rPr>
          <w:rFonts w:cs="Tahoma"/>
        </w:rPr>
      </w:pPr>
    </w:p>
    <w:p w:rsidR="00223A77" w:rsidRPr="000A1C8E" w:rsidRDefault="00A560B6" w:rsidP="00D824E9">
      <w:pPr>
        <w:pStyle w:val="Heading3"/>
        <w:keepNext/>
        <w:rPr>
          <w:rFonts w:ascii="Tahoma" w:hAnsi="Tahoma" w:cs="Tahoma"/>
        </w:rPr>
      </w:pPr>
      <w:bookmarkStart w:id="1093" w:name="_23_Visual_Studio"/>
      <w:bookmarkStart w:id="1094" w:name="_24_Visual_Studio"/>
      <w:bookmarkStart w:id="1095" w:name="_Toc336338279"/>
      <w:bookmarkStart w:id="1096" w:name="_Toc361829365"/>
      <w:bookmarkEnd w:id="1093"/>
      <w:bookmarkEnd w:id="1094"/>
      <w:r w:rsidRPr="000A1C8E">
        <w:rPr>
          <w:rFonts w:ascii="Tahoma" w:hAnsi="Tahoma" w:cs="Tahoma"/>
          <w:caps/>
          <w:color w:val="F66400"/>
          <w:sz w:val="22"/>
          <w:vertAlign w:val="superscript"/>
        </w:rPr>
        <w:lastRenderedPageBreak/>
        <w:t>24</w:t>
      </w:r>
      <w:r w:rsidRPr="000A1C8E">
        <w:rPr>
          <w:rFonts w:ascii="Tahoma" w:hAnsi="Tahoma" w:cs="Tahoma"/>
          <w:color w:val="F66400"/>
          <w:sz w:val="22"/>
        </w:rPr>
        <w:t xml:space="preserve"> Visual Studio Test Professional 2012 com </w:t>
      </w:r>
      <w:bookmarkEnd w:id="1092"/>
      <w:r w:rsidRPr="000A1C8E">
        <w:rPr>
          <w:rFonts w:ascii="Tahoma" w:hAnsi="Tahoma" w:cs="Tahoma"/>
          <w:color w:val="F66400"/>
          <w:sz w:val="22"/>
        </w:rPr>
        <w:t>MSDN</w:t>
      </w:r>
      <w:bookmarkEnd w:id="1095"/>
      <w:bookmarkEnd w:id="1096"/>
      <w:r w:rsidRPr="000A1C8E">
        <w:rPr>
          <w:rFonts w:ascii="Tahoma" w:hAnsi="Tahoma" w:cs="Tahoma"/>
          <w:color w:val="F66400"/>
          <w:sz w:val="22"/>
        </w:rPr>
        <w:t xml:space="preserve"> </w:t>
      </w:r>
    </w:p>
    <w:p w:rsidR="00AC4485" w:rsidRPr="000A1C8E" w:rsidRDefault="00AC4485" w:rsidP="00D824E9">
      <w:pPr>
        <w:pStyle w:val="FootnoteBulletLevel1"/>
        <w:keepNext/>
        <w:spacing w:before="0" w:after="0"/>
        <w:rPr>
          <w:rFonts w:ascii="Tahoma" w:hAnsi="Tahoma" w:cs="Tahoma"/>
        </w:rPr>
      </w:pPr>
    </w:p>
    <w:p w:rsidR="001026FD" w:rsidRPr="000A1C8E" w:rsidRDefault="001026FD" w:rsidP="00D824E9">
      <w:pPr>
        <w:keepNext/>
        <w:spacing w:after="60"/>
        <w:ind w:left="720"/>
        <w:rPr>
          <w:rFonts w:cs="Tahoma"/>
        </w:rPr>
      </w:pPr>
      <w:r w:rsidRPr="000A1C8E">
        <w:rPr>
          <w:rFonts w:cs="Tahoma"/>
          <w:b/>
        </w:rPr>
        <w:t>Visual Studio Team Foundation Server 2012</w:t>
      </w:r>
    </w:p>
    <w:p w:rsidR="001026FD" w:rsidRPr="000A1C8E" w:rsidRDefault="001026FD" w:rsidP="00E7500D">
      <w:pPr>
        <w:pStyle w:val="EndnoteText"/>
        <w:ind w:left="720"/>
        <w:rPr>
          <w:rFonts w:ascii="Tahoma" w:hAnsi="Tahoma" w:cs="Tahoma"/>
          <w:spacing w:val="-2"/>
        </w:rPr>
      </w:pPr>
      <w:r w:rsidRPr="000A1C8E">
        <w:rPr>
          <w:rFonts w:ascii="Tahoma" w:hAnsi="Tahoma" w:cs="Tahoma"/>
          <w:spacing w:val="-2"/>
          <w:sz w:val="18"/>
        </w:rPr>
        <w:t>O assinante está qualificado para uma licença de servidor para o Visual Studio Team Foundation Server 2012 e uma CAL de Usuário do Team Foundation Server.</w:t>
      </w:r>
      <w:r w:rsidR="00DC6D8B" w:rsidRPr="000A1C8E">
        <w:rPr>
          <w:rFonts w:ascii="Tahoma" w:hAnsi="Tahoma" w:cs="Tahoma"/>
          <w:spacing w:val="-2"/>
          <w:sz w:val="18"/>
        </w:rPr>
        <w:t xml:space="preserve"> </w:t>
      </w:r>
      <w:r w:rsidRPr="000A1C8E">
        <w:rPr>
          <w:rFonts w:ascii="Tahoma" w:hAnsi="Tahoma" w:cs="Tahoma"/>
          <w:spacing w:val="-2"/>
          <w:sz w:val="18"/>
        </w:rPr>
        <w:t>A CAL é reservada unicamente para uso do assinante.</w:t>
      </w:r>
    </w:p>
    <w:p w:rsidR="001026FD" w:rsidRPr="000A1C8E" w:rsidRDefault="001026FD" w:rsidP="00E7500D">
      <w:pPr>
        <w:pStyle w:val="EndnoteText"/>
        <w:ind w:left="720"/>
        <w:rPr>
          <w:rFonts w:ascii="Tahoma" w:hAnsi="Tahoma" w:cs="Tahoma"/>
        </w:rPr>
      </w:pPr>
    </w:p>
    <w:p w:rsidR="001026FD" w:rsidRPr="000A1C8E" w:rsidRDefault="001026FD" w:rsidP="00E36EF1">
      <w:pPr>
        <w:keepNext/>
        <w:spacing w:after="60"/>
        <w:ind w:left="720"/>
        <w:rPr>
          <w:rFonts w:cs="Tahoma"/>
        </w:rPr>
      </w:pPr>
      <w:r w:rsidRPr="000A1C8E">
        <w:rPr>
          <w:rFonts w:cs="Tahoma"/>
          <w:b/>
        </w:rPr>
        <w:t>SQL Server Parallel Data Warehouse Developer</w:t>
      </w:r>
    </w:p>
    <w:p w:rsidR="001026FD" w:rsidRPr="000A1C8E" w:rsidRDefault="001026FD" w:rsidP="00E7500D">
      <w:pPr>
        <w:pStyle w:val="EndnoteText"/>
        <w:ind w:left="720"/>
        <w:rPr>
          <w:rFonts w:ascii="Tahoma" w:hAnsi="Tahoma" w:cs="Tahoma"/>
        </w:rPr>
      </w:pPr>
      <w:r w:rsidRPr="000A1C8E">
        <w:rPr>
          <w:rFonts w:ascii="Tahoma" w:hAnsi="Tahoma" w:cs="Tahoma"/>
          <w:sz w:val="18"/>
        </w:rPr>
        <w:t>O assinante é qualificado para uma licença do SQL Server 2008 R2 Parallel Data Warehouse Developer.</w:t>
      </w:r>
    </w:p>
    <w:p w:rsidR="00E7500D" w:rsidRPr="000A1C8E" w:rsidRDefault="00E7500D" w:rsidP="00E7500D">
      <w:pPr>
        <w:pStyle w:val="FootnoteBulletLevel1"/>
        <w:tabs>
          <w:tab w:val="clear" w:pos="900"/>
        </w:tabs>
        <w:spacing w:before="0" w:after="0"/>
        <w:ind w:left="720" w:firstLine="0"/>
        <w:rPr>
          <w:rFonts w:ascii="Tahoma" w:hAnsi="Tahoma" w:cs="Tahoma"/>
        </w:rPr>
      </w:pPr>
    </w:p>
    <w:p w:rsidR="00223A77" w:rsidRPr="000A1C8E" w:rsidRDefault="00223A77" w:rsidP="00864B8A">
      <w:pPr>
        <w:spacing w:after="60"/>
        <w:ind w:left="720"/>
        <w:rPr>
          <w:rFonts w:cs="Tahoma"/>
        </w:rPr>
      </w:pPr>
      <w:r w:rsidRPr="000A1C8E">
        <w:rPr>
          <w:rFonts w:cs="Tahoma"/>
          <w:b/>
        </w:rPr>
        <w:t>Qualificação do Software Assurance</w:t>
      </w:r>
    </w:p>
    <w:p w:rsidR="00223A77" w:rsidRPr="000A1C8E" w:rsidRDefault="00223A77" w:rsidP="00F40C90">
      <w:pPr>
        <w:tabs>
          <w:tab w:val="num" w:pos="1170"/>
        </w:tabs>
        <w:ind w:left="720"/>
        <w:rPr>
          <w:rFonts w:cs="Tahoma"/>
        </w:rPr>
      </w:pPr>
      <w:r w:rsidRPr="000A1C8E">
        <w:rPr>
          <w:rFonts w:cs="Tahoma"/>
        </w:rPr>
        <w:t>Os clientes com Software Assurance próximo à data de término referente aos produtos a seguir estão qualificados a renovar suas coberturas como Visual Studio Test Professional 2012 com MSDN</w:t>
      </w:r>
      <w:r w:rsidRPr="000A1C8E">
        <w:rPr>
          <w:rFonts w:cs="Tahoma"/>
          <w:szCs w:val="24"/>
        </w:rPr>
        <w:t xml:space="preserve">. </w:t>
      </w:r>
      <w:r w:rsidRPr="000A1C8E">
        <w:rPr>
          <w:rFonts w:cs="Tahoma"/>
        </w:rPr>
        <w:t>Ao renovar para um nível de assinatura do MSDN diferente, os novos termos de uso substituirão os termos de uso anteriores, e qualquer software não incluído na nova assinatura do MSDN deverá ser removido.</w:t>
      </w:r>
    </w:p>
    <w:p w:rsidR="00223A77" w:rsidRPr="000A1C8E" w:rsidRDefault="00223A77" w:rsidP="00E7500D">
      <w:pPr>
        <w:pStyle w:val="EndnoteText"/>
        <w:rPr>
          <w:rFonts w:ascii="Tahoma" w:hAnsi="Tahoma" w:cs="Tahoma"/>
        </w:rPr>
      </w:pPr>
    </w:p>
    <w:p w:rsidR="00223A77" w:rsidRPr="000A1C8E" w:rsidRDefault="00223A77" w:rsidP="00E7500D">
      <w:pPr>
        <w:pStyle w:val="FootnoteBulletLevel2"/>
        <w:numPr>
          <w:ilvl w:val="0"/>
          <w:numId w:val="5"/>
        </w:numPr>
        <w:spacing w:before="0" w:after="60"/>
        <w:ind w:left="1440"/>
        <w:rPr>
          <w:rFonts w:ascii="Tahoma" w:hAnsi="Tahoma" w:cs="Tahoma"/>
        </w:rPr>
      </w:pPr>
      <w:r w:rsidRPr="000A1C8E">
        <w:rPr>
          <w:rFonts w:ascii="Tahoma" w:hAnsi="Tahoma" w:cs="Tahoma"/>
          <w:sz w:val="18"/>
        </w:rPr>
        <w:t>Visual Studio Ultimate com MSDN</w:t>
      </w:r>
    </w:p>
    <w:p w:rsidR="00061A45" w:rsidRPr="000A1C8E" w:rsidRDefault="00BE4D27" w:rsidP="00E7500D">
      <w:pPr>
        <w:pStyle w:val="FootnoteBulletLevel2"/>
        <w:numPr>
          <w:ilvl w:val="0"/>
          <w:numId w:val="5"/>
        </w:numPr>
        <w:spacing w:before="0" w:after="60"/>
        <w:ind w:left="1440"/>
        <w:rPr>
          <w:rFonts w:ascii="Tahoma" w:hAnsi="Tahoma" w:cs="Tahoma"/>
        </w:rPr>
      </w:pPr>
      <w:r w:rsidRPr="000A1C8E">
        <w:rPr>
          <w:rFonts w:ascii="Tahoma" w:hAnsi="Tahoma" w:cs="Tahoma"/>
          <w:sz w:val="18"/>
        </w:rPr>
        <w:t>Visual Studio Premium com MSDN</w:t>
      </w:r>
    </w:p>
    <w:p w:rsidR="00223A77" w:rsidRPr="000A1C8E" w:rsidRDefault="00223A77" w:rsidP="00E7500D">
      <w:pPr>
        <w:pStyle w:val="FootnoteBulletLevel2"/>
        <w:numPr>
          <w:ilvl w:val="0"/>
          <w:numId w:val="5"/>
        </w:numPr>
        <w:spacing w:before="0" w:after="60"/>
        <w:ind w:left="1440"/>
        <w:rPr>
          <w:rFonts w:ascii="Tahoma" w:hAnsi="Tahoma" w:cs="Tahoma"/>
        </w:rPr>
      </w:pPr>
      <w:r w:rsidRPr="000A1C8E">
        <w:rPr>
          <w:rFonts w:ascii="Tahoma" w:hAnsi="Tahoma" w:cs="Tahoma"/>
          <w:sz w:val="18"/>
        </w:rPr>
        <w:t>Visual Studio Test Professional com MSDN</w:t>
      </w:r>
    </w:p>
    <w:p w:rsidR="00223A77" w:rsidRPr="000A1C8E" w:rsidRDefault="00223A77" w:rsidP="00E7500D">
      <w:pPr>
        <w:pStyle w:val="FootnoteBulletLevel2"/>
        <w:numPr>
          <w:ilvl w:val="0"/>
          <w:numId w:val="5"/>
        </w:numPr>
        <w:spacing w:before="0" w:after="60"/>
        <w:ind w:left="1440"/>
        <w:rPr>
          <w:rFonts w:ascii="Tahoma" w:hAnsi="Tahoma" w:cs="Tahoma"/>
        </w:rPr>
      </w:pPr>
      <w:r w:rsidRPr="000A1C8E">
        <w:rPr>
          <w:rFonts w:ascii="Tahoma" w:hAnsi="Tahoma" w:cs="Tahoma"/>
          <w:sz w:val="18"/>
        </w:rPr>
        <w:t>Clientes com uma assinatura de varejo ativa para qualquer um dos softwares acima</w:t>
      </w:r>
    </w:p>
    <w:p w:rsidR="00223A77" w:rsidRPr="000A1C8E" w:rsidRDefault="00223A77" w:rsidP="00E7500D">
      <w:pPr>
        <w:pStyle w:val="FootnoteBulletLevel1"/>
        <w:spacing w:before="0" w:after="0"/>
        <w:ind w:firstLine="0"/>
        <w:rPr>
          <w:rFonts w:ascii="Tahoma" w:hAnsi="Tahoma" w:cs="Tahoma"/>
        </w:rPr>
      </w:pPr>
    </w:p>
    <w:p w:rsidR="00E7500D" w:rsidRPr="000A1C8E" w:rsidRDefault="00223A77" w:rsidP="00E7500D">
      <w:pPr>
        <w:pStyle w:val="FootnoteBulletLevel2"/>
        <w:tabs>
          <w:tab w:val="clear" w:pos="1260"/>
        </w:tabs>
        <w:spacing w:before="0"/>
        <w:ind w:left="720" w:firstLine="0"/>
        <w:rPr>
          <w:rFonts w:ascii="Tahoma" w:hAnsi="Tahoma" w:cs="Tahoma"/>
        </w:rPr>
      </w:pPr>
      <w:r w:rsidRPr="000A1C8E">
        <w:rPr>
          <w:rFonts w:ascii="Tahoma" w:hAnsi="Tahoma" w:cs="Tahoma"/>
          <w:sz w:val="18"/>
        </w:rPr>
        <w:t xml:space="preserve">Os clientes do Enterprise, Select ou Open Value com cobertura do Software Assurance ativa para o Visual Studio Test Professional 2012 com MSDN também podem fazer step-up para o Visual Studio Premium 2012 com MSDN por meio da aquisição de </w:t>
      </w:r>
      <w:hyperlink w:anchor="Step_Up" w:history="1">
        <w:r w:rsidRPr="000A1C8E">
          <w:rPr>
            <w:rFonts w:ascii="Tahoma" w:hAnsi="Tahoma" w:cs="Tahoma"/>
            <w:sz w:val="18"/>
          </w:rPr>
          <w:t>SKUs de Step-up apropriadas</w:t>
        </w:r>
      </w:hyperlink>
    </w:p>
    <w:p w:rsidR="00101859" w:rsidRPr="000A1C8E" w:rsidRDefault="00101859">
      <w:pPr>
        <w:rPr>
          <w:rFonts w:cs="Tahoma"/>
        </w:rPr>
      </w:pPr>
    </w:p>
    <w:p w:rsidR="005C11D1" w:rsidRPr="000A1C8E" w:rsidRDefault="009B2474" w:rsidP="00864B8A">
      <w:pPr>
        <w:spacing w:after="60"/>
        <w:ind w:left="720"/>
        <w:rPr>
          <w:rFonts w:cs="Tahoma"/>
        </w:rPr>
      </w:pPr>
      <w:r w:rsidRPr="000A1C8E">
        <w:rPr>
          <w:rFonts w:cs="Tahoma"/>
          <w:b/>
        </w:rPr>
        <w:t>Serviços de Assinatura</w:t>
      </w:r>
    </w:p>
    <w:p w:rsidR="001051D1" w:rsidRPr="000A1C8E" w:rsidRDefault="005C11D1" w:rsidP="000369DF">
      <w:pPr>
        <w:ind w:left="720"/>
        <w:rPr>
          <w:rFonts w:cs="Tahoma"/>
        </w:rPr>
      </w:pPr>
      <w:r w:rsidRPr="000A1C8E">
        <w:rPr>
          <w:rFonts w:cs="Tahoma"/>
        </w:rPr>
        <w:t>Os serviços de assinatura MSDN, que podem incluir downloads, chaves de produto, benefícios do Windows</w:t>
      </w:r>
      <w:r w:rsidR="000369DF" w:rsidRPr="000A1C8E">
        <w:rPr>
          <w:rFonts w:cs="Tahoma"/>
        </w:rPr>
        <w:t> </w:t>
      </w:r>
      <w:r w:rsidRPr="000A1C8E">
        <w:rPr>
          <w:rFonts w:cs="Tahoma"/>
        </w:rPr>
        <w:t>Azure, benefícios do Office 365 Developer, e-learning, suporte técnico, benefícios do Windows</w:t>
      </w:r>
      <w:r w:rsidR="000369DF" w:rsidRPr="000A1C8E">
        <w:rPr>
          <w:rFonts w:cs="Tahoma"/>
        </w:rPr>
        <w:t> </w:t>
      </w:r>
      <w:r w:rsidRPr="000A1C8E">
        <w:rPr>
          <w:rFonts w:cs="Tahoma"/>
        </w:rPr>
        <w:t>Store e outros serviços, só estarão disponíveis enquanto a assinatura estiver ativa.</w:t>
      </w:r>
      <w:bookmarkStart w:id="1097" w:name="_14_Operating_System"/>
      <w:bookmarkEnd w:id="1097"/>
    </w:p>
    <w:p w:rsidR="00265AC3" w:rsidRPr="000A1C8E" w:rsidRDefault="00265AC3" w:rsidP="00E7500D">
      <w:pPr>
        <w:ind w:left="720"/>
        <w:rPr>
          <w:rFonts w:cs="Tahoma"/>
        </w:rPr>
      </w:pPr>
    </w:p>
    <w:p w:rsidR="00E36EF1" w:rsidRPr="000A1C8E" w:rsidRDefault="00E36EF1" w:rsidP="00E36EF1">
      <w:pPr>
        <w:spacing w:after="60"/>
        <w:ind w:left="720"/>
        <w:rPr>
          <w:rFonts w:cs="Tahoma"/>
        </w:rPr>
      </w:pPr>
      <w:r w:rsidRPr="000A1C8E">
        <w:rPr>
          <w:rFonts w:cs="Tahoma"/>
          <w:b/>
        </w:rPr>
        <w:t>Termos de Licença Adicionais para MSDN Subscriptions</w:t>
      </w:r>
    </w:p>
    <w:p w:rsidR="00E36EF1" w:rsidRPr="000A1C8E" w:rsidRDefault="00E36EF1" w:rsidP="00E36EF1">
      <w:pPr>
        <w:pStyle w:val="PURBlueStrong-Indented"/>
        <w:ind w:left="990"/>
        <w:rPr>
          <w:rFonts w:ascii="Tahoma" w:hAnsi="Tahoma" w:cs="Tahoma"/>
        </w:rPr>
      </w:pPr>
      <w:r w:rsidRPr="000A1C8E">
        <w:rPr>
          <w:rFonts w:ascii="Tahoma" w:hAnsi="Tahoma" w:cs="Tahoma"/>
          <w:smallCaps w:val="0"/>
          <w:color w:val="auto"/>
          <w:sz w:val="18"/>
          <w:szCs w:val="18"/>
        </w:rPr>
        <w:t>Executando o Software em Servidores Compartilhados por Terceiros</w:t>
      </w:r>
    </w:p>
    <w:p w:rsidR="00E36EF1" w:rsidRPr="000A1C8E" w:rsidRDefault="00E36EF1" w:rsidP="003D3933">
      <w:pPr>
        <w:pStyle w:val="PURBody-Indented"/>
        <w:numPr>
          <w:ilvl w:val="0"/>
          <w:numId w:val="139"/>
        </w:numPr>
        <w:spacing w:after="0"/>
        <w:ind w:left="1440" w:hanging="270"/>
        <w:rPr>
          <w:rFonts w:ascii="Tahoma" w:hAnsi="Tahoma" w:cs="Tahoma"/>
        </w:rPr>
      </w:pPr>
      <w:r w:rsidRPr="000A1C8E">
        <w:rPr>
          <w:rFonts w:ascii="Tahoma" w:hAnsi="Tahoma" w:cs="Tahoma"/>
          <w:sz w:val="18"/>
          <w:szCs w:val="18"/>
        </w:rPr>
        <w:t>O Usuário Licenciado poderá executar o software em servidores compartilhados por terceiros com Parceiros de Nuvem do MSDN Qualificados.</w:t>
      </w:r>
    </w:p>
    <w:p w:rsidR="00E36EF1" w:rsidRPr="000A1C8E" w:rsidRDefault="00E36EF1" w:rsidP="003D3933">
      <w:pPr>
        <w:pStyle w:val="PURBody-Indented"/>
        <w:numPr>
          <w:ilvl w:val="0"/>
          <w:numId w:val="139"/>
        </w:numPr>
        <w:spacing w:after="0"/>
        <w:ind w:left="1440" w:hanging="270"/>
        <w:rPr>
          <w:rFonts w:ascii="Tahoma" w:hAnsi="Tahoma" w:cs="Tahoma"/>
        </w:rPr>
      </w:pPr>
      <w:r w:rsidRPr="000A1C8E">
        <w:rPr>
          <w:rFonts w:ascii="Tahoma" w:hAnsi="Tahoma" w:cs="Tahoma"/>
          <w:sz w:val="18"/>
          <w:szCs w:val="18"/>
        </w:rPr>
        <w:t>O uso do software permanece sujeito aos termos e às condições do seu contrato de licença.</w:t>
      </w:r>
    </w:p>
    <w:p w:rsidR="00E36EF1" w:rsidRPr="000A1C8E" w:rsidRDefault="00E36EF1" w:rsidP="003D3933">
      <w:pPr>
        <w:pStyle w:val="PURBullet-Indented"/>
        <w:numPr>
          <w:ilvl w:val="0"/>
          <w:numId w:val="139"/>
        </w:numPr>
        <w:spacing w:after="0"/>
        <w:ind w:left="1440" w:hanging="270"/>
        <w:rPr>
          <w:rFonts w:ascii="Tahoma" w:hAnsi="Tahoma" w:cs="Tahoma"/>
        </w:rPr>
      </w:pPr>
      <w:r w:rsidRPr="000A1C8E">
        <w:rPr>
          <w:rFonts w:ascii="Tahoma" w:hAnsi="Tahoma" w:cs="Tahoma"/>
          <w:sz w:val="18"/>
          <w:szCs w:val="18"/>
        </w:rPr>
        <w:t>Exceto conforme definido aqui, a seção Ferramentas para Desenvolvedor destes Direitos de Uso do Produto se aplica ao uso do software.</w:t>
      </w:r>
    </w:p>
    <w:p w:rsidR="00E36EF1" w:rsidRPr="000A1C8E" w:rsidRDefault="00E36EF1" w:rsidP="003D3933">
      <w:pPr>
        <w:pStyle w:val="PURBullet-Indented"/>
        <w:numPr>
          <w:ilvl w:val="0"/>
          <w:numId w:val="139"/>
        </w:numPr>
        <w:spacing w:after="0"/>
        <w:ind w:left="1440" w:hanging="270"/>
        <w:rPr>
          <w:rFonts w:ascii="Tahoma" w:hAnsi="Tahoma" w:cs="Tahoma"/>
        </w:rPr>
      </w:pPr>
      <w:r w:rsidRPr="000A1C8E">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rsidR="00E36EF1" w:rsidRPr="000A1C8E" w:rsidRDefault="00E36EF1" w:rsidP="003D3933">
      <w:pPr>
        <w:pStyle w:val="PURBullet-Indented"/>
        <w:numPr>
          <w:ilvl w:val="0"/>
          <w:numId w:val="139"/>
        </w:numPr>
        <w:spacing w:after="0"/>
        <w:ind w:left="1440" w:hanging="270"/>
        <w:rPr>
          <w:rFonts w:ascii="Tahoma" w:hAnsi="Tahoma" w:cs="Tahoma"/>
        </w:rPr>
      </w:pPr>
      <w:r w:rsidRPr="000A1C8E">
        <w:rPr>
          <w:rFonts w:ascii="Tahoma" w:hAnsi="Tahoma" w:cs="Tahoma"/>
          <w:sz w:val="18"/>
          <w:szCs w:val="18"/>
        </w:rPr>
        <w:t>O direito de executar o software em servidores de terceiros compartilhados expira no término da sua assinatura do MSDN.</w:t>
      </w:r>
    </w:p>
    <w:p w:rsidR="00E36EF1" w:rsidRPr="000A1C8E" w:rsidRDefault="00E36EF1" w:rsidP="00E36EF1">
      <w:pPr>
        <w:pStyle w:val="PURBullet-Indented"/>
        <w:spacing w:after="0"/>
        <w:ind w:left="0" w:firstLine="0"/>
        <w:rPr>
          <w:rFonts w:ascii="Tahoma" w:hAnsi="Tahoma" w:cs="Tahoma"/>
        </w:rPr>
      </w:pPr>
    </w:p>
    <w:p w:rsidR="00E36EF1" w:rsidRPr="000A1C8E" w:rsidRDefault="00E36EF1" w:rsidP="00E36EF1">
      <w:pPr>
        <w:keepNext/>
        <w:spacing w:after="60"/>
        <w:ind w:left="994"/>
        <w:rPr>
          <w:rFonts w:cs="Tahoma"/>
        </w:rPr>
      </w:pPr>
      <w:r w:rsidRPr="000A1C8E">
        <w:rPr>
          <w:rFonts w:cs="Tahoma"/>
          <w:b/>
          <w:szCs w:val="18"/>
        </w:rPr>
        <w:t>Parceiros de Nuvem do MSDN Qualificados</w:t>
      </w:r>
    </w:p>
    <w:p w:rsidR="00E36EF1" w:rsidRPr="000A1C8E" w:rsidRDefault="00E36EF1" w:rsidP="00E36EF1">
      <w:pPr>
        <w:pStyle w:val="PURBody-Indented"/>
        <w:spacing w:after="60"/>
        <w:ind w:left="990"/>
        <w:rPr>
          <w:rFonts w:ascii="Tahoma" w:hAnsi="Tahoma" w:cs="Tahoma"/>
        </w:rPr>
      </w:pPr>
      <w:r w:rsidRPr="000A1C8E">
        <w:rPr>
          <w:rFonts w:ascii="Tahoma" w:hAnsi="Tahoma" w:cs="Tahoma"/>
          <w:sz w:val="18"/>
          <w:szCs w:val="18"/>
        </w:rPr>
        <w:t xml:space="preserve">Para executar o software em servidores compartilhados por terceiros, você deve: </w:t>
      </w:r>
    </w:p>
    <w:p w:rsidR="00E36EF1" w:rsidRPr="000A1C8E" w:rsidRDefault="00E36EF1" w:rsidP="003D3933">
      <w:pPr>
        <w:pStyle w:val="PURBody-Indented"/>
        <w:numPr>
          <w:ilvl w:val="0"/>
          <w:numId w:val="140"/>
        </w:numPr>
        <w:spacing w:after="0"/>
        <w:ind w:left="1440" w:hanging="270"/>
        <w:rPr>
          <w:rFonts w:ascii="Tahoma" w:hAnsi="Tahoma" w:cs="Tahoma"/>
        </w:rPr>
      </w:pPr>
      <w:r w:rsidRPr="000A1C8E">
        <w:rPr>
          <w:rFonts w:ascii="Tahoma" w:hAnsi="Tahoma" w:cs="Tahoma"/>
          <w:sz w:val="18"/>
          <w:szCs w:val="18"/>
        </w:rPr>
        <w:t>Ativar a assinatura do MSDN, vinculando sua conta da Microsoft à assinatura do MSDN.</w:t>
      </w:r>
    </w:p>
    <w:p w:rsidR="00E36EF1" w:rsidRPr="000A1C8E" w:rsidRDefault="00E36EF1" w:rsidP="003D3933">
      <w:pPr>
        <w:pStyle w:val="PURBody-Indented"/>
        <w:numPr>
          <w:ilvl w:val="0"/>
          <w:numId w:val="140"/>
        </w:numPr>
        <w:spacing w:after="0"/>
        <w:ind w:left="1440" w:hanging="270"/>
        <w:rPr>
          <w:rFonts w:ascii="Tahoma" w:hAnsi="Tahoma" w:cs="Tahoma"/>
        </w:rPr>
      </w:pPr>
      <w:r w:rsidRPr="000A1C8E">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3" w:history="1">
        <w:r w:rsidRPr="000A1C8E">
          <w:rPr>
            <w:rStyle w:val="Hyperlink"/>
            <w:rFonts w:ascii="Tahoma" w:hAnsi="Tahoma" w:cs="Tahoma"/>
            <w:sz w:val="18"/>
            <w:szCs w:val="18"/>
          </w:rPr>
          <w:t>http://go.microsoft.com/fwlink/?LinkId=294716</w:t>
        </w:r>
      </w:hyperlink>
      <w:r w:rsidRPr="000A1C8E">
        <w:rPr>
          <w:rFonts w:ascii="Tahoma" w:hAnsi="Tahoma" w:cs="Tahoma"/>
          <w:color w:val="3B3838"/>
          <w:sz w:val="18"/>
          <w:szCs w:val="18"/>
        </w:rPr>
        <w:t xml:space="preserve"> </w:t>
      </w:r>
    </w:p>
    <w:p w:rsidR="00E36EF1" w:rsidRPr="000A1C8E" w:rsidRDefault="00E36EF1" w:rsidP="003D3933">
      <w:pPr>
        <w:pStyle w:val="PURBullet-Indented"/>
        <w:numPr>
          <w:ilvl w:val="0"/>
          <w:numId w:val="140"/>
        </w:numPr>
        <w:spacing w:after="0"/>
        <w:ind w:left="1440" w:hanging="270"/>
        <w:rPr>
          <w:rFonts w:ascii="Tahoma" w:hAnsi="Tahoma" w:cs="Tahoma"/>
        </w:rPr>
      </w:pPr>
      <w:r w:rsidRPr="000A1C8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rsidR="00265AC3" w:rsidRPr="000A1C8E" w:rsidRDefault="00265AC3" w:rsidP="00E7500D">
      <w:pPr>
        <w:ind w:left="720"/>
        <w:rPr>
          <w:rFonts w:cs="Tahoma"/>
        </w:rPr>
      </w:pPr>
    </w:p>
    <w:p w:rsidR="00E03856" w:rsidRPr="000A1C8E" w:rsidRDefault="001051D1">
      <w:pPr>
        <w:rPr>
          <w:rFonts w:cs="Tahoma"/>
        </w:rPr>
      </w:pPr>
      <w:r w:rsidRPr="000A1C8E">
        <w:rPr>
          <w:rFonts w:cs="Tahoma"/>
        </w:rPr>
        <w:lastRenderedPageBreak/>
        <w:br w:type="page"/>
      </w:r>
      <w:bookmarkStart w:id="1098" w:name="_Toc336338280"/>
    </w:p>
    <w:p w:rsidR="00023FE7" w:rsidRPr="000A1C8E" w:rsidRDefault="00023FE7" w:rsidP="002E57CF">
      <w:pPr>
        <w:pStyle w:val="Heading2"/>
        <w:ind w:left="0"/>
        <w:rPr>
          <w:rFonts w:ascii="Tahoma" w:hAnsi="Tahoma" w:cs="Tahoma"/>
        </w:rPr>
      </w:pPr>
      <w:bookmarkStart w:id="1099" w:name="_Toc361829366"/>
      <w:r w:rsidRPr="000A1C8E">
        <w:rPr>
          <w:rFonts w:ascii="Tahoma" w:hAnsi="Tahoma" w:cs="Tahoma"/>
          <w:sz w:val="28"/>
        </w:rPr>
        <w:lastRenderedPageBreak/>
        <w:t>Pool de Sistemas</w:t>
      </w:r>
      <w:bookmarkEnd w:id="1098"/>
      <w:bookmarkEnd w:id="1099"/>
    </w:p>
    <w:p w:rsidR="00023FE7" w:rsidRPr="000A1C8E" w:rsidRDefault="00023FE7">
      <w:pPr>
        <w:rPr>
          <w:rFonts w:cs="Tahoma"/>
        </w:rPr>
      </w:pPr>
    </w:p>
    <w:p w:rsidR="009C2B6B" w:rsidRPr="000A1C8E" w:rsidRDefault="009C2B6B">
      <w:pPr>
        <w:rPr>
          <w:rFonts w:cs="Tahoma"/>
        </w:rPr>
      </w:pPr>
    </w:p>
    <w:p w:rsidR="00E14FF2" w:rsidRPr="000A1C8E" w:rsidRDefault="00A560B6" w:rsidP="00A53269">
      <w:pPr>
        <w:pStyle w:val="Heading3"/>
        <w:rPr>
          <w:rFonts w:ascii="Tahoma" w:hAnsi="Tahoma" w:cs="Tahoma"/>
        </w:rPr>
      </w:pPr>
      <w:bookmarkStart w:id="1100" w:name="_24_Microsoft_Desktop"/>
      <w:bookmarkStart w:id="1101" w:name="_25_Microsoft_Desktop"/>
      <w:bookmarkStart w:id="1102" w:name="_Toc336338283"/>
      <w:bookmarkStart w:id="1103" w:name="_Toc361829367"/>
      <w:bookmarkStart w:id="1104" w:name="Sys_21MDOPforSA"/>
      <w:bookmarkStart w:id="1105" w:name="Sys_25MDOPforSA"/>
      <w:bookmarkEnd w:id="1100"/>
      <w:bookmarkEnd w:id="1101"/>
      <w:r w:rsidRPr="000A1C8E">
        <w:rPr>
          <w:rFonts w:ascii="Tahoma" w:hAnsi="Tahoma" w:cs="Tahoma"/>
          <w:caps/>
          <w:color w:val="F66400"/>
          <w:sz w:val="22"/>
          <w:vertAlign w:val="superscript"/>
        </w:rPr>
        <w:t>25</w:t>
      </w:r>
      <w:r w:rsidRPr="000A1C8E">
        <w:rPr>
          <w:rFonts w:ascii="Tahoma" w:hAnsi="Tahoma" w:cs="Tahoma"/>
          <w:color w:val="F66400"/>
          <w:sz w:val="22"/>
        </w:rPr>
        <w:t xml:space="preserve"> Microsoft Desktop Optimization Pack para Software Assurance</w:t>
      </w:r>
      <w:bookmarkEnd w:id="1102"/>
      <w:bookmarkEnd w:id="1103"/>
    </w:p>
    <w:bookmarkEnd w:id="1104"/>
    <w:p w:rsidR="007A73DF" w:rsidRPr="000A1C8E" w:rsidRDefault="007A73DF" w:rsidP="00483B3D">
      <w:pPr>
        <w:rPr>
          <w:rFonts w:cs="Tahoma"/>
        </w:rPr>
      </w:pPr>
    </w:p>
    <w:p w:rsidR="00475147" w:rsidRPr="000A1C8E" w:rsidRDefault="0037362E" w:rsidP="00483B3D">
      <w:pPr>
        <w:ind w:left="720"/>
        <w:rPr>
          <w:rFonts w:cs="Tahoma"/>
        </w:rPr>
      </w:pPr>
      <w:r w:rsidRPr="000A1C8E">
        <w:rPr>
          <w:rFonts w:eastAsia="Calibri" w:cs="Tahoma"/>
          <w:color w:val="000000"/>
          <w:szCs w:val="18"/>
        </w:rPr>
        <w:t>Os Clientes que desejam adquirir o Microsoft Desktop Optimization Pack for Software Assurance (MDOP) devem primeiro adquirir e atribuir a seu desktop um dos seguintes:</w:t>
      </w:r>
    </w:p>
    <w:p w:rsidR="00676723" w:rsidRPr="000A1C8E" w:rsidRDefault="00676723" w:rsidP="00483B3D">
      <w:pPr>
        <w:ind w:left="720"/>
        <w:rPr>
          <w:rFonts w:cs="Tahoma"/>
        </w:rPr>
      </w:pPr>
    </w:p>
    <w:p w:rsidR="00475147" w:rsidRPr="000A1C8E" w:rsidRDefault="00475147" w:rsidP="00346F4B">
      <w:pPr>
        <w:numPr>
          <w:ilvl w:val="0"/>
          <w:numId w:val="49"/>
        </w:numPr>
        <w:tabs>
          <w:tab w:val="left" w:pos="1440"/>
        </w:tabs>
        <w:ind w:left="1440" w:hanging="446"/>
        <w:rPr>
          <w:rFonts w:cs="Tahoma"/>
        </w:rPr>
      </w:pPr>
      <w:r w:rsidRPr="000A1C8E">
        <w:rPr>
          <w:rFonts w:eastAsia="Calibri" w:cs="Tahoma"/>
          <w:color w:val="000000"/>
          <w:szCs w:val="18"/>
        </w:rPr>
        <w:t>Software Assurance ativo para o Sistema Operacional Windows Desktop ou</w:t>
      </w:r>
    </w:p>
    <w:p w:rsidR="00475147" w:rsidRPr="000A1C8E" w:rsidRDefault="00475147" w:rsidP="00F40C90">
      <w:pPr>
        <w:numPr>
          <w:ilvl w:val="0"/>
          <w:numId w:val="49"/>
        </w:numPr>
        <w:tabs>
          <w:tab w:val="left" w:pos="1440"/>
        </w:tabs>
        <w:ind w:left="1440" w:hanging="446"/>
        <w:rPr>
          <w:rFonts w:cs="Tahoma"/>
        </w:rPr>
      </w:pPr>
      <w:r w:rsidRPr="000A1C8E">
        <w:rPr>
          <w:rFonts w:eastAsia="Calibri" w:cs="Tahoma"/>
          <w:color w:val="000000"/>
          <w:szCs w:val="18"/>
        </w:rPr>
        <w:t>Uma licença do Windows Virtual Desktop Access ou</w:t>
      </w:r>
    </w:p>
    <w:p w:rsidR="00475147" w:rsidRPr="000A1C8E" w:rsidRDefault="00475147" w:rsidP="00346F4B">
      <w:pPr>
        <w:numPr>
          <w:ilvl w:val="0"/>
          <w:numId w:val="49"/>
        </w:numPr>
        <w:tabs>
          <w:tab w:val="left" w:pos="1440"/>
        </w:tabs>
        <w:ind w:left="1440" w:hanging="446"/>
        <w:rPr>
          <w:rFonts w:cs="Tahoma"/>
        </w:rPr>
      </w:pPr>
      <w:r w:rsidRPr="000A1C8E">
        <w:rPr>
          <w:rFonts w:eastAsia="Calibri" w:cs="Tahoma"/>
          <w:color w:val="000000"/>
          <w:szCs w:val="18"/>
        </w:rPr>
        <w:t xml:space="preserve">Uma assinatura ativa para Windows Intune </w:t>
      </w:r>
      <w:r w:rsidRPr="000A1C8E">
        <w:rPr>
          <w:rFonts w:cs="Tahoma"/>
          <w:szCs w:val="18"/>
        </w:rPr>
        <w:t>(Por Dispositivo)</w:t>
      </w:r>
      <w:r w:rsidRPr="000A1C8E">
        <w:rPr>
          <w:rFonts w:eastAsia="Calibri" w:cs="Tahoma"/>
          <w:color w:val="000000"/>
          <w:szCs w:val="18"/>
        </w:rPr>
        <w:t>.</w:t>
      </w:r>
    </w:p>
    <w:p w:rsidR="00475147" w:rsidRPr="000A1C8E" w:rsidRDefault="00475147" w:rsidP="00483B3D">
      <w:pPr>
        <w:spacing w:before="120"/>
        <w:ind w:left="720"/>
        <w:rPr>
          <w:rFonts w:cs="Tahoma"/>
        </w:rPr>
      </w:pPr>
      <w:r w:rsidRPr="000A1C8E">
        <w:rPr>
          <w:rFonts w:eastAsia="Calibri" w:cs="Tahoma"/>
          <w:color w:val="000000"/>
          <w:szCs w:val="18"/>
        </w:rPr>
        <w:t>Dispositivos cobertos pela Licença de Assinatura do Companion ativa também são permitidos.</w:t>
      </w:r>
    </w:p>
    <w:p w:rsidR="007A73DF" w:rsidRPr="000A1C8E" w:rsidRDefault="007A73DF" w:rsidP="00483B3D">
      <w:pPr>
        <w:ind w:left="720"/>
        <w:rPr>
          <w:rFonts w:cs="Tahoma"/>
        </w:rPr>
      </w:pPr>
    </w:p>
    <w:p w:rsidR="00F7027D" w:rsidRPr="000A1C8E" w:rsidRDefault="00F7027D" w:rsidP="00483B3D">
      <w:pPr>
        <w:ind w:left="720"/>
        <w:rPr>
          <w:rFonts w:cs="Tahoma"/>
        </w:rPr>
      </w:pPr>
      <w:r w:rsidRPr="000A1C8E">
        <w:rPr>
          <w:rFonts w:eastAsia="Calibri" w:cs="Tahoma"/>
          <w:color w:val="000000"/>
          <w:szCs w:val="18"/>
        </w:rPr>
        <w:t>Os clientes de Licenciamento por Volume com licenças ativas para o MDOP receberão os seguintes softwares (conforme forem disponibilizados).</w:t>
      </w:r>
    </w:p>
    <w:p w:rsidR="007A73DF" w:rsidRPr="000A1C8E" w:rsidRDefault="007A73DF" w:rsidP="00483B3D">
      <w:pPr>
        <w:ind w:left="720"/>
        <w:rPr>
          <w:rFonts w:cs="Tahoma"/>
        </w:rPr>
      </w:pPr>
    </w:p>
    <w:p w:rsidR="00E52A26" w:rsidRPr="000A1C8E" w:rsidRDefault="00E52A26" w:rsidP="00346F4B">
      <w:pPr>
        <w:numPr>
          <w:ilvl w:val="0"/>
          <w:numId w:val="49"/>
        </w:numPr>
        <w:tabs>
          <w:tab w:val="left" w:pos="1440"/>
        </w:tabs>
        <w:spacing w:after="60"/>
        <w:ind w:left="1440" w:hanging="446"/>
        <w:rPr>
          <w:rFonts w:cs="Tahoma"/>
        </w:rPr>
      </w:pPr>
      <w:r w:rsidRPr="000A1C8E">
        <w:rPr>
          <w:rFonts w:eastAsia="Calibri" w:cs="Tahoma"/>
          <w:color w:val="000000"/>
          <w:szCs w:val="18"/>
        </w:rPr>
        <w:t>Microsoft Application Virtualization para Windows Desktops (App-V)</w:t>
      </w:r>
    </w:p>
    <w:p w:rsidR="00E52A26" w:rsidRPr="000A1C8E" w:rsidRDefault="00E52A26" w:rsidP="00346F4B">
      <w:pPr>
        <w:numPr>
          <w:ilvl w:val="0"/>
          <w:numId w:val="49"/>
        </w:numPr>
        <w:tabs>
          <w:tab w:val="left" w:pos="1440"/>
        </w:tabs>
        <w:spacing w:after="60"/>
        <w:ind w:left="1440" w:hanging="446"/>
        <w:rPr>
          <w:rFonts w:cs="Tahoma"/>
        </w:rPr>
      </w:pPr>
      <w:r w:rsidRPr="000A1C8E">
        <w:rPr>
          <w:rFonts w:eastAsia="Calibri" w:cs="Tahoma"/>
          <w:color w:val="000000"/>
          <w:szCs w:val="18"/>
        </w:rPr>
        <w:t>Gerenciamento da Política do Grupo Avançado da Microsoft (AGPM)</w:t>
      </w:r>
    </w:p>
    <w:p w:rsidR="00E52A26" w:rsidRPr="000A1C8E" w:rsidRDefault="00E52A26" w:rsidP="00346F4B">
      <w:pPr>
        <w:numPr>
          <w:ilvl w:val="0"/>
          <w:numId w:val="49"/>
        </w:numPr>
        <w:tabs>
          <w:tab w:val="left" w:pos="1440"/>
        </w:tabs>
        <w:spacing w:after="60"/>
        <w:ind w:left="1440" w:hanging="446"/>
        <w:rPr>
          <w:rFonts w:cs="Tahoma"/>
        </w:rPr>
      </w:pPr>
      <w:r w:rsidRPr="000A1C8E">
        <w:rPr>
          <w:rFonts w:eastAsia="Calibri" w:cs="Tahoma"/>
          <w:color w:val="000000"/>
          <w:szCs w:val="18"/>
        </w:rPr>
        <w:t>Ferramentas de Diagnóstico e Recuperação da Microsoft (DART)</w:t>
      </w:r>
    </w:p>
    <w:p w:rsidR="00E52A26" w:rsidRPr="000A1C8E" w:rsidRDefault="00E52A26" w:rsidP="00346F4B">
      <w:pPr>
        <w:numPr>
          <w:ilvl w:val="0"/>
          <w:numId w:val="49"/>
        </w:numPr>
        <w:tabs>
          <w:tab w:val="left" w:pos="1440"/>
        </w:tabs>
        <w:spacing w:after="60"/>
        <w:ind w:left="1440" w:hanging="446"/>
        <w:rPr>
          <w:rFonts w:cs="Tahoma"/>
        </w:rPr>
      </w:pPr>
      <w:r w:rsidRPr="000A1C8E">
        <w:rPr>
          <w:rFonts w:eastAsia="Calibri" w:cs="Tahoma"/>
          <w:color w:val="000000"/>
          <w:szCs w:val="18"/>
        </w:rPr>
        <w:t>Microsoft Enterprise Desktop Virtualization (MED-V)</w:t>
      </w:r>
    </w:p>
    <w:p w:rsidR="00E52A26" w:rsidRPr="000A1C8E" w:rsidRDefault="00E52A26" w:rsidP="00346F4B">
      <w:pPr>
        <w:numPr>
          <w:ilvl w:val="0"/>
          <w:numId w:val="49"/>
        </w:numPr>
        <w:tabs>
          <w:tab w:val="left" w:pos="1440"/>
        </w:tabs>
        <w:spacing w:after="60"/>
        <w:ind w:left="1440" w:hanging="446"/>
        <w:rPr>
          <w:rFonts w:cs="Tahoma"/>
        </w:rPr>
      </w:pPr>
      <w:r w:rsidRPr="000A1C8E">
        <w:rPr>
          <w:rFonts w:eastAsia="Calibri" w:cs="Tahoma"/>
          <w:color w:val="000000"/>
          <w:szCs w:val="18"/>
        </w:rPr>
        <w:t>Microsoft BitLocker</w:t>
      </w:r>
      <w:r w:rsidR="00C83286" w:rsidRPr="000A1C8E">
        <w:rPr>
          <w:rFonts w:eastAsia="Calibri" w:cs="Tahoma"/>
          <w:color w:val="000000"/>
          <w:szCs w:val="18"/>
          <w:vertAlign w:val="superscript"/>
        </w:rPr>
        <w:t>®</w:t>
      </w:r>
      <w:r w:rsidRPr="000A1C8E">
        <w:rPr>
          <w:rFonts w:eastAsia="Calibri" w:cs="Tahoma"/>
          <w:color w:val="000000"/>
          <w:szCs w:val="18"/>
        </w:rPr>
        <w:t xml:space="preserve"> Administration and Monitoring (MBAM)</w:t>
      </w:r>
    </w:p>
    <w:p w:rsidR="00670296" w:rsidRPr="000A1C8E" w:rsidRDefault="00670296" w:rsidP="00346F4B">
      <w:pPr>
        <w:numPr>
          <w:ilvl w:val="0"/>
          <w:numId w:val="49"/>
        </w:numPr>
        <w:tabs>
          <w:tab w:val="left" w:pos="1440"/>
        </w:tabs>
        <w:spacing w:after="60"/>
        <w:ind w:left="1440" w:hanging="446"/>
        <w:rPr>
          <w:rFonts w:cs="Tahoma"/>
        </w:rPr>
      </w:pPr>
      <w:r w:rsidRPr="000A1C8E">
        <w:rPr>
          <w:rFonts w:eastAsia="Calibri" w:cs="Tahoma"/>
          <w:color w:val="000000"/>
          <w:szCs w:val="18"/>
        </w:rPr>
        <w:t>Microsoft User Experience Virtualization (UE-V)</w:t>
      </w:r>
    </w:p>
    <w:p w:rsidR="007A73DF" w:rsidRPr="000A1C8E" w:rsidRDefault="007A73DF" w:rsidP="00483B3D">
      <w:pPr>
        <w:tabs>
          <w:tab w:val="left" w:pos="1440"/>
        </w:tabs>
        <w:ind w:left="994"/>
        <w:rPr>
          <w:rFonts w:cs="Tahoma"/>
        </w:rPr>
      </w:pPr>
    </w:p>
    <w:p w:rsidR="007045C0" w:rsidRPr="000A1C8E" w:rsidRDefault="007045C0" w:rsidP="00483B3D">
      <w:pPr>
        <w:spacing w:after="60"/>
        <w:ind w:left="720"/>
        <w:rPr>
          <w:rFonts w:cs="Tahoma"/>
        </w:rPr>
      </w:pPr>
      <w:r w:rsidRPr="000A1C8E">
        <w:rPr>
          <w:rFonts w:eastAsia="Calibri" w:cs="Tahoma"/>
          <w:b/>
          <w:color w:val="000000"/>
          <w:szCs w:val="18"/>
        </w:rPr>
        <w:t>Licença de Assinatura do Windows Companion (CSL) e MDOP</w:t>
      </w:r>
    </w:p>
    <w:p w:rsidR="007045C0" w:rsidRPr="00F14B68" w:rsidRDefault="007045C0" w:rsidP="00F14B68">
      <w:pPr>
        <w:tabs>
          <w:tab w:val="left" w:pos="1440"/>
        </w:tabs>
        <w:ind w:left="720"/>
        <w:rPr>
          <w:rFonts w:cs="Tahoma"/>
        </w:rPr>
      </w:pPr>
      <w:r w:rsidRPr="00F14B68">
        <w:rPr>
          <w:rFonts w:cs="Tahoma"/>
          <w:color w:val="000000"/>
          <w:szCs w:val="18"/>
        </w:rPr>
        <w:t>Usuários Principais de um dispositivo cobertos com uma licença MDOP ativa e CSL pode acessar a funcionalidade MDOP por meio de seus Companion Devices sem a necessidade de comprar licenças MDOP</w:t>
      </w:r>
      <w:r w:rsidR="00F14B68">
        <w:rPr>
          <w:rFonts w:cs="Tahoma"/>
          <w:color w:val="000000"/>
          <w:szCs w:val="18"/>
        </w:rPr>
        <w:t> </w:t>
      </w:r>
      <w:r w:rsidRPr="00F14B68">
        <w:rPr>
          <w:rFonts w:cs="Tahoma"/>
          <w:color w:val="000000"/>
          <w:szCs w:val="18"/>
        </w:rPr>
        <w:t>adicionais para cada Companion Device.</w:t>
      </w:r>
    </w:p>
    <w:p w:rsidR="007045C0" w:rsidRPr="000A1C8E" w:rsidRDefault="007045C0" w:rsidP="00483B3D">
      <w:pPr>
        <w:tabs>
          <w:tab w:val="left" w:pos="1440"/>
        </w:tabs>
        <w:ind w:left="994"/>
        <w:rPr>
          <w:rFonts w:cs="Tahoma"/>
        </w:rPr>
      </w:pPr>
    </w:p>
    <w:p w:rsidR="0031394C" w:rsidRPr="000A1C8E" w:rsidRDefault="0031394C" w:rsidP="00483B3D">
      <w:pPr>
        <w:spacing w:after="60"/>
        <w:ind w:left="720"/>
        <w:rPr>
          <w:rFonts w:cs="Tahoma"/>
        </w:rPr>
      </w:pPr>
      <w:r w:rsidRPr="000A1C8E">
        <w:rPr>
          <w:rFonts w:eastAsia="Calibri" w:cs="Tahoma"/>
          <w:b/>
          <w:color w:val="000000"/>
          <w:szCs w:val="18"/>
        </w:rPr>
        <w:t>Oferta do Windows Intune (Por Dispositivo) para Clientes do Microsoft Desktop Optimization Pack (MDOP) que Usam o Asset Inventory Service</w:t>
      </w:r>
    </w:p>
    <w:p w:rsidR="00BB0250" w:rsidRPr="000A1C8E" w:rsidRDefault="00BB0250" w:rsidP="00483B3D">
      <w:pPr>
        <w:ind w:left="720"/>
        <w:rPr>
          <w:rFonts w:cs="Tahoma"/>
        </w:rPr>
      </w:pPr>
      <w:r w:rsidRPr="000A1C8E">
        <w:rPr>
          <w:rFonts w:cs="Tahoma"/>
          <w:color w:val="000000"/>
          <w:szCs w:val="18"/>
        </w:rPr>
        <w:t>O Asset Inventory Service (AIS) oferecido como parte do MDOP será descontinuado em 3 de abril de 2013. A partir dessa data, os clientes não terão mais acesso ao serviço.</w:t>
      </w:r>
      <w:r w:rsidR="00DC6D8B" w:rsidRPr="000A1C8E">
        <w:rPr>
          <w:rFonts w:cs="Tahoma"/>
          <w:color w:val="000000"/>
          <w:szCs w:val="18"/>
        </w:rPr>
        <w:t xml:space="preserve"> </w:t>
      </w:r>
      <w:r w:rsidRPr="000A1C8E">
        <w:rPr>
          <w:rFonts w:cs="Tahoma"/>
          <w:color w:val="000000"/>
          <w:szCs w:val="18"/>
        </w:rPr>
        <w:t xml:space="preserve">Os clientes MDOP com contas AIS ativas ativadas no Volume Licensing Service Center (Centro de Atendimento de Licenciamento por Volume) em ou antes de 30 de abril de 2012 terão a opção de mudar para e usar o serviço online Windows Intune </w:t>
      </w:r>
      <w:r w:rsidRPr="000A1C8E">
        <w:rPr>
          <w:rFonts w:cs="Tahoma"/>
          <w:szCs w:val="18"/>
        </w:rPr>
        <w:t>(Por Dispositivo)</w:t>
      </w:r>
      <w:r w:rsidR="00DC6D8B" w:rsidRPr="000A1C8E">
        <w:rPr>
          <w:rFonts w:cs="Tahoma"/>
          <w:szCs w:val="18"/>
        </w:rPr>
        <w:t xml:space="preserve"> </w:t>
      </w:r>
      <w:r w:rsidRPr="000A1C8E">
        <w:rPr>
          <w:rFonts w:cs="Tahoma"/>
          <w:color w:val="000000"/>
        </w:rPr>
        <w:t xml:space="preserve">desde que o </w:t>
      </w:r>
      <w:r w:rsidRPr="000A1C8E">
        <w:rPr>
          <w:rFonts w:cs="Tahoma"/>
          <w:color w:val="000000"/>
          <w:szCs w:val="18"/>
        </w:rPr>
        <w:t xml:space="preserve">Windows Intune </w:t>
      </w:r>
      <w:r w:rsidRPr="000A1C8E">
        <w:rPr>
          <w:rFonts w:cs="Tahoma"/>
          <w:szCs w:val="18"/>
        </w:rPr>
        <w:t xml:space="preserve">(Por Dispositivo) </w:t>
      </w:r>
      <w:r w:rsidRPr="000A1C8E">
        <w:rPr>
          <w:rFonts w:cs="Tahoma"/>
          <w:color w:val="000000"/>
        </w:rPr>
        <w:t>esteja comercialmente disponível no país do cliente.</w:t>
      </w:r>
      <w:r w:rsidR="00DC6D8B" w:rsidRPr="000A1C8E">
        <w:rPr>
          <w:rFonts w:cs="Tahoma"/>
          <w:color w:val="000000"/>
        </w:rPr>
        <w:t xml:space="preserve"> </w:t>
      </w:r>
      <w:r w:rsidRPr="000A1C8E">
        <w:rPr>
          <w:rFonts w:cs="Tahoma"/>
          <w:color w:val="000000"/>
        </w:rPr>
        <w:t xml:space="preserve">Uma lista de países nos quais o Windows Intune </w:t>
      </w:r>
      <w:r w:rsidRPr="000A1C8E">
        <w:rPr>
          <w:rFonts w:cs="Tahoma"/>
          <w:szCs w:val="18"/>
        </w:rPr>
        <w:t xml:space="preserve">(Por Dispositivo) </w:t>
      </w:r>
      <w:r w:rsidRPr="000A1C8E">
        <w:rPr>
          <w:rFonts w:cs="Tahoma"/>
          <w:color w:val="000000"/>
        </w:rPr>
        <w:t xml:space="preserve">está comercialmente disponível pode ser encontrada aqui: </w:t>
      </w:r>
      <w:hyperlink r:id="rId44" w:history="1">
        <w:r w:rsidRPr="000A1C8E">
          <w:rPr>
            <w:rFonts w:cs="Tahoma"/>
            <w:color w:val="0000FF"/>
            <w:u w:val="single"/>
          </w:rPr>
          <w:t>www.microsoft.com/en-us/windows/windowsintune/faq/default.aspx</w:t>
        </w:r>
      </w:hyperlink>
      <w:r w:rsidRPr="00B37689">
        <w:rPr>
          <w:rFonts w:cs="Tahoma"/>
          <w:color w:val="0000FF"/>
        </w:rPr>
        <w:t>.</w:t>
      </w:r>
    </w:p>
    <w:p w:rsidR="007A73DF" w:rsidRPr="000A1C8E" w:rsidRDefault="007A73DF" w:rsidP="00483B3D">
      <w:pPr>
        <w:ind w:left="720"/>
        <w:rPr>
          <w:rFonts w:cs="Tahoma"/>
        </w:rPr>
      </w:pPr>
    </w:p>
    <w:p w:rsidR="007A73DF" w:rsidRPr="000A1C8E" w:rsidRDefault="0031394C" w:rsidP="00483B3D">
      <w:pPr>
        <w:spacing w:after="60"/>
        <w:ind w:left="720"/>
        <w:rPr>
          <w:rFonts w:cs="Tahoma"/>
        </w:rPr>
      </w:pPr>
      <w:r w:rsidRPr="000A1C8E">
        <w:rPr>
          <w:rFonts w:eastAsia="Calibri" w:cs="Tahoma"/>
          <w:b/>
          <w:color w:val="000000"/>
          <w:szCs w:val="18"/>
        </w:rPr>
        <w:t>Detalhes da Oferta</w:t>
      </w:r>
    </w:p>
    <w:p w:rsidR="0031394C" w:rsidRPr="000A1C8E" w:rsidRDefault="0031394C" w:rsidP="00346F4B">
      <w:pPr>
        <w:numPr>
          <w:ilvl w:val="1"/>
          <w:numId w:val="82"/>
        </w:numPr>
        <w:spacing w:after="60"/>
        <w:rPr>
          <w:rFonts w:cs="Tahoma"/>
        </w:rPr>
      </w:pPr>
      <w:r w:rsidRPr="000A1C8E">
        <w:rPr>
          <w:rFonts w:eastAsia="Calibri" w:cs="Tahoma"/>
          <w:color w:val="000000"/>
          <w:szCs w:val="18"/>
        </w:rPr>
        <w:t>Esta oferta pode ser aceita a qualquer momento entre 3 de abril de 2012 e a expiração da assinatura MDOP atual dos clientes.</w:t>
      </w:r>
    </w:p>
    <w:p w:rsidR="0031394C" w:rsidRPr="000A1C8E" w:rsidRDefault="0031394C" w:rsidP="00346F4B">
      <w:pPr>
        <w:numPr>
          <w:ilvl w:val="1"/>
          <w:numId w:val="82"/>
        </w:numPr>
        <w:spacing w:after="60"/>
        <w:rPr>
          <w:rFonts w:cs="Tahoma"/>
        </w:rPr>
      </w:pPr>
      <w:r w:rsidRPr="000A1C8E">
        <w:rPr>
          <w:rFonts w:eastAsia="Calibri" w:cs="Tahoma"/>
          <w:color w:val="000000"/>
          <w:szCs w:val="18"/>
        </w:rPr>
        <w:t xml:space="preserve">Para aceitar a oferta, os clientes devem (1) criar uma conta de avaliação do Windows Intune </w:t>
      </w:r>
      <w:r w:rsidRPr="000A1C8E">
        <w:rPr>
          <w:rFonts w:cs="Tahoma"/>
          <w:szCs w:val="18"/>
        </w:rPr>
        <w:t xml:space="preserve">(Por Dispositivo) </w:t>
      </w:r>
      <w:r w:rsidRPr="000A1C8E">
        <w:rPr>
          <w:rFonts w:eastAsia="Calibri" w:cs="Tahoma"/>
          <w:color w:val="000000"/>
          <w:szCs w:val="18"/>
        </w:rPr>
        <w:t>acessando o site http://www.microsoft.com/en-us/windows/windowsintune/try-and-buy.aspx e, em seguida, (2) enviar o formulário de aceitação da oferta no site http://go.microsoft.com/fwlink/?LinkID=242876.</w:t>
      </w:r>
    </w:p>
    <w:p w:rsidR="0031394C" w:rsidRPr="000A1C8E" w:rsidRDefault="0031394C" w:rsidP="00346F4B">
      <w:pPr>
        <w:numPr>
          <w:ilvl w:val="1"/>
          <w:numId w:val="82"/>
        </w:numPr>
        <w:spacing w:after="60"/>
        <w:rPr>
          <w:rFonts w:cs="Tahoma"/>
        </w:rPr>
      </w:pPr>
      <w:r w:rsidRPr="000A1C8E">
        <w:rPr>
          <w:rFonts w:eastAsia="Calibri" w:cs="Tahoma"/>
          <w:color w:val="000000"/>
          <w:szCs w:val="18"/>
        </w:rPr>
        <w:t xml:space="preserve">O acesso e o uso do Windows Intune </w:t>
      </w:r>
      <w:r w:rsidRPr="000A1C8E">
        <w:rPr>
          <w:rFonts w:cs="Tahoma"/>
          <w:szCs w:val="18"/>
        </w:rPr>
        <w:t xml:space="preserve">(Por Dispositivo) </w:t>
      </w:r>
      <w:r w:rsidRPr="000A1C8E">
        <w:rPr>
          <w:rFonts w:eastAsia="Calibri" w:cs="Tahoma"/>
          <w:color w:val="000000"/>
          <w:szCs w:val="18"/>
        </w:rPr>
        <w:t>concedido por esta oferta expirará no término da assinatura MDOP do cliente.</w:t>
      </w:r>
    </w:p>
    <w:p w:rsidR="0031394C" w:rsidRPr="000A1C8E" w:rsidRDefault="0031394C" w:rsidP="00346F4B">
      <w:pPr>
        <w:numPr>
          <w:ilvl w:val="1"/>
          <w:numId w:val="82"/>
        </w:numPr>
        <w:spacing w:after="60"/>
        <w:rPr>
          <w:rFonts w:cs="Tahoma"/>
        </w:rPr>
      </w:pPr>
      <w:r w:rsidRPr="000A1C8E">
        <w:rPr>
          <w:rFonts w:eastAsia="Calibri" w:cs="Tahoma"/>
          <w:color w:val="000000"/>
          <w:szCs w:val="18"/>
        </w:rPr>
        <w:t>Os termos e as condições dos contratos dos clientes, os Termos Universais de Licença dos Direitos de Uso do Produto e os Termos Gerais de Licença da seção Serviços Online dos Direitos de Uso do Produto regem o uso do serviço.</w:t>
      </w:r>
    </w:p>
    <w:p w:rsidR="000369DF" w:rsidRPr="000A1C8E" w:rsidRDefault="000369DF" w:rsidP="000369DF">
      <w:pPr>
        <w:spacing w:after="60"/>
        <w:ind w:left="1440"/>
        <w:rPr>
          <w:rFonts w:eastAsia="Calibri" w:cs="Tahoma"/>
          <w:color w:val="000000"/>
          <w:szCs w:val="18"/>
        </w:rPr>
      </w:pPr>
    </w:p>
    <w:p w:rsidR="000369DF" w:rsidRPr="000A1C8E" w:rsidRDefault="000369DF" w:rsidP="000369DF">
      <w:pPr>
        <w:spacing w:after="60"/>
        <w:ind w:left="1440"/>
        <w:rPr>
          <w:rFonts w:cs="Tahoma"/>
        </w:rPr>
      </w:pPr>
    </w:p>
    <w:p w:rsidR="0031394C" w:rsidRPr="000A1C8E" w:rsidRDefault="0031394C" w:rsidP="000369DF">
      <w:pPr>
        <w:numPr>
          <w:ilvl w:val="1"/>
          <w:numId w:val="82"/>
        </w:numPr>
        <w:spacing w:after="60"/>
        <w:rPr>
          <w:rFonts w:cs="Tahoma"/>
        </w:rPr>
      </w:pPr>
      <w:r w:rsidRPr="000A1C8E">
        <w:rPr>
          <w:rFonts w:eastAsia="Calibri" w:cs="Tahoma"/>
          <w:color w:val="000000"/>
          <w:szCs w:val="18"/>
        </w:rPr>
        <w:lastRenderedPageBreak/>
        <w:t xml:space="preserve">O número de dispositivos a partir do qual um cliente está qualificado para acessar o Windows Intune </w:t>
      </w:r>
      <w:r w:rsidRPr="000A1C8E">
        <w:rPr>
          <w:rFonts w:cs="Tahoma"/>
          <w:szCs w:val="18"/>
        </w:rPr>
        <w:t>(Por Dispositivo)</w:t>
      </w:r>
      <w:r w:rsidRPr="000A1C8E">
        <w:rPr>
          <w:rFonts w:eastAsia="Calibri" w:cs="Tahoma"/>
          <w:color w:val="000000"/>
          <w:szCs w:val="18"/>
        </w:rPr>
        <w:t xml:space="preserve"> sob esta oferta é igual ao número total de assinatura do AIS do cliente no momento em que o cliente aceita esta oferta do Windows Intune </w:t>
      </w:r>
      <w:r w:rsidRPr="000A1C8E">
        <w:rPr>
          <w:rFonts w:cs="Tahoma"/>
          <w:szCs w:val="18"/>
        </w:rPr>
        <w:t>(Por Dispositivo)</w:t>
      </w:r>
      <w:r w:rsidRPr="000A1C8E">
        <w:rPr>
          <w:rFonts w:eastAsia="Calibri" w:cs="Tahoma"/>
          <w:color w:val="000000"/>
          <w:szCs w:val="18"/>
        </w:rPr>
        <w:t>.</w:t>
      </w:r>
      <w:r w:rsidR="00DC6D8B" w:rsidRPr="000A1C8E">
        <w:rPr>
          <w:rFonts w:eastAsia="Calibri" w:cs="Tahoma"/>
          <w:color w:val="000000"/>
          <w:szCs w:val="18"/>
        </w:rPr>
        <w:t xml:space="preserve"> </w:t>
      </w:r>
      <w:r w:rsidRPr="000A1C8E">
        <w:rPr>
          <w:rFonts w:eastAsia="Calibri" w:cs="Tahoma"/>
          <w:color w:val="000000"/>
          <w:szCs w:val="18"/>
        </w:rPr>
        <w:t>O número de AIS adicionado a uma conta ativa a qualquer momento até o momento em que o cliente aceitar a</w:t>
      </w:r>
      <w:r w:rsidR="000369DF" w:rsidRPr="000A1C8E">
        <w:rPr>
          <w:rFonts w:eastAsia="Calibri" w:cs="Tahoma"/>
          <w:color w:val="000000"/>
          <w:szCs w:val="18"/>
        </w:rPr>
        <w:t> </w:t>
      </w:r>
      <w:r w:rsidRPr="000A1C8E">
        <w:rPr>
          <w:rFonts w:eastAsia="Calibri" w:cs="Tahoma"/>
          <w:color w:val="000000"/>
          <w:szCs w:val="18"/>
        </w:rPr>
        <w:t>oferta do Windows</w:t>
      </w:r>
      <w:r w:rsidR="00C83286" w:rsidRPr="000A1C8E">
        <w:rPr>
          <w:rFonts w:eastAsia="Calibri" w:cs="Tahoma"/>
          <w:color w:val="000000"/>
          <w:szCs w:val="18"/>
          <w:vertAlign w:val="superscript"/>
        </w:rPr>
        <w:t>®</w:t>
      </w:r>
      <w:r w:rsidRPr="000A1C8E">
        <w:rPr>
          <w:rFonts w:eastAsia="Calibri" w:cs="Tahoma"/>
          <w:color w:val="000000"/>
          <w:szCs w:val="18"/>
        </w:rPr>
        <w:t xml:space="preserve"> Intune será incluído na conta.</w:t>
      </w:r>
    </w:p>
    <w:p w:rsidR="0031394C" w:rsidRPr="000A1C8E" w:rsidRDefault="0031394C" w:rsidP="00346F4B">
      <w:pPr>
        <w:numPr>
          <w:ilvl w:val="1"/>
          <w:numId w:val="82"/>
        </w:numPr>
        <w:spacing w:after="60"/>
        <w:rPr>
          <w:rFonts w:cs="Tahoma"/>
        </w:rPr>
      </w:pPr>
      <w:r w:rsidRPr="000A1C8E">
        <w:rPr>
          <w:rFonts w:eastAsia="Calibri" w:cs="Tahoma"/>
          <w:color w:val="000000"/>
          <w:szCs w:val="18"/>
        </w:rPr>
        <w:t xml:space="preserve">O número de MDOP adquirido depois que um cliente aceita esta oferta do Windows Intune </w:t>
      </w:r>
      <w:r w:rsidRPr="000A1C8E">
        <w:rPr>
          <w:rFonts w:cs="Tahoma"/>
          <w:szCs w:val="18"/>
        </w:rPr>
        <w:t>(Por Dispositivo)</w:t>
      </w:r>
      <w:r w:rsidRPr="000A1C8E">
        <w:rPr>
          <w:rFonts w:eastAsia="Calibri" w:cs="Tahoma"/>
          <w:color w:val="000000"/>
          <w:szCs w:val="18"/>
        </w:rPr>
        <w:t xml:space="preserve">, incluindo as licenças adquiridas por meio do processo de adequação (“true-up”) sob seu contrato de licenciamento por volume não será qualificado para acessar o Windows Intune </w:t>
      </w:r>
      <w:r w:rsidRPr="000A1C8E">
        <w:rPr>
          <w:rFonts w:cs="Tahoma"/>
          <w:szCs w:val="18"/>
        </w:rPr>
        <w:t xml:space="preserve">(Por Dispositivo) </w:t>
      </w:r>
      <w:r w:rsidRPr="000A1C8E">
        <w:rPr>
          <w:rFonts w:eastAsia="Calibri" w:cs="Tahoma"/>
          <w:color w:val="000000"/>
          <w:szCs w:val="18"/>
        </w:rPr>
        <w:t xml:space="preserve">sob esta oferta. Se um cliente desejar acessar o Windows Intune </w:t>
      </w:r>
      <w:r w:rsidRPr="000A1C8E">
        <w:rPr>
          <w:rFonts w:cs="Tahoma"/>
          <w:szCs w:val="18"/>
        </w:rPr>
        <w:t>(Por Dispositivo)</w:t>
      </w:r>
      <w:r w:rsidRPr="000A1C8E">
        <w:rPr>
          <w:rFonts w:eastAsia="Calibri" w:cs="Tahoma"/>
          <w:color w:val="000000"/>
          <w:szCs w:val="18"/>
        </w:rPr>
        <w:t xml:space="preserve"> a partir de um número de dispositivos além do número permitido sob esta oferta, eles precisarão adquirir separadamente licenças adicionais.</w:t>
      </w:r>
    </w:p>
    <w:p w:rsidR="005403C8" w:rsidRPr="000A1C8E" w:rsidRDefault="0031394C" w:rsidP="00346F4B">
      <w:pPr>
        <w:numPr>
          <w:ilvl w:val="1"/>
          <w:numId w:val="82"/>
        </w:numPr>
        <w:spacing w:after="60"/>
        <w:rPr>
          <w:rFonts w:cs="Tahoma"/>
        </w:rPr>
      </w:pPr>
      <w:r w:rsidRPr="000A1C8E">
        <w:rPr>
          <w:rFonts w:eastAsia="Calibri" w:cs="Tahoma"/>
          <w:color w:val="000000"/>
          <w:szCs w:val="18"/>
        </w:rPr>
        <w:t xml:space="preserve">Os direitos de acesso ao Windows Intune </w:t>
      </w:r>
      <w:r w:rsidRPr="000A1C8E">
        <w:rPr>
          <w:rFonts w:cs="Tahoma"/>
          <w:szCs w:val="18"/>
        </w:rPr>
        <w:t>(Por Dispositivo)</w:t>
      </w:r>
      <w:r w:rsidRPr="000A1C8E">
        <w:rPr>
          <w:rFonts w:eastAsia="Calibri" w:cs="Tahoma"/>
          <w:color w:val="000000"/>
          <w:szCs w:val="18"/>
        </w:rPr>
        <w:t xml:space="preserve"> sob esta oferta não incluem qualquer direito de usar o sistema operacional do desktop do Windows.</w:t>
      </w:r>
      <w:r w:rsidR="00DC6D8B" w:rsidRPr="000A1C8E">
        <w:rPr>
          <w:rFonts w:eastAsia="Calibri" w:cs="Tahoma"/>
          <w:color w:val="000000"/>
          <w:szCs w:val="18"/>
        </w:rPr>
        <w:t xml:space="preserve"> </w:t>
      </w:r>
      <w:bookmarkStart w:id="1106" w:name="_24_Windows®_Companion"/>
      <w:bookmarkStart w:id="1107" w:name="_24_Windows®_8"/>
      <w:bookmarkStart w:id="1108" w:name="Sys_22WindowsPartnersLearning"/>
      <w:bookmarkEnd w:id="1105"/>
      <w:bookmarkEnd w:id="1106"/>
      <w:bookmarkEnd w:id="1107"/>
    </w:p>
    <w:p w:rsidR="006714D8" w:rsidRPr="000A1C8E" w:rsidRDefault="006714D8" w:rsidP="006714D8">
      <w:pPr>
        <w:spacing w:after="60"/>
        <w:rPr>
          <w:rFonts w:cs="Tahoma"/>
        </w:rPr>
      </w:pPr>
    </w:p>
    <w:p w:rsidR="006714D8" w:rsidRPr="000A1C8E" w:rsidRDefault="006714D8" w:rsidP="006714D8">
      <w:pPr>
        <w:spacing w:after="60"/>
        <w:rPr>
          <w:rFonts w:cs="Tahoma"/>
        </w:rPr>
      </w:pPr>
    </w:p>
    <w:p w:rsidR="006714D8" w:rsidRPr="000A1C8E" w:rsidRDefault="00A560B6" w:rsidP="006D5161">
      <w:pPr>
        <w:pStyle w:val="Heading3"/>
        <w:rPr>
          <w:rFonts w:ascii="Tahoma" w:hAnsi="Tahoma" w:cs="Tahoma"/>
        </w:rPr>
      </w:pPr>
      <w:bookmarkStart w:id="1109" w:name="_25_Windows_Embedded"/>
      <w:bookmarkStart w:id="1110" w:name="_Toc361829368"/>
      <w:bookmarkEnd w:id="1109"/>
      <w:r w:rsidRPr="000A1C8E">
        <w:rPr>
          <w:rFonts w:ascii="Tahoma" w:hAnsi="Tahoma" w:cs="Tahoma"/>
          <w:caps/>
          <w:color w:val="F66400"/>
          <w:sz w:val="22"/>
          <w:vertAlign w:val="superscript"/>
        </w:rPr>
        <w:t xml:space="preserve">26 </w:t>
      </w:r>
      <w:r w:rsidRPr="000A1C8E">
        <w:rPr>
          <w:rFonts w:ascii="Tahoma" w:hAnsi="Tahoma" w:cs="Tahoma"/>
          <w:color w:val="F66400"/>
          <w:sz w:val="22"/>
        </w:rPr>
        <w:t>Windows Embedded 8 Standard Enterprise Kit</w:t>
      </w:r>
      <w:bookmarkEnd w:id="1110"/>
    </w:p>
    <w:p w:rsidR="006714D8" w:rsidRPr="000A1C8E" w:rsidRDefault="006714D8" w:rsidP="006714D8">
      <w:pPr>
        <w:pStyle w:val="FootnoteBulletLevel1"/>
        <w:tabs>
          <w:tab w:val="clear" w:pos="900"/>
        </w:tabs>
        <w:adjustRightInd/>
        <w:spacing w:before="0" w:after="0"/>
        <w:ind w:left="720" w:hanging="7"/>
        <w:textAlignment w:val="auto"/>
        <w:rPr>
          <w:rFonts w:ascii="Tahoma" w:hAnsi="Tahoma" w:cs="Tahoma"/>
        </w:rPr>
      </w:pPr>
    </w:p>
    <w:p w:rsidR="006714D8" w:rsidRPr="000A1C8E" w:rsidRDefault="006714D8" w:rsidP="000369DF">
      <w:pPr>
        <w:pStyle w:val="FootnoteBulletLevel1"/>
        <w:tabs>
          <w:tab w:val="clear" w:pos="900"/>
        </w:tabs>
        <w:adjustRightInd/>
        <w:spacing w:before="0" w:after="0"/>
        <w:ind w:left="720" w:firstLine="0"/>
        <w:textAlignment w:val="auto"/>
        <w:rPr>
          <w:rFonts w:ascii="Tahoma" w:hAnsi="Tahoma" w:cs="Tahoma"/>
        </w:rPr>
      </w:pPr>
      <w:r w:rsidRPr="000A1C8E">
        <w:rPr>
          <w:rFonts w:ascii="Tahoma" w:hAnsi="Tahoma" w:cs="Tahoma"/>
          <w:sz w:val="18"/>
          <w:szCs w:val="22"/>
        </w:rPr>
        <w:t>Os clientes que compraram um dispositivo OEM com o software Windows Embedded 8 Standard pré-instalado podem comprar uma Licença do Windows Embedded 8 Standard Enterprise Kit para licenciar, destravar e habilitar determinados recursos de software (inclusive Windows DirectAccess, BranchCache e AppLocker).</w:t>
      </w:r>
      <w:r w:rsidR="00DC6D8B" w:rsidRPr="000A1C8E">
        <w:rPr>
          <w:rFonts w:ascii="Tahoma" w:hAnsi="Tahoma" w:cs="Tahoma"/>
          <w:sz w:val="18"/>
          <w:szCs w:val="22"/>
        </w:rPr>
        <w:t xml:space="preserve"> </w:t>
      </w:r>
      <w:r w:rsidRPr="000A1C8E">
        <w:rPr>
          <w:rFonts w:ascii="Tahoma" w:hAnsi="Tahoma" w:cs="Tahoma"/>
          <w:sz w:val="18"/>
          <w:szCs w:val="22"/>
        </w:rPr>
        <w:t>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DC6D8B" w:rsidRPr="000A1C8E">
        <w:rPr>
          <w:rFonts w:ascii="Tahoma" w:hAnsi="Tahoma" w:cs="Tahoma"/>
          <w:sz w:val="18"/>
          <w:szCs w:val="22"/>
        </w:rPr>
        <w:t xml:space="preserve"> </w:t>
      </w:r>
      <w:r w:rsidRPr="000A1C8E">
        <w:rPr>
          <w:rFonts w:ascii="Tahoma" w:hAnsi="Tahoma" w:cs="Tahoma"/>
          <w:sz w:val="18"/>
          <w:szCs w:val="22"/>
        </w:rPr>
        <w:t>O direito de usar os recursos do software expira quando o direito de usar o software Windows Embedded 8 Standard subjacente expirar. A</w:t>
      </w:r>
      <w:r w:rsidR="000369DF" w:rsidRPr="000A1C8E">
        <w:rPr>
          <w:rFonts w:ascii="Tahoma" w:hAnsi="Tahoma" w:cs="Tahoma"/>
          <w:sz w:val="18"/>
          <w:szCs w:val="22"/>
        </w:rPr>
        <w:t> </w:t>
      </w:r>
      <w:r w:rsidRPr="000A1C8E">
        <w:rPr>
          <w:rFonts w:ascii="Tahoma" w:hAnsi="Tahoma" w:cs="Tahoma"/>
          <w:sz w:val="18"/>
          <w:szCs w:val="22"/>
        </w:rPr>
        <w:t>Licença do Windows Embedded 8 Standard Enterprise Kit deve ser cedida permanentemente a um único dispositivo e não pode ser transferida para nenhum outro dispositivo.</w:t>
      </w:r>
      <w:r w:rsidR="00DC6D8B" w:rsidRPr="000A1C8E">
        <w:rPr>
          <w:rFonts w:ascii="Tahoma" w:hAnsi="Tahoma" w:cs="Tahoma"/>
          <w:sz w:val="18"/>
          <w:szCs w:val="22"/>
        </w:rPr>
        <w:t xml:space="preserve"> </w:t>
      </w:r>
    </w:p>
    <w:p w:rsidR="006714D8" w:rsidRPr="000A1C8E" w:rsidRDefault="006714D8" w:rsidP="006714D8">
      <w:pPr>
        <w:contextualSpacing/>
        <w:rPr>
          <w:rFonts w:cs="Tahoma"/>
        </w:rPr>
      </w:pPr>
    </w:p>
    <w:p w:rsidR="006714D8" w:rsidRPr="000A1C8E" w:rsidRDefault="006714D8" w:rsidP="006714D8">
      <w:pPr>
        <w:contextualSpacing/>
        <w:rPr>
          <w:rFonts w:cs="Tahoma"/>
        </w:rPr>
      </w:pPr>
    </w:p>
    <w:p w:rsidR="006714D8" w:rsidRPr="000A1C8E" w:rsidRDefault="00A560B6" w:rsidP="006D5161">
      <w:pPr>
        <w:pStyle w:val="Heading3"/>
        <w:rPr>
          <w:rFonts w:ascii="Tahoma" w:hAnsi="Tahoma" w:cs="Tahoma"/>
        </w:rPr>
      </w:pPr>
      <w:bookmarkStart w:id="1111" w:name="_26_Windows_Embedded"/>
      <w:bookmarkStart w:id="1112" w:name="_27_Windows_Embedded"/>
      <w:bookmarkStart w:id="1113" w:name="_Toc361829369"/>
      <w:bookmarkEnd w:id="1111"/>
      <w:bookmarkEnd w:id="1112"/>
      <w:r w:rsidRPr="000A1C8E">
        <w:rPr>
          <w:rFonts w:ascii="Tahoma" w:hAnsi="Tahoma" w:cs="Tahoma"/>
          <w:caps/>
          <w:color w:val="F66400"/>
          <w:sz w:val="22"/>
          <w:vertAlign w:val="superscript"/>
        </w:rPr>
        <w:t xml:space="preserve">27 </w:t>
      </w:r>
      <w:r w:rsidRPr="000A1C8E">
        <w:rPr>
          <w:rFonts w:ascii="Tahoma" w:hAnsi="Tahoma" w:cs="Tahoma"/>
          <w:color w:val="F66400"/>
          <w:sz w:val="22"/>
        </w:rPr>
        <w:t>Windows Embedded 8 Industry Pro Sideloading</w:t>
      </w:r>
      <w:bookmarkEnd w:id="1113"/>
      <w:r w:rsidRPr="000A1C8E">
        <w:rPr>
          <w:rFonts w:ascii="Tahoma" w:hAnsi="Tahoma" w:cs="Tahoma"/>
          <w:caps/>
          <w:color w:val="F66400"/>
          <w:sz w:val="22"/>
          <w:vertAlign w:val="superscript"/>
        </w:rPr>
        <w:t xml:space="preserve"> </w:t>
      </w:r>
    </w:p>
    <w:p w:rsidR="006714D8" w:rsidRPr="000A1C8E" w:rsidRDefault="006714D8" w:rsidP="006714D8">
      <w:pPr>
        <w:spacing w:after="60"/>
        <w:ind w:left="720"/>
        <w:rPr>
          <w:rFonts w:cs="Tahoma"/>
        </w:rPr>
      </w:pPr>
    </w:p>
    <w:p w:rsidR="006714D8" w:rsidRPr="000A1C8E" w:rsidRDefault="006714D8" w:rsidP="006714D8">
      <w:pPr>
        <w:spacing w:after="60"/>
        <w:ind w:left="720"/>
        <w:rPr>
          <w:rFonts w:cs="Tahoma"/>
        </w:rPr>
      </w:pPr>
      <w:r w:rsidRPr="000A1C8E">
        <w:rPr>
          <w:rFonts w:cs="Tahoma"/>
          <w:b/>
          <w:szCs w:val="18"/>
        </w:rPr>
        <w:t>Licença do Windows Embedded 8 Industry Pro Sideloading Disponível para Aquisição</w:t>
      </w:r>
    </w:p>
    <w:p w:rsidR="006714D8" w:rsidRPr="000A1C8E" w:rsidRDefault="006714D8" w:rsidP="000369DF">
      <w:pPr>
        <w:ind w:left="720"/>
        <w:rPr>
          <w:rFonts w:cs="Tahoma"/>
        </w:rPr>
      </w:pPr>
      <w:r w:rsidRPr="000A1C8E">
        <w:rPr>
          <w:rFonts w:cs="Tahoma"/>
          <w:szCs w:val="18"/>
        </w:rPr>
        <w:t>Os clientes podem comprar licenças do Windows Embedded 8 Industry Pro Sideloading para os dispositivos licenciados com o Windows Embedded 8 Industry Pro.</w:t>
      </w:r>
      <w:r w:rsidR="00DC6D8B" w:rsidRPr="000A1C8E">
        <w:rPr>
          <w:rFonts w:cs="Tahoma"/>
          <w:szCs w:val="18"/>
        </w:rPr>
        <w:t xml:space="preserve"> </w:t>
      </w:r>
      <w:r w:rsidRPr="000A1C8E">
        <w:rPr>
          <w:rFonts w:cs="Tahoma"/>
          <w:szCs w:val="18"/>
        </w:rPr>
        <w:t>Cada licença deve ser atribuída permanentemente a um único dispositivo.</w:t>
      </w:r>
      <w:r w:rsidR="00DC6D8B" w:rsidRPr="000A1C8E">
        <w:rPr>
          <w:rFonts w:cs="Tahoma"/>
          <w:szCs w:val="18"/>
        </w:rPr>
        <w:t xml:space="preserve"> </w:t>
      </w:r>
      <w:r w:rsidRPr="000A1C8E">
        <w:rPr>
          <w:rFonts w:cs="Tahoma"/>
          <w:szCs w:val="18"/>
        </w:rPr>
        <w:t>Observação: você não pode usar licenças de sideloading adquiridas para Windows Embedded 8 Pro em dispositivos que executam o Windows Embedded 8 Industry Pro.</w:t>
      </w:r>
      <w:r w:rsidR="00DC6D8B" w:rsidRPr="000A1C8E">
        <w:rPr>
          <w:rFonts w:cs="Tahoma"/>
          <w:szCs w:val="18"/>
        </w:rPr>
        <w:t xml:space="preserve"> </w:t>
      </w:r>
      <w:r w:rsidRPr="000A1C8E">
        <w:rPr>
          <w:rFonts w:cs="Tahoma"/>
          <w:szCs w:val="18"/>
        </w:rPr>
        <w:t>Para dispositivos com</w:t>
      </w:r>
      <w:r w:rsidR="000369DF" w:rsidRPr="000A1C8E">
        <w:rPr>
          <w:rFonts w:cs="Tahoma"/>
          <w:szCs w:val="18"/>
        </w:rPr>
        <w:t> </w:t>
      </w:r>
      <w:r w:rsidRPr="000A1C8E">
        <w:rPr>
          <w:rFonts w:cs="Tahoma"/>
          <w:szCs w:val="18"/>
        </w:rPr>
        <w:t>Windows Embedded 8 Pro, consulte a nota do produto "Windows 8 Enterprise Sideloading" deste documento.</w:t>
      </w:r>
    </w:p>
    <w:p w:rsidR="006714D8" w:rsidRPr="000A1C8E" w:rsidRDefault="006714D8" w:rsidP="006714D8">
      <w:pPr>
        <w:rPr>
          <w:rFonts w:cs="Tahoma"/>
        </w:rPr>
      </w:pPr>
    </w:p>
    <w:p w:rsidR="006714D8" w:rsidRPr="000A1C8E" w:rsidRDefault="006714D8" w:rsidP="006714D8">
      <w:pPr>
        <w:contextualSpacing/>
        <w:rPr>
          <w:rFonts w:cs="Tahoma"/>
        </w:rPr>
      </w:pPr>
    </w:p>
    <w:p w:rsidR="006714D8" w:rsidRPr="000A1C8E" w:rsidRDefault="00A560B6" w:rsidP="006714D8">
      <w:pPr>
        <w:pStyle w:val="Heading3"/>
        <w:rPr>
          <w:rFonts w:ascii="Tahoma" w:hAnsi="Tahoma" w:cs="Tahoma"/>
        </w:rPr>
      </w:pPr>
      <w:bookmarkStart w:id="1114" w:name="_27_Windows®_Embedded"/>
      <w:bookmarkStart w:id="1115" w:name="_28_Atualização_para"/>
      <w:bookmarkStart w:id="1116" w:name="_Toc361829370"/>
      <w:bookmarkEnd w:id="1114"/>
      <w:bookmarkEnd w:id="1115"/>
      <w:r w:rsidRPr="000A1C8E">
        <w:rPr>
          <w:rFonts w:ascii="Tahoma" w:hAnsi="Tahoma" w:cs="Tahoma"/>
          <w:caps/>
          <w:color w:val="F66400"/>
          <w:sz w:val="22"/>
          <w:vertAlign w:val="superscript"/>
        </w:rPr>
        <w:t xml:space="preserve">28 </w:t>
      </w:r>
      <w:r w:rsidRPr="000A1C8E">
        <w:rPr>
          <w:rFonts w:ascii="Tahoma" w:hAnsi="Tahoma" w:cs="Tahoma"/>
          <w:color w:val="F66400"/>
          <w:sz w:val="22"/>
        </w:rPr>
        <w:t>Atualização para Windows</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Embedded 8 Industry Pro</w:t>
      </w:r>
      <w:bookmarkEnd w:id="1116"/>
    </w:p>
    <w:p w:rsidR="006714D8" w:rsidRPr="000A1C8E" w:rsidRDefault="006714D8" w:rsidP="006714D8">
      <w:pPr>
        <w:rPr>
          <w:rFonts w:cs="Tahoma"/>
        </w:rPr>
      </w:pPr>
    </w:p>
    <w:p w:rsidR="006714D8" w:rsidRPr="000A1C8E" w:rsidRDefault="006714D8" w:rsidP="006714D8">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Atualização para Windows</w:t>
      </w:r>
      <w:r w:rsidR="00C83286" w:rsidRPr="000A1C8E">
        <w:rPr>
          <w:rFonts w:ascii="Tahoma" w:hAnsi="Tahoma" w:cs="Tahoma"/>
          <w:b/>
          <w:bCs/>
          <w:sz w:val="18"/>
          <w:szCs w:val="18"/>
          <w:vertAlign w:val="superscript"/>
        </w:rPr>
        <w:t>®</w:t>
      </w:r>
      <w:r w:rsidRPr="000A1C8E">
        <w:rPr>
          <w:rFonts w:ascii="Tahoma" w:hAnsi="Tahoma" w:cs="Tahoma"/>
          <w:b/>
          <w:bCs/>
          <w:sz w:val="18"/>
          <w:szCs w:val="18"/>
        </w:rPr>
        <w:t xml:space="preserve"> Embedded 8 Industry Pro e Software Assurance</w:t>
      </w:r>
      <w:r w:rsidRPr="000A1C8E">
        <w:rPr>
          <w:rFonts w:ascii="Tahoma" w:hAnsi="Tahoma" w:cs="Tahoma"/>
          <w:b/>
          <w:sz w:val="18"/>
          <w:szCs w:val="18"/>
          <w:u w:val="single"/>
        </w:rPr>
        <w:t xml:space="preserve"> </w:t>
      </w:r>
    </w:p>
    <w:p w:rsidR="006714D8" w:rsidRPr="000A1C8E" w:rsidRDefault="006714D8" w:rsidP="006714D8">
      <w:pPr>
        <w:ind w:left="720"/>
        <w:rPr>
          <w:rFonts w:cs="Tahoma"/>
        </w:rPr>
      </w:pPr>
      <w:r w:rsidRPr="000A1C8E">
        <w:rPr>
          <w:rFonts w:cs="Tahoma"/>
          <w:szCs w:val="18"/>
          <w:u w:val="single"/>
        </w:rPr>
        <w:t>Licença de Atualização do Sistema Operacional (SO) para Windows Embedded 8 Industry Pro</w:t>
      </w:r>
    </w:p>
    <w:p w:rsidR="006714D8" w:rsidRPr="000A1C8E" w:rsidRDefault="006714D8" w:rsidP="006714D8">
      <w:pPr>
        <w:pStyle w:val="FootnoteBulletLevel1"/>
        <w:tabs>
          <w:tab w:val="clear" w:pos="900"/>
        </w:tabs>
        <w:adjustRightInd/>
        <w:spacing w:before="0" w:after="0"/>
        <w:ind w:left="720" w:hanging="7"/>
        <w:textAlignment w:val="auto"/>
        <w:rPr>
          <w:rFonts w:ascii="Tahoma" w:hAnsi="Tahoma" w:cs="Tahoma"/>
        </w:rPr>
      </w:pPr>
      <w:r w:rsidRPr="000A1C8E">
        <w:rPr>
          <w:rFonts w:ascii="Tahoma" w:hAnsi="Tahoma" w:cs="Tahoma"/>
          <w:sz w:val="18"/>
          <w:szCs w:val="18"/>
        </w:rPr>
        <w:t>As licenças de sistema operacional concedidas para Windows Embedded 8 Industry Pro são apenas licenças de atualização. Não há licenças integrais de sistema operacional de desktop disponíveis. Portanto, cada desktop para o qual você adquirir e no qual executar a Atualização para Windows Embedded 8 Industry Pro deverá estar licenciado para executar um dos sistemas operacionais qualificados identificados abaixo.</w:t>
      </w:r>
    </w:p>
    <w:p w:rsidR="006714D8" w:rsidRPr="000A1C8E" w:rsidRDefault="006714D8" w:rsidP="006714D8">
      <w:pPr>
        <w:ind w:left="720"/>
        <w:rPr>
          <w:rFonts w:cs="Tahoma"/>
        </w:rPr>
      </w:pPr>
    </w:p>
    <w:p w:rsidR="006714D8" w:rsidRPr="000A1C8E" w:rsidRDefault="006714D8" w:rsidP="006714D8">
      <w:pPr>
        <w:ind w:left="720"/>
        <w:rPr>
          <w:rFonts w:cs="Tahoma"/>
        </w:rPr>
      </w:pPr>
      <w:r w:rsidRPr="000A1C8E">
        <w:rPr>
          <w:rFonts w:cs="Tahoma"/>
          <w:szCs w:val="18"/>
          <w:u w:val="single"/>
        </w:rPr>
        <w:t>Regras do Sistema Operacional (SO) Qualificado para Windows Embedded 8 Industry Pro</w:t>
      </w:r>
    </w:p>
    <w:p w:rsidR="006714D8" w:rsidRPr="000A1C8E" w:rsidRDefault="006714D8" w:rsidP="007015CC">
      <w:pPr>
        <w:numPr>
          <w:ilvl w:val="0"/>
          <w:numId w:val="84"/>
        </w:numPr>
        <w:spacing w:after="60"/>
        <w:ind w:left="1440"/>
        <w:rPr>
          <w:rFonts w:cs="Tahoma"/>
        </w:rPr>
      </w:pPr>
      <w:r w:rsidRPr="000A1C8E">
        <w:rPr>
          <w:rFonts w:cs="Tahoma"/>
          <w:szCs w:val="18"/>
        </w:rPr>
        <w:t>O SO qualificado deverá estar instalado no dispositivo ao qual a licença de Atualização para Windows Embedded 8 Industry Pro será cedida.</w:t>
      </w:r>
    </w:p>
    <w:p w:rsidR="006714D8" w:rsidRPr="000A1C8E" w:rsidRDefault="006714D8" w:rsidP="007015CC">
      <w:pPr>
        <w:numPr>
          <w:ilvl w:val="1"/>
          <w:numId w:val="86"/>
        </w:numPr>
        <w:spacing w:after="60"/>
        <w:ind w:left="1440"/>
        <w:rPr>
          <w:rFonts w:cs="Tahoma"/>
        </w:rPr>
      </w:pPr>
      <w:r w:rsidRPr="000A1C8E">
        <w:rPr>
          <w:rFonts w:cs="Tahoma"/>
          <w:szCs w:val="18"/>
        </w:rPr>
        <w:t xml:space="preserve">Salvo conforme estabelecido a seguir, os clientes devem remover o Sistema Operacional qualificado do dispositivo para implantar a licença de Atualização para Windows Embedded 8 Industry Pro. </w:t>
      </w:r>
    </w:p>
    <w:p w:rsidR="006714D8" w:rsidRPr="000A1C8E" w:rsidRDefault="006714D8" w:rsidP="007015CC">
      <w:pPr>
        <w:numPr>
          <w:ilvl w:val="1"/>
          <w:numId w:val="86"/>
        </w:numPr>
        <w:spacing w:after="60"/>
        <w:ind w:left="1440"/>
        <w:rPr>
          <w:rFonts w:cs="Tahoma"/>
        </w:rPr>
      </w:pPr>
      <w:r w:rsidRPr="000A1C8E">
        <w:rPr>
          <w:rFonts w:cs="Tahoma"/>
          <w:szCs w:val="18"/>
        </w:rPr>
        <w:lastRenderedPageBreak/>
        <w:t>Os clientes que desejarem instalar ou executar mais de um sistema operacional licenciado de uma vez (incluindo o sistema operacional qualificado) poderão adquirir Software Assurance para sua licença de Atualização para Windows Embedded 8 Industry Pro.</w:t>
      </w:r>
    </w:p>
    <w:p w:rsidR="006714D8" w:rsidRPr="000A1C8E" w:rsidRDefault="006714D8" w:rsidP="007015CC">
      <w:pPr>
        <w:numPr>
          <w:ilvl w:val="1"/>
          <w:numId w:val="86"/>
        </w:numPr>
        <w:ind w:left="1440"/>
        <w:rPr>
          <w:rFonts w:cs="Tahoma"/>
        </w:rPr>
      </w:pPr>
      <w:r w:rsidRPr="000A1C8E">
        <w:rPr>
          <w:rFonts w:cs="Tahoma"/>
          <w:szCs w:val="18"/>
        </w:rPr>
        <w:t xml:space="preserve">Os clientes que tiverem cobertura do Software Assurance ativa não precisarão desinstalar o SO qualificado e poderão instalar e executar o SO qualificado e o Windows Embedded 8 Industry Pro ao mesmo tempo. </w:t>
      </w:r>
    </w:p>
    <w:p w:rsidR="007015CC" w:rsidRPr="000A1C8E" w:rsidRDefault="007015CC" w:rsidP="007015CC">
      <w:pPr>
        <w:spacing w:after="60"/>
        <w:rPr>
          <w:rFonts w:cs="Tahoma"/>
        </w:rPr>
      </w:pPr>
    </w:p>
    <w:p w:rsidR="006714D8" w:rsidRPr="000A1C8E" w:rsidRDefault="006714D8" w:rsidP="007015CC">
      <w:pPr>
        <w:pStyle w:val="ListParagraph"/>
        <w:rPr>
          <w:rFonts w:ascii="Tahoma" w:hAnsi="Tahoma" w:cs="Tahoma"/>
        </w:rPr>
      </w:pPr>
      <w:r w:rsidRPr="000A1C8E">
        <w:rPr>
          <w:rFonts w:ascii="Tahoma" w:hAnsi="Tahoma" w:cs="Tahoma"/>
          <w:sz w:val="18"/>
          <w:szCs w:val="18"/>
          <w:u w:val="single"/>
        </w:rPr>
        <w:t>Sistemas Operacionais Qualificados (“Sistema Operacional Qualificado”)</w:t>
      </w:r>
      <w:r w:rsidR="000A1C8E" w:rsidRPr="000A1C8E">
        <w:rPr>
          <w:rFonts w:ascii="Tahoma" w:hAnsi="Tahoma" w:cs="Tahoma"/>
          <w:sz w:val="18"/>
          <w:szCs w:val="18"/>
        </w:rPr>
        <w:t>:</w:t>
      </w:r>
    </w:p>
    <w:p w:rsidR="006714D8" w:rsidRPr="000A1C8E" w:rsidRDefault="006714D8" w:rsidP="007015CC">
      <w:pPr>
        <w:numPr>
          <w:ilvl w:val="1"/>
          <w:numId w:val="86"/>
        </w:numPr>
        <w:spacing w:after="60"/>
        <w:ind w:left="1440"/>
        <w:rPr>
          <w:rFonts w:cs="Tahoma"/>
        </w:rPr>
      </w:pPr>
      <w:r w:rsidRPr="000A1C8E">
        <w:rPr>
          <w:rFonts w:cs="Tahoma"/>
          <w:szCs w:val="18"/>
        </w:rPr>
        <w:t>Windows Embedded para Point of Service (WEPOS)</w:t>
      </w:r>
    </w:p>
    <w:p w:rsidR="006714D8" w:rsidRPr="000A1C8E" w:rsidRDefault="006714D8" w:rsidP="007015CC">
      <w:pPr>
        <w:numPr>
          <w:ilvl w:val="1"/>
          <w:numId w:val="86"/>
        </w:numPr>
        <w:spacing w:after="60"/>
        <w:ind w:left="1440"/>
        <w:rPr>
          <w:rFonts w:cs="Tahoma"/>
        </w:rPr>
      </w:pPr>
      <w:r w:rsidRPr="000A1C8E">
        <w:rPr>
          <w:rFonts w:cs="Tahoma"/>
          <w:szCs w:val="18"/>
        </w:rPr>
        <w:t>Windows Embedded POSReady 2009 e POSReady 7</w:t>
      </w:r>
    </w:p>
    <w:p w:rsidR="006714D8" w:rsidRPr="000A1C8E" w:rsidRDefault="006714D8" w:rsidP="007015CC">
      <w:pPr>
        <w:numPr>
          <w:ilvl w:val="1"/>
          <w:numId w:val="86"/>
        </w:numPr>
        <w:spacing w:after="60"/>
        <w:ind w:left="1440"/>
        <w:rPr>
          <w:rFonts w:cs="Tahoma"/>
        </w:rPr>
      </w:pPr>
      <w:r w:rsidRPr="000A1C8E">
        <w:rPr>
          <w:rFonts w:cs="Tahoma"/>
          <w:szCs w:val="18"/>
        </w:rPr>
        <w:t xml:space="preserve">Windows XP Professional para Sistemas Incorporados </w:t>
      </w:r>
    </w:p>
    <w:p w:rsidR="006714D8" w:rsidRPr="000A1C8E" w:rsidRDefault="006714D8" w:rsidP="007015CC">
      <w:pPr>
        <w:numPr>
          <w:ilvl w:val="1"/>
          <w:numId w:val="86"/>
        </w:numPr>
        <w:spacing w:after="60"/>
        <w:ind w:left="1440"/>
        <w:rPr>
          <w:rFonts w:cs="Tahoma"/>
        </w:rPr>
      </w:pPr>
      <w:r w:rsidRPr="000A1C8E">
        <w:rPr>
          <w:rFonts w:cs="Tahoma"/>
          <w:szCs w:val="18"/>
        </w:rPr>
        <w:t>Windows Vista Business para Sistemas Incorporados e Windows Vista Ultimate para Sistemas Incorporados</w:t>
      </w:r>
    </w:p>
    <w:p w:rsidR="006714D8" w:rsidRPr="000A1C8E" w:rsidRDefault="006714D8" w:rsidP="007015CC">
      <w:pPr>
        <w:numPr>
          <w:ilvl w:val="1"/>
          <w:numId w:val="86"/>
        </w:numPr>
        <w:spacing w:after="60"/>
        <w:ind w:left="1440"/>
        <w:rPr>
          <w:rFonts w:cs="Tahoma"/>
        </w:rPr>
      </w:pPr>
      <w:r w:rsidRPr="000A1C8E">
        <w:rPr>
          <w:rFonts w:cs="Tahoma"/>
          <w:szCs w:val="18"/>
        </w:rPr>
        <w:t xml:space="preserve">Windows 2000 Professional para Sistemas Incorporados </w:t>
      </w:r>
    </w:p>
    <w:p w:rsidR="006714D8" w:rsidRPr="000A1C8E" w:rsidRDefault="006714D8" w:rsidP="007015CC">
      <w:pPr>
        <w:numPr>
          <w:ilvl w:val="1"/>
          <w:numId w:val="86"/>
        </w:numPr>
        <w:spacing w:after="60"/>
        <w:ind w:left="1440"/>
        <w:rPr>
          <w:rFonts w:cs="Tahoma"/>
        </w:rPr>
      </w:pPr>
      <w:r w:rsidRPr="000A1C8E">
        <w:rPr>
          <w:rFonts w:cs="Tahoma"/>
          <w:szCs w:val="18"/>
        </w:rPr>
        <w:t>Windows NT Embedded para Sistemas Incorporados</w:t>
      </w:r>
    </w:p>
    <w:p w:rsidR="006714D8" w:rsidRPr="000A1C8E" w:rsidRDefault="006714D8" w:rsidP="007015CC">
      <w:pPr>
        <w:numPr>
          <w:ilvl w:val="1"/>
          <w:numId w:val="86"/>
        </w:numPr>
        <w:spacing w:after="60"/>
        <w:ind w:left="1440"/>
        <w:rPr>
          <w:rFonts w:cs="Tahoma"/>
        </w:rPr>
      </w:pPr>
      <w:r w:rsidRPr="000A1C8E">
        <w:rPr>
          <w:rFonts w:cs="Tahoma"/>
          <w:szCs w:val="18"/>
        </w:rPr>
        <w:t>Windows 7 Professional para Sistemas Incorporados</w:t>
      </w:r>
    </w:p>
    <w:p w:rsidR="006714D8" w:rsidRPr="000A1C8E" w:rsidRDefault="006714D8" w:rsidP="007015CC">
      <w:pPr>
        <w:numPr>
          <w:ilvl w:val="1"/>
          <w:numId w:val="86"/>
        </w:numPr>
        <w:spacing w:after="60"/>
        <w:ind w:left="1440"/>
        <w:rPr>
          <w:rFonts w:cs="Tahoma"/>
        </w:rPr>
      </w:pPr>
      <w:r w:rsidRPr="000A1C8E">
        <w:rPr>
          <w:rFonts w:cs="Tahoma"/>
          <w:szCs w:val="18"/>
        </w:rPr>
        <w:t>Windows 7 Ultimate para Sistemas Incorporados</w:t>
      </w:r>
    </w:p>
    <w:p w:rsidR="006714D8" w:rsidRPr="000A1C8E" w:rsidRDefault="006714D8" w:rsidP="007015CC">
      <w:pPr>
        <w:numPr>
          <w:ilvl w:val="1"/>
          <w:numId w:val="86"/>
        </w:numPr>
        <w:spacing w:after="60"/>
        <w:ind w:left="1440"/>
        <w:rPr>
          <w:rFonts w:cs="Tahoma"/>
        </w:rPr>
      </w:pPr>
      <w:r w:rsidRPr="000A1C8E">
        <w:rPr>
          <w:rFonts w:cs="Tahoma"/>
          <w:szCs w:val="18"/>
        </w:rPr>
        <w:t>Windows XP Embedded</w:t>
      </w:r>
    </w:p>
    <w:p w:rsidR="006714D8" w:rsidRPr="000A1C8E" w:rsidRDefault="006714D8" w:rsidP="007015CC">
      <w:pPr>
        <w:numPr>
          <w:ilvl w:val="1"/>
          <w:numId w:val="86"/>
        </w:numPr>
        <w:spacing w:after="60"/>
        <w:ind w:left="1440"/>
        <w:rPr>
          <w:rFonts w:cs="Tahoma"/>
        </w:rPr>
      </w:pPr>
      <w:r w:rsidRPr="000A1C8E">
        <w:rPr>
          <w:rFonts w:cs="Tahoma"/>
          <w:szCs w:val="18"/>
        </w:rPr>
        <w:t>Windows Embedded Standard 7, 2009 e Windows Embedded 8 Standard</w:t>
      </w:r>
    </w:p>
    <w:p w:rsidR="006714D8" w:rsidRPr="000A1C8E" w:rsidRDefault="006714D8" w:rsidP="007015CC">
      <w:pPr>
        <w:numPr>
          <w:ilvl w:val="1"/>
          <w:numId w:val="86"/>
        </w:numPr>
        <w:spacing w:after="60"/>
        <w:ind w:left="1440"/>
        <w:rPr>
          <w:rFonts w:cs="Tahoma"/>
        </w:rPr>
      </w:pPr>
      <w:r w:rsidRPr="000A1C8E">
        <w:rPr>
          <w:rFonts w:cs="Tahoma"/>
          <w:szCs w:val="18"/>
        </w:rPr>
        <w:t>Windows Embedded 8 Pro</w:t>
      </w:r>
    </w:p>
    <w:p w:rsidR="006714D8" w:rsidRPr="000A1C8E" w:rsidRDefault="00F12F66" w:rsidP="007015CC">
      <w:pPr>
        <w:numPr>
          <w:ilvl w:val="1"/>
          <w:numId w:val="86"/>
        </w:numPr>
        <w:spacing w:after="60"/>
        <w:ind w:left="1440"/>
        <w:rPr>
          <w:rFonts w:cs="Tahoma"/>
        </w:rPr>
      </w:pPr>
      <w:r>
        <w:rPr>
          <w:rFonts w:cs="Tahoma"/>
          <w:szCs w:val="18"/>
        </w:rPr>
        <w:t>Windows Embedded 8 Industry</w:t>
      </w:r>
      <w:r w:rsidR="006714D8" w:rsidRPr="000A1C8E">
        <w:rPr>
          <w:rFonts w:cs="Tahoma"/>
          <w:szCs w:val="18"/>
        </w:rPr>
        <w:t xml:space="preserve"> Pro: Tanto Geral quanto Varejo</w:t>
      </w:r>
    </w:p>
    <w:p w:rsidR="006714D8" w:rsidRPr="000A1C8E" w:rsidRDefault="006714D8" w:rsidP="006714D8">
      <w:pPr>
        <w:rPr>
          <w:rFonts w:cs="Tahoma"/>
        </w:rPr>
      </w:pPr>
    </w:p>
    <w:p w:rsidR="006714D8" w:rsidRPr="000A1C8E" w:rsidRDefault="006714D8" w:rsidP="007015CC">
      <w:pPr>
        <w:pStyle w:val="FootnoteBulletLevel1"/>
        <w:tabs>
          <w:tab w:val="clear" w:pos="900"/>
        </w:tabs>
        <w:spacing w:before="0" w:after="0"/>
        <w:ind w:left="0" w:firstLine="0"/>
        <w:rPr>
          <w:rFonts w:ascii="Tahoma" w:hAnsi="Tahoma" w:cs="Tahoma"/>
        </w:rPr>
      </w:pPr>
      <w:r w:rsidRPr="000A1C8E">
        <w:rPr>
          <w:rFonts w:ascii="Tahoma" w:hAnsi="Tahoma" w:cs="Tahoma"/>
          <w:sz w:val="18"/>
          <w:szCs w:val="18"/>
        </w:rPr>
        <w:t>Qualquer sistema operacional não listado acima não é um SO qualificado.</w:t>
      </w:r>
      <w:r w:rsidR="00DC6D8B" w:rsidRPr="000A1C8E">
        <w:rPr>
          <w:rFonts w:ascii="Tahoma" w:hAnsi="Tahoma" w:cs="Tahoma"/>
          <w:sz w:val="18"/>
          <w:szCs w:val="18"/>
        </w:rPr>
        <w:t xml:space="preserve"> </w:t>
      </w:r>
      <w:r w:rsidRPr="000A1C8E">
        <w:rPr>
          <w:rFonts w:ascii="Tahoma" w:hAnsi="Tahoma" w:cs="Tahoma"/>
          <w:sz w:val="18"/>
          <w:szCs w:val="18"/>
        </w:rPr>
        <w:t>Por exemplo, uma licença do Windows 8 Pro não está qualificada para Atualização para Windows Embedded 8 Industry.</w:t>
      </w:r>
    </w:p>
    <w:p w:rsidR="007015CC" w:rsidRPr="000A1C8E" w:rsidRDefault="007015CC" w:rsidP="007015CC">
      <w:pPr>
        <w:pStyle w:val="FootnoteBulletLevel1"/>
        <w:tabs>
          <w:tab w:val="clear" w:pos="900"/>
        </w:tabs>
        <w:spacing w:before="0" w:after="0"/>
        <w:ind w:left="0" w:firstLine="0"/>
        <w:rPr>
          <w:rFonts w:ascii="Tahoma" w:hAnsi="Tahoma" w:cs="Tahoma"/>
        </w:rPr>
      </w:pPr>
    </w:p>
    <w:p w:rsidR="006714D8" w:rsidRPr="000A1C8E" w:rsidRDefault="006714D8" w:rsidP="006714D8">
      <w:pPr>
        <w:pStyle w:val="FootnoteBulletLevel2"/>
        <w:tabs>
          <w:tab w:val="clear" w:pos="1260"/>
        </w:tabs>
        <w:adjustRightInd/>
        <w:spacing w:before="0"/>
        <w:ind w:left="0" w:firstLine="0"/>
        <w:textAlignment w:val="auto"/>
        <w:rPr>
          <w:rFonts w:ascii="Tahoma" w:hAnsi="Tahoma" w:cs="Tahoma"/>
        </w:rPr>
      </w:pPr>
      <w:r w:rsidRPr="000A1C8E">
        <w:rPr>
          <w:rFonts w:ascii="Tahoma" w:hAnsi="Tahoma" w:cs="Tahoma"/>
          <w:sz w:val="18"/>
          <w:szCs w:val="18"/>
        </w:rPr>
        <w:t>Os clientes que desejarem adquirir a Atualização e Software Assurance do Windows Embedded 8 Industry Pro em conjunto têm as seguintes opções:</w:t>
      </w:r>
    </w:p>
    <w:p w:rsidR="006714D8" w:rsidRPr="000A1C8E" w:rsidRDefault="006714D8" w:rsidP="007015CC">
      <w:pPr>
        <w:pStyle w:val="FootnoteBulletLevel2"/>
        <w:numPr>
          <w:ilvl w:val="0"/>
          <w:numId w:val="25"/>
        </w:numPr>
        <w:adjustRightInd/>
        <w:spacing w:before="0" w:after="60"/>
        <w:ind w:left="1440"/>
        <w:textAlignment w:val="auto"/>
        <w:rPr>
          <w:rFonts w:ascii="Tahoma" w:hAnsi="Tahoma" w:cs="Tahoma"/>
        </w:rPr>
      </w:pPr>
      <w:r w:rsidRPr="000A1C8E">
        <w:rPr>
          <w:rFonts w:ascii="Tahoma" w:hAnsi="Tahoma" w:cs="Tahoma"/>
          <w:sz w:val="18"/>
          <w:szCs w:val="18"/>
        </w:rPr>
        <w:t>Contrato Enterprise, Select Plus, Open Value (Não extensivo a toda a empresa) e programas com Licença Open:</w:t>
      </w:r>
    </w:p>
    <w:p w:rsidR="006714D8" w:rsidRPr="000A1C8E" w:rsidRDefault="006714D8" w:rsidP="007015CC">
      <w:pPr>
        <w:pStyle w:val="AppendixBodyText"/>
        <w:numPr>
          <w:ilvl w:val="0"/>
          <w:numId w:val="80"/>
        </w:numPr>
        <w:ind w:left="1800" w:right="720"/>
        <w:rPr>
          <w:rFonts w:ascii="Tahoma" w:hAnsi="Tahoma" w:cs="Tahoma"/>
          <w:spacing w:val="-2"/>
        </w:rPr>
      </w:pPr>
      <w:r w:rsidRPr="000A1C8E">
        <w:rPr>
          <w:rFonts w:ascii="Tahoma" w:hAnsi="Tahoma" w:cs="Tahoma"/>
          <w:color w:val="000000"/>
          <w:spacing w:val="-2"/>
          <w:sz w:val="18"/>
          <w:szCs w:val="18"/>
        </w:rPr>
        <w:t>Adquirir a Atualização e Software Assurance do Windows Embedded 8 Industry Pro para Industry Devices nos quais o cliente licenciou e instalou um dos sistemas operacionais qualificados listados na lista de Atualização do Windows Embedded acima.</w:t>
      </w:r>
    </w:p>
    <w:p w:rsidR="006714D8" w:rsidRPr="000A1C8E" w:rsidRDefault="006714D8" w:rsidP="007015CC">
      <w:pPr>
        <w:pStyle w:val="AppendixBodyText"/>
        <w:numPr>
          <w:ilvl w:val="0"/>
          <w:numId w:val="80"/>
        </w:numPr>
        <w:ind w:left="1800" w:right="720"/>
        <w:rPr>
          <w:rFonts w:ascii="Tahoma" w:hAnsi="Tahoma" w:cs="Tahoma"/>
          <w:spacing w:val="-2"/>
        </w:rPr>
      </w:pPr>
      <w:r w:rsidRPr="000A1C8E">
        <w:rPr>
          <w:rFonts w:ascii="Tahoma" w:hAnsi="Tahoma" w:cs="Tahoma"/>
          <w:color w:val="000000"/>
          <w:spacing w:val="-2"/>
          <w:sz w:val="18"/>
          <w:szCs w:val="18"/>
        </w:rPr>
        <w:t>O Cliente pode transferir a cobertura do Software Assurance do Windows Embedded 8 Industry Pro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rsidR="006714D8" w:rsidRPr="000A1C8E" w:rsidRDefault="006714D8" w:rsidP="006714D8">
      <w:pPr>
        <w:pStyle w:val="Footnotedash"/>
        <w:spacing w:before="0" w:after="0"/>
        <w:ind w:left="360"/>
        <w:rPr>
          <w:rFonts w:ascii="Tahoma" w:hAnsi="Tahoma" w:cs="Tahoma"/>
        </w:rPr>
      </w:pPr>
      <w:r w:rsidRPr="000A1C8E">
        <w:rPr>
          <w:rFonts w:ascii="Tahoma" w:hAnsi="Tahoma" w:cs="Tahoma"/>
          <w:sz w:val="18"/>
          <w:szCs w:val="18"/>
          <w:u w:val="single"/>
        </w:rPr>
        <w:t>Direitos de downgrade</w:t>
      </w:r>
    </w:p>
    <w:p w:rsidR="006714D8" w:rsidRPr="00F14B68" w:rsidRDefault="006714D8" w:rsidP="006714D8">
      <w:pPr>
        <w:pStyle w:val="ListParagraph"/>
        <w:ind w:left="0"/>
        <w:contextualSpacing w:val="0"/>
        <w:rPr>
          <w:rFonts w:ascii="Tahoma" w:hAnsi="Tahoma" w:cs="Tahoma"/>
          <w:sz w:val="18"/>
          <w:szCs w:val="18"/>
        </w:rPr>
      </w:pPr>
      <w:r w:rsidRPr="00F14B68">
        <w:rPr>
          <w:rFonts w:ascii="Tahoma" w:hAnsi="Tahoma" w:cs="Tahoma"/>
          <w:bCs/>
          <w:sz w:val="18"/>
          <w:szCs w:val="18"/>
        </w:rPr>
        <w:t>Microsoft Windows Embedded 8 Industry Pro:</w:t>
      </w:r>
      <w:r w:rsidRPr="00F14B68">
        <w:rPr>
          <w:rFonts w:ascii="Tahoma" w:hAnsi="Tahoma" w:cs="Tahoma"/>
          <w:b/>
          <w:bCs/>
          <w:sz w:val="18"/>
          <w:szCs w:val="18"/>
        </w:rPr>
        <w:t xml:space="preserve"> </w:t>
      </w:r>
      <w:r w:rsidRPr="00F14B68">
        <w:rPr>
          <w:rFonts w:ascii="Tahoma" w:hAnsi="Tahoma" w:cs="Tahoma"/>
          <w:sz w:val="18"/>
          <w:szCs w:val="18"/>
        </w:rPr>
        <w:t>Os clientes de licenciamento por volume com uma licença válida para Windows Embedded 8 Industry Pro obtida por meio do programa de licenciamento por volume para Windows Embedded 8 Industry estão qualificados para usar uma versão anterior em vez da versão licenciada.</w:t>
      </w:r>
      <w:r w:rsidR="00DC6D8B" w:rsidRPr="00F14B68">
        <w:rPr>
          <w:rFonts w:ascii="Tahoma" w:hAnsi="Tahoma" w:cs="Tahoma"/>
          <w:sz w:val="18"/>
          <w:szCs w:val="18"/>
        </w:rPr>
        <w:t xml:space="preserve"> </w:t>
      </w:r>
      <w:r w:rsidRPr="00F14B68">
        <w:rPr>
          <w:rFonts w:ascii="Tahoma" w:hAnsi="Tahoma" w:cs="Tahoma"/>
          <w:sz w:val="18"/>
          <w:szCs w:val="18"/>
        </w:rPr>
        <w:t>As versões anteriores qualificadas do Windows Embedded 8 Industry são Windows Embedded POSReady 7 e Windows Embedded POSReady 2009.</w:t>
      </w:r>
    </w:p>
    <w:p w:rsidR="006714D8" w:rsidRPr="000A1C8E" w:rsidRDefault="006714D8" w:rsidP="006714D8">
      <w:pPr>
        <w:pStyle w:val="FootnoteBulletLevel2"/>
        <w:tabs>
          <w:tab w:val="clear" w:pos="1260"/>
        </w:tabs>
        <w:spacing w:before="0"/>
        <w:ind w:left="0" w:firstLine="0"/>
        <w:rPr>
          <w:rFonts w:ascii="Tahoma" w:hAnsi="Tahoma" w:cs="Tahoma"/>
        </w:rPr>
      </w:pPr>
    </w:p>
    <w:p w:rsidR="006714D8" w:rsidRPr="000A1C8E" w:rsidRDefault="006714D8" w:rsidP="006714D8">
      <w:pPr>
        <w:pStyle w:val="FootnoteBulletLevel2"/>
        <w:tabs>
          <w:tab w:val="clear" w:pos="1260"/>
        </w:tabs>
        <w:spacing w:before="0"/>
        <w:ind w:left="0" w:firstLine="0"/>
        <w:rPr>
          <w:rFonts w:ascii="Tahoma" w:hAnsi="Tahoma" w:cs="Tahoma"/>
        </w:rPr>
      </w:pPr>
      <w:r w:rsidRPr="000A1C8E">
        <w:rPr>
          <w:rFonts w:ascii="Tahoma" w:hAnsi="Tahoma" w:cs="Tahoma"/>
          <w:sz w:val="18"/>
          <w:szCs w:val="18"/>
          <w:u w:val="single"/>
        </w:rPr>
        <w:t>Os requisitos a seguir se aplicam à restauração ao estado anterior do Windows Embedded</w:t>
      </w:r>
      <w:r w:rsidR="000A1C8E" w:rsidRPr="000A1C8E">
        <w:rPr>
          <w:rFonts w:ascii="Tahoma" w:hAnsi="Tahoma" w:cs="Tahoma"/>
          <w:sz w:val="18"/>
          <w:szCs w:val="18"/>
        </w:rPr>
        <w:t>:</w:t>
      </w:r>
    </w:p>
    <w:p w:rsidR="006714D8" w:rsidRPr="000A1C8E" w:rsidRDefault="006714D8" w:rsidP="00CC111A">
      <w:pPr>
        <w:pStyle w:val="FootnoteBulletLevel2"/>
        <w:tabs>
          <w:tab w:val="clear" w:pos="1260"/>
        </w:tabs>
        <w:spacing w:before="0"/>
        <w:ind w:left="0" w:firstLine="0"/>
        <w:rPr>
          <w:rFonts w:ascii="Tahoma" w:hAnsi="Tahoma" w:cs="Tahoma"/>
        </w:rPr>
      </w:pPr>
      <w:r w:rsidRPr="000A1C8E">
        <w:rPr>
          <w:rFonts w:ascii="Tahoma" w:hAnsi="Tahoma" w:cs="Tahoma"/>
          <w:sz w:val="18"/>
          <w:szCs w:val="18"/>
        </w:rPr>
        <w:t>Se um terceiro for restaurar o Windows Embedded ao estado anterior em um dispositivo do cliente, o cliente deverá fornecer antes (a) o formulário preenchido de “Verificação da Licença de Cliente da Microsoft para Atualização dos Serviços de Instalação do Software do Sistema Operacional Microsoft Windows por Terceiros” ou (b) cópias do formulário de assinatura do Contrato de Licenciamento por Volume da Microsoft aplicável ao software de atualização</w:t>
      </w:r>
      <w:r w:rsidR="00CC111A" w:rsidRPr="000A1C8E">
        <w:rPr>
          <w:rFonts w:ascii="Tahoma" w:hAnsi="Tahoma" w:cs="Tahoma"/>
        </w:rPr>
        <w:t> </w:t>
      </w:r>
      <w:r w:rsidRPr="000A1C8E">
        <w:rPr>
          <w:rFonts w:ascii="Tahoma" w:hAnsi="Tahoma" w:cs="Tahoma"/>
          <w:sz w:val="18"/>
          <w:szCs w:val="18"/>
        </w:rPr>
        <w:t>do sistema operacional Microsoft em instalação.</w:t>
      </w:r>
      <w:r w:rsidR="00DC6D8B" w:rsidRPr="000A1C8E">
        <w:rPr>
          <w:rFonts w:ascii="Tahoma" w:hAnsi="Tahoma" w:cs="Tahoma"/>
          <w:sz w:val="18"/>
          <w:szCs w:val="18"/>
        </w:rPr>
        <w:t xml:space="preserve"> </w:t>
      </w:r>
      <w:r w:rsidRPr="000A1C8E">
        <w:rPr>
          <w:rFonts w:ascii="Tahoma" w:hAnsi="Tahoma" w:cs="Tahoma"/>
          <w:sz w:val="18"/>
          <w:szCs w:val="18"/>
        </w:rPr>
        <w:t xml:space="preserve">O formulário de “Verificação da Licença da Microsoft para Restauração ao Estado Anterior/Instalação de Software do Sistema Operacional Microsoft por Terceiros” está disponível no site </w:t>
      </w:r>
      <w:hyperlink r:id="rId45" w:history="1">
        <w:r w:rsidRPr="000A1C8E">
          <w:rPr>
            <w:rFonts w:ascii="Tahoma" w:hAnsi="Tahoma" w:cs="Tahoma"/>
            <w:sz w:val="18"/>
            <w:szCs w:val="18"/>
          </w:rPr>
          <w:t>www.microsoft.com/licensing/contracts</w:t>
        </w:r>
      </w:hyperlink>
      <w:r w:rsidRPr="000A1C8E">
        <w:rPr>
          <w:rFonts w:ascii="Tahoma" w:hAnsi="Tahoma" w:cs="Tahoma"/>
          <w:sz w:val="18"/>
          <w:szCs w:val="18"/>
        </w:rPr>
        <w:t>.</w:t>
      </w:r>
    </w:p>
    <w:p w:rsidR="006714D8" w:rsidRPr="000A1C8E" w:rsidRDefault="006714D8" w:rsidP="007015CC">
      <w:pPr>
        <w:pStyle w:val="Footnotedash"/>
        <w:tabs>
          <w:tab w:val="clear" w:pos="1620"/>
        </w:tabs>
        <w:spacing w:before="0" w:after="0"/>
        <w:ind w:left="360"/>
        <w:rPr>
          <w:rFonts w:ascii="Tahoma" w:hAnsi="Tahoma" w:cs="Tahoma"/>
        </w:rPr>
      </w:pPr>
      <w:r w:rsidRPr="000A1C8E">
        <w:rPr>
          <w:rFonts w:ascii="Tahoma" w:eastAsia="Calibri" w:hAnsi="Tahoma" w:cs="Tahoma"/>
          <w:sz w:val="18"/>
          <w:szCs w:val="18"/>
          <w:u w:val="single"/>
        </w:rPr>
        <w:lastRenderedPageBreak/>
        <w:t>Limitação para Industry Devices</w:t>
      </w:r>
    </w:p>
    <w:p w:rsidR="006714D8" w:rsidRPr="000A1C8E" w:rsidRDefault="006714D8" w:rsidP="006714D8">
      <w:pPr>
        <w:pStyle w:val="Footnotedash"/>
        <w:tabs>
          <w:tab w:val="clear" w:pos="1620"/>
        </w:tabs>
        <w:spacing w:before="0"/>
        <w:ind w:left="0" w:firstLine="0"/>
        <w:rPr>
          <w:rFonts w:ascii="Tahoma" w:hAnsi="Tahoma" w:cs="Tahoma"/>
        </w:rPr>
      </w:pPr>
      <w:r w:rsidRPr="000A1C8E">
        <w:rPr>
          <w:rFonts w:ascii="Tahoma" w:eastAsia="Calibri" w:hAnsi="Tahoma" w:cs="Tahoma"/>
          <w:sz w:val="18"/>
          <w:szCs w:val="18"/>
        </w:rPr>
        <w:t>O Windows Embedded 8 Industry Pro só poderá ser instalado nos Industry Devices.</w:t>
      </w:r>
      <w:r w:rsidR="00DC6D8B" w:rsidRPr="000A1C8E">
        <w:rPr>
          <w:rFonts w:ascii="Tahoma" w:eastAsia="Calibri" w:hAnsi="Tahoma" w:cs="Tahoma"/>
          <w:sz w:val="18"/>
          <w:szCs w:val="18"/>
        </w:rPr>
        <w:t xml:space="preserve"> </w:t>
      </w:r>
      <w:r w:rsidRPr="000A1C8E">
        <w:rPr>
          <w:rFonts w:ascii="Tahoma" w:eastAsia="Calibri" w:hAnsi="Tahoma" w:cs="Tahoma"/>
          <w:sz w:val="18"/>
          <w:szCs w:val="18"/>
        </w:rPr>
        <w:t>Nenhum outro dispositivo é permitido.</w:t>
      </w:r>
      <w:r w:rsidR="00DC6D8B" w:rsidRPr="000A1C8E">
        <w:rPr>
          <w:rFonts w:ascii="Tahoma" w:eastAsia="Calibri" w:hAnsi="Tahoma" w:cs="Tahoma"/>
          <w:sz w:val="18"/>
          <w:szCs w:val="18"/>
        </w:rPr>
        <w:t xml:space="preserve"> </w:t>
      </w:r>
      <w:r w:rsidRPr="000A1C8E">
        <w:rPr>
          <w:rFonts w:ascii="Tahoma" w:hAnsi="Tahoma" w:cs="Tahoma"/>
          <w:sz w:val="18"/>
          <w:szCs w:val="18"/>
        </w:rP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("Programa Industrial").</w:t>
      </w:r>
      <w:r w:rsidR="00DC6D8B" w:rsidRPr="000A1C8E">
        <w:rPr>
          <w:rFonts w:ascii="Tahoma" w:hAnsi="Tahoma" w:cs="Tahoma"/>
          <w:sz w:val="18"/>
          <w:szCs w:val="18"/>
        </w:rPr>
        <w:t xml:space="preserve"> </w:t>
      </w:r>
      <w:r w:rsidRPr="000A1C8E">
        <w:rPr>
          <w:rFonts w:ascii="Tahoma" w:hAnsi="Tahoma" w:cs="Tahoma"/>
          <w:sz w:val="18"/>
          <w:szCs w:val="18"/>
        </w:rPr>
        <w:t>O dispositivo pode incluir funções e recursos derivados de software da Microsoft ou de terceiros.</w:t>
      </w:r>
      <w:r w:rsidR="00DC6D8B" w:rsidRPr="000A1C8E">
        <w:rPr>
          <w:rFonts w:ascii="Tahoma" w:hAnsi="Tahoma" w:cs="Tahoma"/>
          <w:sz w:val="18"/>
          <w:szCs w:val="18"/>
        </w:rPr>
        <w:t xml:space="preserve"> </w:t>
      </w:r>
      <w:r w:rsidRPr="000A1C8E">
        <w:rPr>
          <w:rFonts w:ascii="Tahoma" w:hAnsi="Tahoma" w:cs="Tahoma"/>
          <w:sz w:val="18"/>
          <w:szCs w:val="18"/>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r w:rsidR="00DC6D8B" w:rsidRPr="000A1C8E">
        <w:rPr>
          <w:rFonts w:ascii="Tahoma" w:hAnsi="Tahoma" w:cs="Tahoma"/>
          <w:sz w:val="18"/>
          <w:szCs w:val="18"/>
        </w:rPr>
        <w:t xml:space="preserve"> </w:t>
      </w:r>
    </w:p>
    <w:p w:rsidR="00810479" w:rsidRPr="000A1C8E" w:rsidRDefault="00810479" w:rsidP="007A73DF">
      <w:pPr>
        <w:contextualSpacing/>
        <w:rPr>
          <w:rFonts w:cs="Tahoma"/>
        </w:rPr>
      </w:pPr>
    </w:p>
    <w:p w:rsidR="00483B3D" w:rsidRPr="000A1C8E" w:rsidRDefault="00483B3D" w:rsidP="007A73DF">
      <w:pPr>
        <w:contextualSpacing/>
        <w:rPr>
          <w:rFonts w:cs="Tahoma"/>
        </w:rPr>
      </w:pPr>
    </w:p>
    <w:p w:rsidR="00483B3D" w:rsidRPr="000A1C8E" w:rsidRDefault="00A560B6" w:rsidP="007015CC">
      <w:pPr>
        <w:pStyle w:val="Heading3"/>
        <w:keepNext/>
        <w:rPr>
          <w:rFonts w:ascii="Tahoma" w:hAnsi="Tahoma" w:cs="Tahoma"/>
        </w:rPr>
      </w:pPr>
      <w:bookmarkStart w:id="1117" w:name="_25_Windows®_Companion"/>
      <w:bookmarkStart w:id="1118" w:name="_28_Windows®_Companion"/>
      <w:bookmarkStart w:id="1119" w:name="_29_Licença_de"/>
      <w:bookmarkStart w:id="1120" w:name="_Toc336338281"/>
      <w:bookmarkStart w:id="1121" w:name="_Toc361829371"/>
      <w:bookmarkEnd w:id="1117"/>
      <w:bookmarkEnd w:id="1118"/>
      <w:bookmarkEnd w:id="1119"/>
      <w:r w:rsidRPr="000A1C8E">
        <w:rPr>
          <w:rFonts w:ascii="Tahoma" w:hAnsi="Tahoma" w:cs="Tahoma"/>
          <w:caps/>
          <w:color w:val="F66400"/>
          <w:sz w:val="22"/>
          <w:vertAlign w:val="superscript"/>
        </w:rPr>
        <w:t xml:space="preserve">29 </w:t>
      </w:r>
      <w:r w:rsidRPr="000A1C8E">
        <w:rPr>
          <w:rFonts w:ascii="Tahoma" w:hAnsi="Tahoma" w:cs="Tahoma"/>
          <w:color w:val="F66400"/>
          <w:sz w:val="22"/>
        </w:rPr>
        <w:t>Licença de Assinatura do Windows</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Companion</w:t>
      </w:r>
      <w:bookmarkEnd w:id="1120"/>
      <w:bookmarkEnd w:id="1121"/>
    </w:p>
    <w:p w:rsidR="00483B3D" w:rsidRPr="000A1C8E" w:rsidRDefault="00483B3D" w:rsidP="00483B3D">
      <w:pPr>
        <w:rPr>
          <w:rFonts w:cs="Tahoma"/>
        </w:rPr>
      </w:pPr>
    </w:p>
    <w:p w:rsidR="00483B3D" w:rsidRPr="000A1C8E" w:rsidRDefault="00483B3D" w:rsidP="00483B3D">
      <w:pPr>
        <w:spacing w:after="60"/>
        <w:ind w:left="720"/>
        <w:rPr>
          <w:rFonts w:cs="Tahoma"/>
        </w:rPr>
      </w:pPr>
      <w:r w:rsidRPr="000A1C8E">
        <w:rPr>
          <w:rFonts w:cs="Tahoma"/>
          <w:b/>
          <w:color w:val="000000"/>
        </w:rPr>
        <w:t>Instituições com um Contrato School</w:t>
      </w:r>
    </w:p>
    <w:p w:rsidR="00483B3D" w:rsidRPr="000A1C8E" w:rsidRDefault="00483B3D" w:rsidP="000369DF">
      <w:pPr>
        <w:ind w:left="720"/>
        <w:rPr>
          <w:rFonts w:cs="Tahoma"/>
        </w:rPr>
      </w:pPr>
      <w:r w:rsidRPr="000A1C8E">
        <w:rPr>
          <w:rFonts w:cs="Tahoma"/>
          <w:color w:val="000000"/>
        </w:rPr>
        <w:t>As Instituições podem comprar a Licença de Assinatura do Windows Companion (CSL) se elas tiverem cobertura para os produtos qualificados.</w:t>
      </w:r>
      <w:r w:rsidR="00DC6D8B" w:rsidRPr="000A1C8E">
        <w:rPr>
          <w:rFonts w:cs="Tahoma"/>
          <w:color w:val="000000"/>
        </w:rPr>
        <w:t xml:space="preserve"> </w:t>
      </w:r>
      <w:r w:rsidRPr="000A1C8E">
        <w:rPr>
          <w:rFonts w:cs="Tahoma"/>
          <w:color w:val="000000"/>
        </w:rPr>
        <w:t>A quantidade máxima de CSLs que podem ser compradas é igual à</w:t>
      </w:r>
      <w:r w:rsidR="000369DF" w:rsidRPr="000A1C8E">
        <w:rPr>
          <w:rFonts w:cs="Tahoma"/>
          <w:color w:val="000000"/>
        </w:rPr>
        <w:t> </w:t>
      </w:r>
      <w:r w:rsidRPr="000A1C8E">
        <w:rPr>
          <w:rFonts w:cs="Tahoma"/>
          <w:color w:val="000000"/>
        </w:rPr>
        <w:t>contagem de PC Qualificado da instituição dos produtos qualificados.</w:t>
      </w:r>
    </w:p>
    <w:p w:rsidR="00483B3D" w:rsidRPr="000A1C8E" w:rsidRDefault="00483B3D" w:rsidP="00483B3D">
      <w:pPr>
        <w:rPr>
          <w:rFonts w:cs="Tahoma"/>
        </w:rPr>
      </w:pPr>
    </w:p>
    <w:p w:rsidR="00483B3D" w:rsidRPr="000A1C8E" w:rsidRDefault="00483B3D" w:rsidP="00483B3D">
      <w:pPr>
        <w:spacing w:after="60"/>
        <w:ind w:left="720"/>
        <w:rPr>
          <w:rFonts w:cs="Tahoma"/>
        </w:rPr>
      </w:pPr>
      <w:r w:rsidRPr="000A1C8E">
        <w:rPr>
          <w:rFonts w:cs="Tahoma"/>
          <w:b/>
          <w:color w:val="000000"/>
        </w:rPr>
        <w:t>Companion Devices e Dispositivos Qualificados</w:t>
      </w:r>
    </w:p>
    <w:p w:rsidR="00483B3D" w:rsidRPr="000A1C8E" w:rsidRDefault="00483B3D" w:rsidP="000369DF">
      <w:pPr>
        <w:ind w:left="720"/>
        <w:rPr>
          <w:rFonts w:cs="Tahoma"/>
        </w:rPr>
      </w:pPr>
      <w:r w:rsidRPr="000A1C8E">
        <w:rPr>
          <w:rFonts w:cs="Tahoma"/>
          <w:color w:val="000000"/>
        </w:rPr>
        <w:t>Os Companion Devices que usam os direitos de uso fornecidos pelo CSL são Dispositivos Qualificados.</w:t>
      </w:r>
      <w:r w:rsidR="00DC6D8B" w:rsidRPr="000A1C8E">
        <w:rPr>
          <w:rFonts w:cs="Tahoma"/>
          <w:color w:val="000000"/>
        </w:rPr>
        <w:t xml:space="preserve"> </w:t>
      </w:r>
      <w:r w:rsidRPr="000A1C8E">
        <w:rPr>
          <w:rFonts w:cs="Tahoma"/>
          <w:color w:val="000000"/>
        </w:rPr>
        <w:t>O</w:t>
      </w:r>
      <w:r w:rsidR="000369DF" w:rsidRPr="000A1C8E">
        <w:rPr>
          <w:rFonts w:cs="Tahoma"/>
          <w:color w:val="000000"/>
        </w:rPr>
        <w:t> </w:t>
      </w:r>
      <w:r w:rsidRPr="000A1C8E">
        <w:rPr>
          <w:rFonts w:cs="Tahoma"/>
          <w:color w:val="000000"/>
        </w:rPr>
        <w:t>CSL é um Produto Enterprise e, portanto, preenche a parte dos Sistemas de qualquer compromisso de compra de Dispositivos Qualificados.</w:t>
      </w:r>
      <w:r w:rsidR="00DC6D8B" w:rsidRPr="000A1C8E">
        <w:rPr>
          <w:rFonts w:cs="Tahoma"/>
          <w:color w:val="000000"/>
        </w:rPr>
        <w:t xml:space="preserve"> </w:t>
      </w:r>
      <w:r w:rsidRPr="000A1C8E">
        <w:rPr>
          <w:rFonts w:cs="Tahoma"/>
          <w:color w:val="000000"/>
        </w:rPr>
        <w:t xml:space="preserve">O CSL pode ser adquirido em qualquer quantidade e não precisa ser comprado para todos os Dispositivos </w:t>
      </w:r>
      <w:r w:rsidRPr="000A1C8E">
        <w:rPr>
          <w:rFonts w:cs="Tahoma"/>
        </w:rPr>
        <w:t>Qualificados de uma organização, mas de nenhuma forma a contagem de CSL pode exceder a combinação de todas as contagens de Licença VDA e Windows Upgrade.</w:t>
      </w:r>
    </w:p>
    <w:p w:rsidR="00483B3D" w:rsidRPr="000A1C8E" w:rsidRDefault="00483B3D" w:rsidP="00483B3D">
      <w:pPr>
        <w:rPr>
          <w:rFonts w:cs="Tahoma"/>
        </w:rPr>
      </w:pPr>
    </w:p>
    <w:p w:rsidR="00483B3D" w:rsidRPr="000A1C8E" w:rsidRDefault="00483B3D" w:rsidP="00483B3D">
      <w:pPr>
        <w:rPr>
          <w:rFonts w:cs="Tahoma"/>
        </w:rPr>
      </w:pPr>
    </w:p>
    <w:p w:rsidR="00483B3D" w:rsidRPr="000A1C8E" w:rsidRDefault="00A560B6" w:rsidP="00483B3D">
      <w:pPr>
        <w:pStyle w:val="Heading3"/>
        <w:rPr>
          <w:rFonts w:ascii="Tahoma" w:hAnsi="Tahoma" w:cs="Tahoma"/>
        </w:rPr>
      </w:pPr>
      <w:bookmarkStart w:id="1122" w:name="_26_Windows_Vista"/>
      <w:bookmarkStart w:id="1123" w:name="_29_Windows_Vista"/>
      <w:bookmarkStart w:id="1124" w:name="_29_30_Windows"/>
      <w:bookmarkStart w:id="1125" w:name="_30_Windows_Vista"/>
      <w:bookmarkStart w:id="1126" w:name="_Toc336338282"/>
      <w:bookmarkStart w:id="1127" w:name="_Toc361829372"/>
      <w:bookmarkStart w:id="1128" w:name="Sys_24WindowsVistaDVDPack"/>
      <w:bookmarkEnd w:id="1122"/>
      <w:bookmarkEnd w:id="1123"/>
      <w:bookmarkEnd w:id="1124"/>
      <w:bookmarkEnd w:id="1125"/>
      <w:r w:rsidRPr="000A1C8E">
        <w:rPr>
          <w:rFonts w:ascii="Tahoma" w:hAnsi="Tahoma" w:cs="Tahoma"/>
          <w:caps/>
          <w:color w:val="F66400"/>
          <w:sz w:val="22"/>
          <w:vertAlign w:val="superscript"/>
        </w:rPr>
        <w:t>30</w:t>
      </w:r>
      <w:r w:rsidRPr="000A1C8E">
        <w:rPr>
          <w:rFonts w:ascii="Tahoma" w:eastAsia="Times New Roman" w:hAnsi="Tahoma" w:cs="Tahoma"/>
          <w:bCs/>
          <w:color w:val="F66400"/>
          <w:sz w:val="22"/>
          <w:szCs w:val="22"/>
        </w:rPr>
        <w:t xml:space="preserve"> Windows Vista DVD Playback Pack</w:t>
      </w:r>
      <w:bookmarkEnd w:id="1126"/>
      <w:bookmarkEnd w:id="1127"/>
    </w:p>
    <w:bookmarkEnd w:id="1128"/>
    <w:p w:rsidR="00483B3D" w:rsidRPr="000A1C8E" w:rsidRDefault="00483B3D" w:rsidP="00483B3D">
      <w:pPr>
        <w:rPr>
          <w:rFonts w:cs="Tahoma"/>
        </w:rPr>
      </w:pPr>
    </w:p>
    <w:p w:rsidR="00483B3D" w:rsidRPr="000A1C8E" w:rsidRDefault="00483B3D" w:rsidP="000369DF">
      <w:pPr>
        <w:ind w:left="720"/>
        <w:rPr>
          <w:rFonts w:cs="Tahoma"/>
        </w:rPr>
      </w:pPr>
      <w:r w:rsidRPr="000A1C8E">
        <w:rPr>
          <w:rFonts w:eastAsia="Calibri" w:cs="Tahoma"/>
          <w:color w:val="000000"/>
          <w:szCs w:val="18"/>
        </w:rPr>
        <w:t>Os clientes do Licenciamento por Volume instalando ou operando o DVD Playback Pack Windows Vista devem consultar os Direitos de Uso de Produto (PUR) do Microsoft Licensing de dezembro de 2010 sobre os</w:t>
      </w:r>
      <w:r w:rsidR="000369DF" w:rsidRPr="000A1C8E">
        <w:rPr>
          <w:rFonts w:eastAsia="Calibri" w:cs="Tahoma"/>
          <w:color w:val="000000"/>
          <w:szCs w:val="18"/>
        </w:rPr>
        <w:t> </w:t>
      </w:r>
      <w:r w:rsidRPr="000A1C8E">
        <w:rPr>
          <w:rFonts w:eastAsia="Calibri" w:cs="Tahoma"/>
          <w:color w:val="000000"/>
          <w:szCs w:val="18"/>
        </w:rPr>
        <w:t>termos de licença.</w:t>
      </w:r>
    </w:p>
    <w:p w:rsidR="00483B3D" w:rsidRPr="000A1C8E" w:rsidRDefault="00483B3D" w:rsidP="00483B3D">
      <w:pPr>
        <w:rPr>
          <w:rFonts w:cs="Tahoma"/>
        </w:rPr>
      </w:pPr>
    </w:p>
    <w:p w:rsidR="007A73DF" w:rsidRPr="000A1C8E" w:rsidRDefault="007A73DF" w:rsidP="007A73DF">
      <w:pPr>
        <w:contextualSpacing/>
        <w:rPr>
          <w:rFonts w:cs="Tahoma"/>
        </w:rPr>
      </w:pPr>
    </w:p>
    <w:p w:rsidR="00D513A8" w:rsidRPr="000A1C8E" w:rsidRDefault="00A560B6" w:rsidP="00D513A8">
      <w:pPr>
        <w:pStyle w:val="Heading3"/>
        <w:rPr>
          <w:rFonts w:ascii="Tahoma" w:hAnsi="Tahoma" w:cs="Tahoma"/>
        </w:rPr>
      </w:pPr>
      <w:bookmarkStart w:id="1129" w:name="_30_Windows®_7"/>
      <w:bookmarkStart w:id="1130" w:name="_31_Parceiros_na"/>
      <w:bookmarkStart w:id="1131" w:name="Sys_25WindowsPartnersLearning"/>
      <w:bookmarkStart w:id="1132" w:name="_Toc361829373"/>
      <w:bookmarkStart w:id="1133" w:name="_Toc336338284"/>
      <w:bookmarkEnd w:id="1129"/>
      <w:bookmarkEnd w:id="1130"/>
      <w:r w:rsidRPr="000A1C8E">
        <w:rPr>
          <w:rFonts w:ascii="Tahoma" w:hAnsi="Tahoma" w:cs="Tahoma"/>
          <w:caps/>
          <w:color w:val="F66400"/>
          <w:sz w:val="22"/>
          <w:vertAlign w:val="superscript"/>
        </w:rPr>
        <w:t>31</w:t>
      </w:r>
      <w:r w:rsidRPr="000A1C8E">
        <w:rPr>
          <w:rFonts w:ascii="Tahoma" w:hAnsi="Tahoma" w:cs="Tahoma"/>
          <w:color w:val="F66400"/>
          <w:sz w:val="22"/>
        </w:rPr>
        <w:t xml:space="preserve"> Parceiros na Aprendizagem do Windows</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7</w:t>
      </w:r>
      <w:bookmarkEnd w:id="1131"/>
      <w:bookmarkEnd w:id="1132"/>
    </w:p>
    <w:p w:rsidR="00D513A8" w:rsidRPr="000A1C8E" w:rsidRDefault="00D513A8" w:rsidP="00D513A8">
      <w:pPr>
        <w:rPr>
          <w:rFonts w:cs="Tahoma"/>
        </w:rPr>
      </w:pPr>
    </w:p>
    <w:p w:rsidR="00D513A8" w:rsidRPr="000A1C8E" w:rsidRDefault="00D513A8" w:rsidP="00D513A8">
      <w:pPr>
        <w:ind w:left="720" w:right="-810"/>
        <w:rPr>
          <w:rFonts w:cs="Tahoma"/>
        </w:rPr>
      </w:pPr>
      <w:r w:rsidRPr="000A1C8E">
        <w:rPr>
          <w:rFonts w:cs="Tahoma"/>
          <w:color w:val="000000"/>
          <w:szCs w:val="18"/>
        </w:rPr>
        <w:t xml:space="preserve">Para obter informações sobre qualificação de licenças e registro de parceiros, consulte o site </w:t>
      </w:r>
      <w:hyperlink r:id="rId46" w:history="1">
        <w:r w:rsidRPr="000A1C8E">
          <w:rPr>
            <w:rStyle w:val="Hyperlink"/>
            <w:rFonts w:cs="Tahoma"/>
            <w:szCs w:val="18"/>
          </w:rPr>
          <w:t>http://www.microsoft.com/education/pil/partnersinlearning.aspx</w:t>
        </w:r>
      </w:hyperlink>
      <w:r w:rsidRPr="000A1C8E">
        <w:rPr>
          <w:rFonts w:cs="Tahoma"/>
          <w:color w:val="000000"/>
        </w:rPr>
        <w:t xml:space="preserve"> </w:t>
      </w:r>
    </w:p>
    <w:p w:rsidR="00D513A8" w:rsidRPr="000A1C8E" w:rsidRDefault="00D513A8" w:rsidP="00D513A8">
      <w:pPr>
        <w:ind w:right="-810"/>
        <w:rPr>
          <w:rFonts w:cs="Tahoma"/>
        </w:rPr>
      </w:pPr>
    </w:p>
    <w:p w:rsidR="00D513A8" w:rsidRPr="000A1C8E" w:rsidRDefault="00D513A8" w:rsidP="00D513A8">
      <w:pPr>
        <w:ind w:right="-810"/>
        <w:rPr>
          <w:rFonts w:cs="Tahoma"/>
        </w:rPr>
      </w:pPr>
    </w:p>
    <w:p w:rsidR="005D4DAB" w:rsidRPr="000A1C8E" w:rsidRDefault="00A560B6" w:rsidP="00C646B3">
      <w:pPr>
        <w:pStyle w:val="Heading3"/>
        <w:rPr>
          <w:rFonts w:ascii="Tahoma" w:hAnsi="Tahoma" w:cs="Tahoma"/>
        </w:rPr>
      </w:pPr>
      <w:bookmarkStart w:id="1134" w:name="_28_Windows®_8"/>
      <w:bookmarkStart w:id="1135" w:name="_31_Windows®_8"/>
      <w:bookmarkStart w:id="1136" w:name="_Toc361829374"/>
      <w:bookmarkEnd w:id="1134"/>
      <w:bookmarkEnd w:id="1135"/>
      <w:r w:rsidRPr="000A1C8E">
        <w:rPr>
          <w:rFonts w:ascii="Tahoma" w:hAnsi="Tahoma" w:cs="Tahoma"/>
          <w:caps/>
          <w:color w:val="F66400"/>
          <w:sz w:val="22"/>
          <w:vertAlign w:val="superscript"/>
        </w:rPr>
        <w:t>32</w:t>
      </w:r>
      <w:r w:rsidRPr="000A1C8E">
        <w:rPr>
          <w:rFonts w:ascii="Tahoma" w:hAnsi="Tahoma" w:cs="Tahoma"/>
          <w:color w:val="F66400"/>
          <w:sz w:val="22"/>
        </w:rPr>
        <w:t xml:space="preserve"> Windows</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8 Enterprise Sideloading</w:t>
      </w:r>
      <w:bookmarkEnd w:id="1133"/>
      <w:bookmarkEnd w:id="1136"/>
    </w:p>
    <w:p w:rsidR="009B2474" w:rsidRPr="000A1C8E" w:rsidRDefault="009B2474" w:rsidP="009B2474">
      <w:pPr>
        <w:rPr>
          <w:rFonts w:cs="Tahoma"/>
        </w:rPr>
      </w:pPr>
    </w:p>
    <w:p w:rsidR="009B2474" w:rsidRPr="000A1C8E"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0A1C8E"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0A1C8E" w:rsidRDefault="00433F5F" w:rsidP="005D4DAB">
            <w:pPr>
              <w:jc w:val="center"/>
              <w:rPr>
                <w:rFonts w:eastAsia="Calibri" w:cs="Tahoma"/>
                <w:b/>
                <w:bCs/>
                <w:szCs w:val="18"/>
              </w:rPr>
            </w:pPr>
            <w:r w:rsidRPr="000A1C8E">
              <w:rPr>
                <w:rFonts w:cs="Tahoma"/>
                <w:b/>
                <w:bCs/>
                <w:szCs w:val="18"/>
              </w:rPr>
              <w:t>Disponibilidade do Produto</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0A1C8E" w:rsidRDefault="005D4DAB" w:rsidP="005D4DAB">
            <w:pPr>
              <w:jc w:val="center"/>
              <w:rPr>
                <w:rFonts w:cs="Tahoma"/>
                <w:b/>
                <w:bCs/>
                <w:szCs w:val="18"/>
              </w:rPr>
            </w:pPr>
            <w:r w:rsidRPr="000A1C8E">
              <w:rPr>
                <w:rFonts w:cs="Tahoma"/>
                <w:b/>
                <w:bCs/>
                <w:szCs w:val="18"/>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0A1C8E" w:rsidRDefault="005D4DAB" w:rsidP="005D4DAB">
            <w:pPr>
              <w:jc w:val="center"/>
              <w:rPr>
                <w:rFonts w:eastAsia="Calibri" w:cs="Tahoma"/>
                <w:b/>
                <w:bCs/>
                <w:szCs w:val="18"/>
              </w:rPr>
            </w:pPr>
            <w:r w:rsidRPr="000A1C8E">
              <w:rPr>
                <w:rFonts w:cs="Tahoma"/>
                <w:b/>
                <w:bCs/>
                <w:szCs w:val="18"/>
              </w:rPr>
              <w:t>Disponível como um Benefício do SA</w:t>
            </w:r>
          </w:p>
        </w:tc>
      </w:tr>
      <w:tr w:rsidR="005D4DAB" w:rsidRPr="000A1C8E"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0A1C8E" w:rsidRDefault="005D4DAB" w:rsidP="005D4DAB">
            <w:pPr>
              <w:jc w:val="center"/>
              <w:rPr>
                <w:rFonts w:eastAsia="Calibri" w:cs="Tahoma"/>
                <w:b/>
                <w:bCs/>
                <w:szCs w:val="18"/>
              </w:rPr>
            </w:pPr>
            <w:r w:rsidRPr="000A1C8E">
              <w:rPr>
                <w:rFonts w:cs="Tahoma"/>
                <w:b/>
                <w:bCs/>
                <w:szCs w:val="18"/>
              </w:rPr>
              <w:t>Licença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0A1C8E" w:rsidRDefault="005D4DAB" w:rsidP="005D4DAB">
            <w:pPr>
              <w:jc w:val="center"/>
              <w:rPr>
                <w:rFonts w:cs="Tahoma"/>
                <w:szCs w:val="18"/>
              </w:rPr>
            </w:pPr>
            <w:r w:rsidRPr="000A1C8E">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0A1C8E" w:rsidRDefault="005D4DAB" w:rsidP="005D4DAB">
            <w:pPr>
              <w:jc w:val="center"/>
              <w:rPr>
                <w:rFonts w:eastAsia="Calibri" w:cs="Tahoma"/>
                <w:szCs w:val="18"/>
              </w:rPr>
            </w:pPr>
          </w:p>
        </w:tc>
      </w:tr>
      <w:tr w:rsidR="005D4DAB" w:rsidRPr="000A1C8E"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A1C8E" w:rsidRDefault="005D4DAB" w:rsidP="005D4DAB">
            <w:pPr>
              <w:jc w:val="center"/>
              <w:rPr>
                <w:rFonts w:cs="Tahoma"/>
                <w:b/>
                <w:bCs/>
                <w:szCs w:val="18"/>
              </w:rPr>
            </w:pPr>
            <w:r w:rsidRPr="000A1C8E">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0A1C8E" w:rsidRDefault="005D4DAB" w:rsidP="005D4DAB">
            <w:pPr>
              <w:jc w:val="center"/>
              <w:rPr>
                <w:rFonts w:cs="Tahoma"/>
                <w:szCs w:val="18"/>
              </w:rPr>
            </w:pPr>
            <w:r w:rsidRPr="000A1C8E">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A1C8E" w:rsidRDefault="005D4DAB" w:rsidP="005D4DAB">
            <w:pPr>
              <w:jc w:val="center"/>
              <w:rPr>
                <w:rFonts w:eastAsia="Calibri" w:cs="Tahoma"/>
                <w:szCs w:val="18"/>
              </w:rPr>
            </w:pPr>
            <w:r w:rsidRPr="000A1C8E">
              <w:rPr>
                <w:rFonts w:eastAsia="Calibri" w:cs="Tahoma"/>
                <w:szCs w:val="18"/>
              </w:rPr>
              <w:t>x</w:t>
            </w:r>
          </w:p>
        </w:tc>
      </w:tr>
      <w:tr w:rsidR="005D4DAB" w:rsidRPr="000A1C8E"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A1C8E" w:rsidRDefault="005D4DAB" w:rsidP="005D4DAB">
            <w:pPr>
              <w:jc w:val="center"/>
              <w:rPr>
                <w:rFonts w:cs="Tahoma"/>
                <w:b/>
                <w:bCs/>
                <w:szCs w:val="18"/>
              </w:rPr>
            </w:pPr>
            <w:r w:rsidRPr="000A1C8E">
              <w:rPr>
                <w:rFonts w:cs="Tahoma"/>
                <w:b/>
                <w:bCs/>
                <w:szCs w:val="18"/>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0A1C8E"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A1C8E" w:rsidRDefault="005D4DAB" w:rsidP="005D4DAB">
            <w:pPr>
              <w:jc w:val="center"/>
              <w:rPr>
                <w:rFonts w:eastAsia="Calibri" w:cs="Tahoma"/>
                <w:szCs w:val="18"/>
              </w:rPr>
            </w:pPr>
            <w:r w:rsidRPr="000A1C8E">
              <w:rPr>
                <w:rFonts w:eastAsia="Calibri" w:cs="Tahoma"/>
                <w:szCs w:val="18"/>
              </w:rPr>
              <w:t>x</w:t>
            </w:r>
          </w:p>
        </w:tc>
      </w:tr>
      <w:tr w:rsidR="00755633" w:rsidRPr="000A1C8E"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0A1C8E" w:rsidRDefault="00755633" w:rsidP="005D4DAB">
            <w:pPr>
              <w:jc w:val="center"/>
              <w:rPr>
                <w:rFonts w:cs="Tahoma"/>
                <w:b/>
                <w:bCs/>
                <w:szCs w:val="18"/>
              </w:rPr>
            </w:pPr>
            <w:r w:rsidRPr="000A1C8E">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0A1C8E"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0A1C8E" w:rsidRDefault="00755633" w:rsidP="005D4DAB">
            <w:pPr>
              <w:jc w:val="center"/>
              <w:rPr>
                <w:rFonts w:eastAsia="Calibri" w:cs="Tahoma"/>
                <w:szCs w:val="18"/>
              </w:rPr>
            </w:pPr>
            <w:r w:rsidRPr="000A1C8E">
              <w:rPr>
                <w:rFonts w:eastAsia="Calibri" w:cs="Tahoma"/>
                <w:szCs w:val="18"/>
              </w:rPr>
              <w:t>x</w:t>
            </w:r>
          </w:p>
        </w:tc>
      </w:tr>
    </w:tbl>
    <w:p w:rsidR="005D4DAB" w:rsidRPr="000A1C8E" w:rsidRDefault="005D4DAB" w:rsidP="00572128">
      <w:pPr>
        <w:ind w:left="900"/>
        <w:rPr>
          <w:rFonts w:cs="Tahoma"/>
        </w:rPr>
      </w:pPr>
    </w:p>
    <w:p w:rsidR="005D4DAB" w:rsidRPr="000A1C8E" w:rsidRDefault="005D4DAB" w:rsidP="000369DF">
      <w:pPr>
        <w:ind w:left="720"/>
        <w:rPr>
          <w:rFonts w:cs="Tahoma"/>
        </w:rPr>
      </w:pPr>
      <w:r w:rsidRPr="000A1C8E">
        <w:rPr>
          <w:rFonts w:cs="Tahoma"/>
          <w:szCs w:val="18"/>
        </w:rPr>
        <w:lastRenderedPageBreak/>
        <w:t>O Windows Enterprise Sideloading é o processo de instalar novos Aplicativos do Windows 8 que estão sendo</w:t>
      </w:r>
      <w:r w:rsidR="000369DF" w:rsidRPr="000A1C8E">
        <w:rPr>
          <w:rFonts w:cs="Tahoma"/>
          <w:szCs w:val="18"/>
        </w:rPr>
        <w:t> </w:t>
      </w:r>
      <w:r w:rsidRPr="000A1C8E">
        <w:rPr>
          <w:rFonts w:cs="Tahoma"/>
          <w:szCs w:val="18"/>
        </w:rPr>
        <w:t>usados para o benefício do cliente, diretamente em um dispositivo, sem passar pela Windows Store.</w:t>
      </w:r>
      <w:r w:rsidR="00DC6D8B" w:rsidRPr="000A1C8E">
        <w:rPr>
          <w:rFonts w:cs="Tahoma"/>
          <w:szCs w:val="18"/>
        </w:rPr>
        <w:t xml:space="preserve"> </w:t>
      </w:r>
      <w:r w:rsidRPr="000A1C8E">
        <w:rPr>
          <w:rFonts w:cs="Tahoma"/>
          <w:szCs w:val="18"/>
        </w:rPr>
        <w:t>Os dispositivos que fazem parte do domínio que estão executando a edição Windows 8 Enterprise, em qualquer programa VL, possuem recursos habilitados para Windows Enterprise Sideloading.</w:t>
      </w:r>
      <w:r w:rsidR="00DC6D8B" w:rsidRPr="000A1C8E">
        <w:rPr>
          <w:rFonts w:cs="Tahoma"/>
          <w:szCs w:val="18"/>
        </w:rPr>
        <w:t xml:space="preserve"> </w:t>
      </w:r>
      <w:r w:rsidRPr="000A1C8E">
        <w:rPr>
          <w:rFonts w:cs="Tahoma"/>
          <w:szCs w:val="18"/>
        </w:rPr>
        <w:t>O Windows Enterprise Sideloading também pode ser habilitado em dispositivos que estão executando o Windows 8 Enterprise que não fazem parte do domínio e em dispositivos que estão executando o Windows 8 Pro ou Windows RT por meio do uso de uma chave de produto.</w:t>
      </w:r>
      <w:r w:rsidR="00DC6D8B" w:rsidRPr="000A1C8E">
        <w:rPr>
          <w:rFonts w:cs="Tahoma"/>
          <w:szCs w:val="18"/>
        </w:rPr>
        <w:t xml:space="preserve"> </w:t>
      </w:r>
      <w:r w:rsidRPr="000A1C8E">
        <w:rPr>
          <w:rFonts w:cs="Tahoma"/>
          <w:szCs w:val="18"/>
        </w:rPr>
        <w:t>Em todos os casos, o Windows Enterprise Sideloading só pode ser usado para implantar Aplicativos que são usados para o benefício do cliente de Licenciamento por Volume.</w:t>
      </w:r>
      <w:r w:rsidR="00DC6D8B" w:rsidRPr="000A1C8E">
        <w:rPr>
          <w:rFonts w:cs="Tahoma"/>
          <w:szCs w:val="18"/>
        </w:rPr>
        <w:t xml:space="preserve"> </w:t>
      </w:r>
      <w:r w:rsidRPr="000A1C8E">
        <w:rPr>
          <w:rFonts w:cs="Tahoma"/>
          <w:szCs w:val="18"/>
        </w:rPr>
        <w:t>O recurso Windows Enterprise Sideloading é complementar para o Sistema Operacional Windows Desktop e, como tal, os termos de licença aplicáveis ao Sistema Operacional Windows</w:t>
      </w:r>
      <w:r w:rsidR="000369DF" w:rsidRPr="000A1C8E">
        <w:rPr>
          <w:rFonts w:cs="Tahoma"/>
          <w:szCs w:val="18"/>
        </w:rPr>
        <w:t> </w:t>
      </w:r>
      <w:r w:rsidRPr="000A1C8E">
        <w:rPr>
          <w:rFonts w:cs="Tahoma"/>
          <w:szCs w:val="18"/>
        </w:rPr>
        <w:t>Desktop, conforme complementado aqui, se aplicam ao uso que o cliente faz dele.</w:t>
      </w:r>
    </w:p>
    <w:p w:rsidR="005D4DAB" w:rsidRPr="000A1C8E" w:rsidRDefault="005D4DAB" w:rsidP="00572128">
      <w:pPr>
        <w:ind w:left="900"/>
        <w:rPr>
          <w:rFonts w:cs="Tahoma"/>
        </w:rPr>
      </w:pPr>
    </w:p>
    <w:p w:rsidR="005D4DAB" w:rsidRPr="000A1C8E" w:rsidRDefault="005D4DAB" w:rsidP="009B2474">
      <w:pPr>
        <w:spacing w:after="60"/>
        <w:ind w:left="720"/>
        <w:rPr>
          <w:rFonts w:cs="Tahoma"/>
        </w:rPr>
      </w:pPr>
      <w:r w:rsidRPr="000A1C8E">
        <w:rPr>
          <w:rFonts w:cs="Tahoma"/>
          <w:b/>
          <w:szCs w:val="18"/>
        </w:rPr>
        <w:t>Benefício do Software Assurance</w:t>
      </w:r>
    </w:p>
    <w:p w:rsidR="005D4DAB" w:rsidRPr="000A1C8E" w:rsidRDefault="005D4DAB" w:rsidP="00EE035D">
      <w:pPr>
        <w:ind w:left="720"/>
        <w:rPr>
          <w:rFonts w:cs="Tahoma"/>
        </w:rPr>
      </w:pPr>
      <w:r w:rsidRPr="000A1C8E">
        <w:rPr>
          <w:rFonts w:cs="Tahoma"/>
          <w:szCs w:val="18"/>
        </w:rPr>
        <w:t>Uma chave de produto pode ser usada para habilitar o Windows Enterprise Sideloading em qualquer um dos dispositivos a seguir:</w:t>
      </w:r>
    </w:p>
    <w:p w:rsidR="009B2474" w:rsidRPr="000A1C8E" w:rsidRDefault="009B2474" w:rsidP="00EE035D">
      <w:pPr>
        <w:ind w:left="720"/>
        <w:rPr>
          <w:rFonts w:cs="Tahoma"/>
        </w:rPr>
      </w:pPr>
    </w:p>
    <w:p w:rsidR="005D4DAB" w:rsidRPr="000A1C8E" w:rsidRDefault="005D4DAB" w:rsidP="00346F4B">
      <w:pPr>
        <w:pStyle w:val="ListParagraph"/>
        <w:numPr>
          <w:ilvl w:val="0"/>
          <w:numId w:val="83"/>
        </w:numPr>
        <w:spacing w:after="60"/>
        <w:ind w:left="1440"/>
        <w:contextualSpacing w:val="0"/>
        <w:rPr>
          <w:rFonts w:ascii="Tahoma" w:hAnsi="Tahoma" w:cs="Tahoma"/>
        </w:rPr>
      </w:pPr>
      <w:r w:rsidRPr="000A1C8E">
        <w:rPr>
          <w:rFonts w:ascii="Tahoma" w:hAnsi="Tahoma" w:cs="Tahoma"/>
          <w:sz w:val="18"/>
          <w:szCs w:val="18"/>
        </w:rPr>
        <w:t>Dispositivos com cobertura ativa do Software Assurance do Windows</w:t>
      </w:r>
    </w:p>
    <w:p w:rsidR="005D4DAB" w:rsidRPr="000A1C8E" w:rsidRDefault="005D4DAB" w:rsidP="00346F4B">
      <w:pPr>
        <w:pStyle w:val="ListParagraph"/>
        <w:numPr>
          <w:ilvl w:val="0"/>
          <w:numId w:val="83"/>
        </w:numPr>
        <w:spacing w:after="60"/>
        <w:ind w:left="1440"/>
        <w:contextualSpacing w:val="0"/>
        <w:rPr>
          <w:rFonts w:ascii="Tahoma" w:hAnsi="Tahoma" w:cs="Tahoma"/>
        </w:rPr>
      </w:pPr>
      <w:r w:rsidRPr="000A1C8E">
        <w:rPr>
          <w:rFonts w:ascii="Tahoma" w:hAnsi="Tahoma" w:cs="Tahoma"/>
          <w:sz w:val="18"/>
          <w:szCs w:val="18"/>
        </w:rPr>
        <w:t>Dispositivos com uma assinatura ativa do Windows Intune (Por Dispositivo) ou VDA</w:t>
      </w:r>
    </w:p>
    <w:p w:rsidR="005D4DAB" w:rsidRPr="000A1C8E" w:rsidRDefault="005D4DAB" w:rsidP="00346F4B">
      <w:pPr>
        <w:pStyle w:val="ListParagraph"/>
        <w:numPr>
          <w:ilvl w:val="0"/>
          <w:numId w:val="83"/>
        </w:numPr>
        <w:spacing w:after="60"/>
        <w:ind w:left="1440"/>
        <w:contextualSpacing w:val="0"/>
        <w:rPr>
          <w:rFonts w:ascii="Tahoma" w:hAnsi="Tahoma" w:cs="Tahoma"/>
        </w:rPr>
      </w:pPr>
      <w:r w:rsidRPr="000A1C8E">
        <w:rPr>
          <w:rFonts w:ascii="Tahoma" w:hAnsi="Tahoma" w:cs="Tahoma"/>
          <w:sz w:val="18"/>
          <w:szCs w:val="18"/>
        </w:rPr>
        <w:t>Dispositivos do Windows RT</w:t>
      </w:r>
    </w:p>
    <w:p w:rsidR="00EB2B3F" w:rsidRPr="000A1C8E" w:rsidRDefault="00EB2B3F" w:rsidP="00346F4B">
      <w:pPr>
        <w:pStyle w:val="ListParagraph"/>
        <w:numPr>
          <w:ilvl w:val="0"/>
          <w:numId w:val="83"/>
        </w:numPr>
        <w:spacing w:after="60"/>
        <w:ind w:left="1440"/>
        <w:contextualSpacing w:val="0"/>
        <w:rPr>
          <w:rFonts w:ascii="Tahoma" w:hAnsi="Tahoma" w:cs="Tahoma"/>
        </w:rPr>
      </w:pPr>
      <w:r w:rsidRPr="000A1C8E">
        <w:rPr>
          <w:rFonts w:ascii="Tahoma" w:hAnsi="Tahoma" w:cs="Tahoma"/>
          <w:sz w:val="18"/>
          <w:szCs w:val="18"/>
        </w:rPr>
        <w:t>Dispositivos cobertos pela Licença de Assinatura do Windows Companion</w:t>
      </w:r>
    </w:p>
    <w:p w:rsidR="005D4DAB" w:rsidRPr="000A1C8E" w:rsidRDefault="005D4DAB" w:rsidP="00572128">
      <w:pPr>
        <w:ind w:left="900"/>
        <w:rPr>
          <w:rFonts w:cs="Tahoma"/>
        </w:rPr>
      </w:pPr>
    </w:p>
    <w:p w:rsidR="005D4DAB" w:rsidRPr="000A1C8E" w:rsidRDefault="005D4DAB" w:rsidP="000369DF">
      <w:pPr>
        <w:ind w:left="720"/>
        <w:rPr>
          <w:rFonts w:cs="Tahoma"/>
        </w:rPr>
      </w:pPr>
      <w:r w:rsidRPr="000A1C8E">
        <w:rPr>
          <w:rFonts w:cs="Tahoma"/>
          <w:szCs w:val="18"/>
        </w:rPr>
        <w:t xml:space="preserve">O Windows Enterprise Sideloading só pode ser habilitado em um dispositivo permitido antes do término da cobertura do Software Assurance correspondente ou da Licença de Assinatura. </w:t>
      </w:r>
      <w:r w:rsidRPr="000A1C8E">
        <w:rPr>
          <w:rFonts w:cs="Tahoma"/>
        </w:rPr>
        <w:t>Nos programas Academic, o</w:t>
      </w:r>
      <w:r w:rsidR="000369DF" w:rsidRPr="000A1C8E">
        <w:rPr>
          <w:rFonts w:cs="Tahoma"/>
        </w:rPr>
        <w:t> </w:t>
      </w:r>
      <w:r w:rsidRPr="000A1C8E">
        <w:rPr>
          <w:rFonts w:cs="Tahoma"/>
        </w:rPr>
        <w:t>Windows Enterprise Sideloading só pode ser habilitado em dispositivos pertencentes à instituição</w:t>
      </w:r>
      <w:r w:rsidRPr="000A1C8E">
        <w:rPr>
          <w:rFonts w:cs="Tahoma"/>
          <w:szCs w:val="18"/>
        </w:rPr>
        <w:t>.</w:t>
      </w:r>
    </w:p>
    <w:p w:rsidR="005D4DAB" w:rsidRPr="000A1C8E" w:rsidRDefault="005D4DAB" w:rsidP="00572128">
      <w:pPr>
        <w:ind w:left="900"/>
        <w:rPr>
          <w:rFonts w:cs="Tahoma"/>
        </w:rPr>
      </w:pPr>
    </w:p>
    <w:p w:rsidR="005D4DAB" w:rsidRPr="000A1C8E" w:rsidRDefault="009B2474" w:rsidP="009B2474">
      <w:pPr>
        <w:spacing w:after="60"/>
        <w:ind w:left="720"/>
        <w:rPr>
          <w:rFonts w:cs="Tahoma"/>
        </w:rPr>
      </w:pPr>
      <w:r w:rsidRPr="000A1C8E">
        <w:rPr>
          <w:rFonts w:cs="Tahoma"/>
          <w:b/>
          <w:szCs w:val="18"/>
        </w:rPr>
        <w:t>Licenças do Enterprise Sideloading Disponíveis para Aquisição</w:t>
      </w:r>
    </w:p>
    <w:p w:rsidR="00697E59" w:rsidRPr="000A1C8E" w:rsidRDefault="005D4DAB" w:rsidP="00AF3B19">
      <w:pPr>
        <w:ind w:left="720"/>
        <w:rPr>
          <w:rFonts w:cs="Tahoma"/>
        </w:rPr>
      </w:pPr>
      <w:r w:rsidRPr="000A1C8E">
        <w:rPr>
          <w:rFonts w:cs="Tahoma"/>
          <w:szCs w:val="18"/>
        </w:rPr>
        <w:t>Os clientes podem adquirir licenças do Enterprise Sideloading.</w:t>
      </w:r>
      <w:r w:rsidR="00DC6D8B" w:rsidRPr="000A1C8E">
        <w:rPr>
          <w:rFonts w:cs="Tahoma"/>
          <w:szCs w:val="18"/>
        </w:rPr>
        <w:t xml:space="preserve"> </w:t>
      </w:r>
      <w:r w:rsidRPr="000A1C8E">
        <w:rPr>
          <w:rFonts w:cs="Tahoma"/>
          <w:szCs w:val="18"/>
        </w:rPr>
        <w:t xml:space="preserve">Cada licença do Enterprise Sideloading deve ser atribuída permanentemente a um único dispositivo. </w:t>
      </w:r>
      <w:r w:rsidRPr="000A1C8E">
        <w:rPr>
          <w:rFonts w:cs="Tahoma"/>
        </w:rPr>
        <w:t>Nos programas Academic, o Windows Enterprise Sideloading só pode ser habilitado em dispositivos pertencentes à instituição</w:t>
      </w:r>
      <w:r w:rsidRPr="000A1C8E">
        <w:rPr>
          <w:rFonts w:cs="Tahoma"/>
          <w:szCs w:val="18"/>
        </w:rPr>
        <w:t>.</w:t>
      </w:r>
      <w:bookmarkStart w:id="1137" w:name="_Toc336338285"/>
    </w:p>
    <w:p w:rsidR="00AF3B19" w:rsidRPr="000A1C8E" w:rsidRDefault="00AF3B19" w:rsidP="00B50A5B">
      <w:pPr>
        <w:spacing w:after="60"/>
        <w:rPr>
          <w:rFonts w:cs="Tahoma"/>
        </w:rPr>
      </w:pPr>
    </w:p>
    <w:p w:rsidR="005C55EB" w:rsidRPr="000A1C8E" w:rsidRDefault="005C55EB" w:rsidP="00B50A5B">
      <w:pPr>
        <w:spacing w:after="60"/>
        <w:ind w:left="720"/>
        <w:rPr>
          <w:rFonts w:cs="Tahoma"/>
        </w:rPr>
      </w:pPr>
      <w:r w:rsidRPr="000A1C8E">
        <w:rPr>
          <w:rFonts w:cs="Tahoma"/>
          <w:b/>
          <w:szCs w:val="18"/>
        </w:rPr>
        <w:t>Windows Embedded 8 Pro Sideloading</w:t>
      </w:r>
    </w:p>
    <w:p w:rsidR="005C55EB" w:rsidRPr="000A1C8E" w:rsidRDefault="005C55EB" w:rsidP="006714D8">
      <w:pPr>
        <w:ind w:left="720"/>
        <w:rPr>
          <w:rFonts w:cs="Tahoma"/>
        </w:rPr>
      </w:pPr>
      <w:r w:rsidRPr="000A1C8E">
        <w:rPr>
          <w:rFonts w:cs="Tahoma"/>
          <w:szCs w:val="18"/>
        </w:rPr>
        <w:t>Os clientes que compram as licenças do Windows Embedded 8 Pro podem comprar as licenças do Windows 8 Enterprise Sideloading destes dispositivos. Observação: para dispositivos com Windows Embedded 8 Industry Pro, você deverá comprar o Windows Embedded 8 Industry Pro Sideloading.</w:t>
      </w:r>
    </w:p>
    <w:p w:rsidR="006714D8" w:rsidRPr="000A1C8E" w:rsidRDefault="006714D8" w:rsidP="006714D8">
      <w:pPr>
        <w:ind w:left="720"/>
        <w:rPr>
          <w:rFonts w:cs="Tahoma"/>
        </w:rPr>
      </w:pPr>
    </w:p>
    <w:p w:rsidR="00AF3B19" w:rsidRPr="000A1C8E" w:rsidRDefault="00AF3B19" w:rsidP="00AF3B19">
      <w:pPr>
        <w:rPr>
          <w:rFonts w:cs="Tahoma"/>
        </w:rPr>
      </w:pPr>
    </w:p>
    <w:p w:rsidR="00B73A46" w:rsidRPr="000A1C8E" w:rsidRDefault="00A560B6" w:rsidP="00B73A46">
      <w:pPr>
        <w:pStyle w:val="Heading3"/>
        <w:rPr>
          <w:rFonts w:ascii="Tahoma" w:hAnsi="Tahoma" w:cs="Tahoma"/>
        </w:rPr>
      </w:pPr>
      <w:bookmarkStart w:id="1138" w:name="_29_Windows®_8"/>
      <w:bookmarkStart w:id="1139" w:name="_32_Windows®_8"/>
      <w:bookmarkStart w:id="1140" w:name="_33_Windows®_8"/>
      <w:bookmarkStart w:id="1141" w:name="_Toc336338286"/>
      <w:bookmarkStart w:id="1142" w:name="_Toc361829375"/>
      <w:bookmarkStart w:id="1143" w:name="Sys_27Win7ProUpgradeWinIntune"/>
      <w:bookmarkStart w:id="1144" w:name="Sys_26WinVistaBizUpgrade"/>
      <w:bookmarkStart w:id="1145" w:name="Sys_23Windows7ProUpgrade"/>
      <w:bookmarkStart w:id="1146" w:name="Sys_27WindowsVistaProUpgrade"/>
      <w:bookmarkEnd w:id="1108"/>
      <w:bookmarkEnd w:id="1137"/>
      <w:bookmarkEnd w:id="1138"/>
      <w:bookmarkEnd w:id="1139"/>
      <w:bookmarkEnd w:id="1140"/>
      <w:r w:rsidRPr="000A1C8E">
        <w:rPr>
          <w:rFonts w:ascii="Tahoma" w:hAnsi="Tahoma" w:cs="Tahoma"/>
          <w:caps/>
          <w:color w:val="F66400"/>
          <w:sz w:val="22"/>
          <w:vertAlign w:val="superscript"/>
        </w:rPr>
        <w:t>33</w:t>
      </w:r>
      <w:r w:rsidRPr="000A1C8E">
        <w:rPr>
          <w:rFonts w:ascii="Tahoma" w:hAnsi="Tahoma" w:cs="Tahoma"/>
          <w:color w:val="F66400"/>
          <w:sz w:val="22"/>
        </w:rPr>
        <w:t xml:space="preserve"> </w:t>
      </w:r>
      <w:r w:rsidRPr="000A1C8E">
        <w:rPr>
          <w:rFonts w:ascii="Tahoma" w:hAnsi="Tahoma" w:cs="Tahoma"/>
          <w:color w:val="FF6D09"/>
          <w:sz w:val="22"/>
        </w:rPr>
        <w:t>Windows</w:t>
      </w:r>
      <w:r w:rsidR="00C83286" w:rsidRPr="000A1C8E">
        <w:rPr>
          <w:rFonts w:ascii="Tahoma" w:hAnsi="Tahoma" w:cs="Tahoma"/>
          <w:color w:val="FF6D09"/>
          <w:sz w:val="22"/>
          <w:vertAlign w:val="superscript"/>
        </w:rPr>
        <w:t>®</w:t>
      </w:r>
      <w:r w:rsidRPr="000A1C8E">
        <w:rPr>
          <w:rFonts w:ascii="Tahoma" w:hAnsi="Tahoma" w:cs="Tahoma"/>
          <w:color w:val="FF6D09"/>
          <w:sz w:val="22"/>
        </w:rPr>
        <w:t xml:space="preserve"> 8 Pro Upgrade e Windows Intune</w:t>
      </w:r>
      <w:bookmarkEnd w:id="1141"/>
      <w:r w:rsidRPr="000A1C8E">
        <w:rPr>
          <w:rFonts w:ascii="Tahoma" w:hAnsi="Tahoma" w:cs="Tahoma"/>
          <w:color w:val="FF6D09"/>
          <w:sz w:val="22"/>
        </w:rPr>
        <w:t xml:space="preserve"> (Por Dispositivo)</w:t>
      </w:r>
      <w:bookmarkEnd w:id="1142"/>
    </w:p>
    <w:bookmarkEnd w:id="1143"/>
    <w:p w:rsidR="003C65F4" w:rsidRPr="000A1C8E" w:rsidRDefault="003C65F4" w:rsidP="003C65F4">
      <w:pPr>
        <w:rPr>
          <w:rFonts w:cs="Tahoma"/>
        </w:rPr>
      </w:pPr>
    </w:p>
    <w:p w:rsidR="00B73A46" w:rsidRPr="000A1C8E" w:rsidRDefault="00B73A46" w:rsidP="00435C70">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Atualização do Windows 8 Pro</w:t>
      </w:r>
    </w:p>
    <w:p w:rsidR="00B73A46" w:rsidRPr="000A1C8E" w:rsidRDefault="00B73A46" w:rsidP="00435C70">
      <w:pPr>
        <w:ind w:left="720"/>
        <w:rPr>
          <w:rFonts w:cs="Tahoma"/>
        </w:rPr>
      </w:pPr>
      <w:r w:rsidRPr="000A1C8E">
        <w:rPr>
          <w:rFonts w:cs="Tahoma"/>
          <w:szCs w:val="18"/>
          <w:u w:val="single"/>
        </w:rPr>
        <w:t>Licença de Atualização de Sistema Operacional (SO)</w:t>
      </w:r>
    </w:p>
    <w:p w:rsidR="00B73A46" w:rsidRPr="000A1C8E" w:rsidRDefault="00B73A46" w:rsidP="00435C70">
      <w:pPr>
        <w:pStyle w:val="FootnoteBulletLevel1"/>
        <w:tabs>
          <w:tab w:val="clear" w:pos="900"/>
        </w:tabs>
        <w:adjustRightInd/>
        <w:spacing w:before="0" w:after="0"/>
        <w:ind w:left="720" w:hanging="7"/>
        <w:textAlignment w:val="auto"/>
        <w:rPr>
          <w:rFonts w:ascii="Tahoma" w:hAnsi="Tahoma" w:cs="Tahoma"/>
        </w:rPr>
      </w:pPr>
      <w:r w:rsidRPr="000A1C8E">
        <w:rPr>
          <w:rFonts w:ascii="Tahoma" w:hAnsi="Tahoma" w:cs="Tahoma"/>
          <w:sz w:val="18"/>
          <w:szCs w:val="18"/>
        </w:rPr>
        <w:t>As licenças de sistema operacional de desktop concedidas são apenas licenças de atualização. Não há licenças integrais de sistema operacional de desktop disponíveis. Portanto, cada desktop para o qual você adquirir e no qual executar a Atualização para Windows 8 Pro deverá estar licenciado para executar um dos sistemas operacionais qualificados identificados abaixo.</w:t>
      </w:r>
    </w:p>
    <w:p w:rsidR="00435C70" w:rsidRPr="000A1C8E" w:rsidRDefault="00435C70" w:rsidP="00435C70">
      <w:pPr>
        <w:ind w:left="720"/>
        <w:rPr>
          <w:rFonts w:cs="Tahoma"/>
        </w:rPr>
      </w:pPr>
    </w:p>
    <w:p w:rsidR="00B24C9D" w:rsidRPr="000A1C8E" w:rsidRDefault="00B73A46" w:rsidP="009C2B6B">
      <w:pPr>
        <w:ind w:left="720"/>
        <w:rPr>
          <w:rFonts w:cs="Tahoma"/>
        </w:rPr>
      </w:pPr>
      <w:r w:rsidRPr="000A1C8E">
        <w:rPr>
          <w:rFonts w:cs="Tahoma"/>
          <w:szCs w:val="18"/>
          <w:u w:val="single"/>
        </w:rPr>
        <w:t>Regras de Sistemas Operacionais Qualificados</w:t>
      </w:r>
    </w:p>
    <w:p w:rsidR="00B73A46" w:rsidRPr="000A1C8E" w:rsidRDefault="00B73A46" w:rsidP="00346F4B">
      <w:pPr>
        <w:numPr>
          <w:ilvl w:val="1"/>
          <w:numId w:val="84"/>
        </w:numPr>
        <w:spacing w:after="60"/>
        <w:ind w:left="1440"/>
        <w:rPr>
          <w:rFonts w:cs="Tahoma"/>
        </w:rPr>
      </w:pPr>
      <w:r w:rsidRPr="000A1C8E">
        <w:rPr>
          <w:rFonts w:cs="Tahoma"/>
          <w:szCs w:val="18"/>
        </w:rPr>
        <w:t>O SO qualificado deverá estar instalado no dispositivo ao qual a licença de Atualização de VL será cedida.</w:t>
      </w:r>
    </w:p>
    <w:p w:rsidR="00827F06" w:rsidRPr="000A1C8E" w:rsidRDefault="00827F06" w:rsidP="00346F4B">
      <w:pPr>
        <w:numPr>
          <w:ilvl w:val="2"/>
          <w:numId w:val="85"/>
        </w:numPr>
        <w:spacing w:after="60"/>
        <w:ind w:left="1980"/>
        <w:rPr>
          <w:rFonts w:cs="Tahoma"/>
        </w:rPr>
      </w:pPr>
      <w:r w:rsidRPr="000A1C8E">
        <w:rPr>
          <w:rFonts w:cs="Tahoma"/>
          <w:color w:val="000000"/>
        </w:rPr>
        <w:t>Apple Macintosh só será um sistema operacional qualificado se ele for pré-instalado pelo fabricante autorizado antes da venda inicial do computador.</w:t>
      </w:r>
    </w:p>
    <w:p w:rsidR="00B73A46" w:rsidRPr="000A1C8E" w:rsidRDefault="00B73A46" w:rsidP="00346F4B">
      <w:pPr>
        <w:numPr>
          <w:ilvl w:val="1"/>
          <w:numId w:val="86"/>
        </w:numPr>
        <w:spacing w:after="60"/>
        <w:ind w:left="1440"/>
        <w:rPr>
          <w:rFonts w:cs="Tahoma"/>
        </w:rPr>
      </w:pPr>
      <w:r w:rsidRPr="000A1C8E">
        <w:rPr>
          <w:rFonts w:cs="Tahoma"/>
          <w:szCs w:val="18"/>
        </w:rPr>
        <w:t xml:space="preserve">Salvo conforme estabelecido a seguir, os clientes devem remover o Sistema Operacional qualificado do dispositivo para implantar a licença de Atualização de VL. </w:t>
      </w:r>
    </w:p>
    <w:p w:rsidR="000369DF" w:rsidRPr="000A1C8E" w:rsidRDefault="000369DF" w:rsidP="000369DF">
      <w:pPr>
        <w:spacing w:after="60"/>
        <w:ind w:left="1440"/>
        <w:rPr>
          <w:rFonts w:cs="Tahoma"/>
          <w:szCs w:val="18"/>
        </w:rPr>
      </w:pPr>
    </w:p>
    <w:p w:rsidR="000369DF" w:rsidRPr="000A1C8E" w:rsidRDefault="000369DF" w:rsidP="000369DF">
      <w:pPr>
        <w:spacing w:after="60"/>
        <w:ind w:left="1440"/>
        <w:rPr>
          <w:rFonts w:cs="Tahoma"/>
        </w:rPr>
      </w:pPr>
    </w:p>
    <w:p w:rsidR="00B31BB3" w:rsidRPr="000A1C8E" w:rsidRDefault="00B73A46" w:rsidP="00346F4B">
      <w:pPr>
        <w:numPr>
          <w:ilvl w:val="1"/>
          <w:numId w:val="86"/>
        </w:numPr>
        <w:spacing w:after="60"/>
        <w:ind w:left="1440"/>
        <w:rPr>
          <w:rFonts w:cs="Tahoma"/>
        </w:rPr>
      </w:pPr>
      <w:r w:rsidRPr="000A1C8E">
        <w:rPr>
          <w:rFonts w:cs="Tahoma"/>
          <w:szCs w:val="18"/>
        </w:rPr>
        <w:lastRenderedPageBreak/>
        <w:t>Os clientes que desejarem instalar ou executar mais de um sistema operacional licenciado de uma vez (incluindo o sistema operacional qualificado) poderão adquirir Software Assurance para sua licença de Atualização de VL.</w:t>
      </w:r>
    </w:p>
    <w:p w:rsidR="00B73A46" w:rsidRPr="000A1C8E" w:rsidRDefault="00B73A46" w:rsidP="00346F4B">
      <w:pPr>
        <w:numPr>
          <w:ilvl w:val="1"/>
          <w:numId w:val="86"/>
        </w:numPr>
        <w:spacing w:after="60"/>
        <w:ind w:left="1440"/>
        <w:rPr>
          <w:rFonts w:cs="Tahoma"/>
        </w:rPr>
      </w:pPr>
      <w:r w:rsidRPr="000A1C8E">
        <w:rPr>
          <w:rFonts w:cs="Tahoma"/>
          <w:szCs w:val="18"/>
        </w:rPr>
        <w:t xml:space="preserve">Os clientes que tiverem cobertura do Software Assurance ativa não precisarão desinstalar o SO qualificado e poderão instalar e executar o SO qualificado e o Windows 8 ao mesmo tempo. </w:t>
      </w:r>
    </w:p>
    <w:p w:rsidR="00290BBF" w:rsidRPr="000A1C8E" w:rsidRDefault="00290BBF" w:rsidP="00B73A46">
      <w:pPr>
        <w:pStyle w:val="EndnoteText"/>
        <w:rPr>
          <w:rFonts w:ascii="Tahoma" w:hAnsi="Tahoma" w:cs="Tahoma"/>
        </w:rPr>
      </w:pPr>
    </w:p>
    <w:p w:rsidR="00B73A46" w:rsidRPr="000A1C8E" w:rsidRDefault="00B73A46" w:rsidP="002A6416">
      <w:pPr>
        <w:pStyle w:val="EndnoteText"/>
        <w:ind w:left="770"/>
        <w:rPr>
          <w:rFonts w:ascii="Tahoma" w:hAnsi="Tahoma" w:cs="Tahoma"/>
        </w:rPr>
      </w:pPr>
      <w:r w:rsidRPr="000A1C8E">
        <w:rPr>
          <w:rFonts w:ascii="Tahoma" w:hAnsi="Tahoma" w:cs="Tahoma"/>
          <w:sz w:val="18"/>
          <w:szCs w:val="18"/>
        </w:rPr>
        <w:t>Os sistemas operacionais qualificados por tipo de Programa são:</w:t>
      </w:r>
    </w:p>
    <w:p w:rsidR="00B73A46" w:rsidRPr="000A1C8E" w:rsidRDefault="00B73A46" w:rsidP="00B73A46">
      <w:pPr>
        <w:pStyle w:val="EndnoteText"/>
        <w:rPr>
          <w:rFonts w:ascii="Tahoma" w:hAnsi="Tahoma" w:cs="Tahoma"/>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0A1C8E"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0A1C8E" w:rsidRDefault="009B3FA2" w:rsidP="00026546">
            <w:pPr>
              <w:jc w:val="center"/>
              <w:rPr>
                <w:rFonts w:eastAsia="Calibri" w:cs="Tahoma"/>
                <w:b/>
                <w:bCs/>
                <w:szCs w:val="18"/>
              </w:rPr>
            </w:pPr>
            <w:r w:rsidRPr="000A1C8E">
              <w:rPr>
                <w:rFonts w:cs="Tahoma"/>
                <w:b/>
                <w:bCs/>
                <w:szCs w:val="18"/>
              </w:rPr>
              <w:t>Sistemas operacionais qualificados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9B3FA2">
            <w:pPr>
              <w:jc w:val="center"/>
              <w:rPr>
                <w:rFonts w:eastAsia="Calibri" w:cs="Tahoma"/>
                <w:b/>
                <w:bCs/>
                <w:sz w:val="16"/>
                <w:szCs w:val="18"/>
              </w:rPr>
            </w:pPr>
            <w:r w:rsidRPr="000A1C8E">
              <w:rPr>
                <w:rFonts w:cs="Tahoma"/>
                <w:b/>
                <w:bCs/>
                <w:sz w:val="16"/>
                <w:szCs w:val="18"/>
              </w:rPr>
              <w:t>Novo EA/</w:t>
            </w:r>
            <w:r w:rsidRPr="000A1C8E">
              <w:rPr>
                <w:rFonts w:cs="Tahoma"/>
                <w:b/>
                <w:bCs/>
                <w:sz w:val="16"/>
                <w:szCs w:val="18"/>
              </w:rPr>
              <w:br/>
              <w:t>OV-TE</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9B3FA2">
            <w:pPr>
              <w:jc w:val="center"/>
              <w:rPr>
                <w:rFonts w:eastAsia="Calibri" w:cs="Tahoma"/>
                <w:b/>
                <w:bCs/>
                <w:sz w:val="16"/>
                <w:szCs w:val="18"/>
              </w:rPr>
            </w:pPr>
            <w:r w:rsidRPr="000A1C8E">
              <w:rPr>
                <w:rFonts w:cs="Tahoma"/>
                <w:b/>
                <w:bCs/>
                <w:sz w:val="16"/>
                <w:szCs w:val="18"/>
              </w:rPr>
              <w:t>EA/OV-TE existente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9B3FA2">
            <w:pPr>
              <w:jc w:val="center"/>
              <w:rPr>
                <w:rFonts w:eastAsia="Calibri" w:cs="Tahoma"/>
                <w:b/>
                <w:bCs/>
                <w:sz w:val="16"/>
                <w:szCs w:val="18"/>
              </w:rPr>
            </w:pPr>
            <w:r w:rsidRPr="000A1C8E">
              <w:rPr>
                <w:rFonts w:cs="Tahoma"/>
                <w:b/>
                <w:bCs/>
                <w:sz w:val="16"/>
                <w:szCs w:val="18"/>
              </w:rPr>
              <w:t>Select (todos exceto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1B15A5">
            <w:pPr>
              <w:jc w:val="center"/>
              <w:rPr>
                <w:rFonts w:eastAsia="Calibri" w:cs="Tahoma"/>
                <w:b/>
                <w:bCs/>
                <w:sz w:val="16"/>
                <w:szCs w:val="18"/>
              </w:rPr>
            </w:pPr>
            <w:r w:rsidRPr="000A1C8E">
              <w:rPr>
                <w:rFonts w:cs="Tahoma"/>
                <w:b/>
                <w:bCs/>
                <w:sz w:val="16"/>
                <w:szCs w:val="18"/>
              </w:rPr>
              <w:t>Open (todos exceto Academic, Charity e OV-TE)</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50116B">
            <w:pPr>
              <w:jc w:val="center"/>
              <w:rPr>
                <w:rFonts w:eastAsia="Calibri" w:cs="Tahoma"/>
                <w:b/>
                <w:bCs/>
                <w:sz w:val="16"/>
                <w:szCs w:val="18"/>
              </w:rPr>
            </w:pPr>
            <w:r w:rsidRPr="000A1C8E">
              <w:rPr>
                <w:rFonts w:cs="Tahoma"/>
                <w:b/>
                <w:bCs/>
                <w:sz w:val="16"/>
                <w:szCs w:val="18"/>
              </w:rPr>
              <w:t>Academic e Charity</w:t>
            </w:r>
          </w:p>
        </w:tc>
      </w:tr>
      <w:tr w:rsidR="008643A3"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rPr>
                <w:rFonts w:cs="Tahoma"/>
                <w:b/>
                <w:bCs/>
                <w:szCs w:val="18"/>
              </w:rPr>
            </w:pPr>
            <w:r w:rsidRPr="000A1C8E">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r>
      <w:tr w:rsidR="008643A3"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EF7CDD">
            <w:pPr>
              <w:ind w:left="522"/>
              <w:rPr>
                <w:rFonts w:cs="Tahoma"/>
                <w:b/>
                <w:bCs/>
                <w:szCs w:val="18"/>
              </w:rPr>
            </w:pPr>
            <w:r w:rsidRPr="000A1C8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335B9" w:rsidP="00713A6C">
            <w:pPr>
              <w:jc w:val="center"/>
              <w:rPr>
                <w:rFonts w:cs="Tahoma"/>
                <w:szCs w:val="18"/>
              </w:rPr>
            </w:pPr>
            <w:r w:rsidRPr="000A1C8E">
              <w:rPr>
                <w:rFonts w:cs="Tahoma"/>
                <w:szCs w:val="18"/>
              </w:rPr>
              <w:t>x</w:t>
            </w:r>
          </w:p>
        </w:tc>
      </w:tr>
      <w:tr w:rsidR="008643A3"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394D71">
            <w:pPr>
              <w:ind w:left="522"/>
              <w:rPr>
                <w:rFonts w:cs="Tahoma"/>
                <w:b/>
                <w:bCs/>
                <w:szCs w:val="18"/>
              </w:rPr>
            </w:pPr>
            <w:r w:rsidRPr="000A1C8E">
              <w:rPr>
                <w:rFonts w:cs="Tahoma"/>
                <w:szCs w:val="18"/>
              </w:rPr>
              <w:t>Pro (N, K, JN)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335B9" w:rsidP="00713A6C">
            <w:pPr>
              <w:jc w:val="center"/>
              <w:rPr>
                <w:rFonts w:cs="Tahoma"/>
                <w:szCs w:val="18"/>
              </w:rPr>
            </w:pPr>
            <w:r w:rsidRPr="000A1C8E">
              <w:rPr>
                <w:rFonts w:cs="Tahoma"/>
                <w:szCs w:val="18"/>
              </w:rPr>
              <w:t>x</w:t>
            </w:r>
          </w:p>
        </w:tc>
      </w:tr>
      <w:tr w:rsidR="008643A3"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EF7CDD">
            <w:pPr>
              <w:ind w:left="522"/>
              <w:rPr>
                <w:rFonts w:cs="Tahoma"/>
                <w:b/>
                <w:bCs/>
                <w:szCs w:val="18"/>
              </w:rPr>
            </w:pPr>
            <w:r w:rsidRPr="000A1C8E">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0A1C8E" w:rsidRDefault="006C2A69" w:rsidP="00713A6C">
            <w:pPr>
              <w:jc w:val="center"/>
              <w:rPr>
                <w:rFonts w:cs="Tahoma"/>
                <w:szCs w:val="18"/>
              </w:rPr>
            </w:pPr>
            <w:r w:rsidRPr="000A1C8E">
              <w:rPr>
                <w:rFonts w:cs="Tahoma"/>
                <w:szCs w:val="18"/>
              </w:rPr>
              <w:t>x</w:t>
            </w:r>
          </w:p>
        </w:tc>
      </w:tr>
      <w:tr w:rsidR="00EF7CDD"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0A1C8E" w:rsidRDefault="00EF7CDD" w:rsidP="00EF7CDD">
            <w:pPr>
              <w:ind w:left="522"/>
              <w:rPr>
                <w:rFonts w:cs="Tahoma"/>
                <w:szCs w:val="18"/>
              </w:rPr>
            </w:pPr>
            <w:r w:rsidRPr="000A1C8E">
              <w:rPr>
                <w:rFonts w:cs="Tahoma"/>
                <w:szCs w:val="18"/>
              </w:rPr>
              <w:t>Windows 8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A1C8E"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A1C8E"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A1C8E"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A1C8E"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0A1C8E" w:rsidRDefault="00EF7CDD" w:rsidP="00713A6C">
            <w:pPr>
              <w:jc w:val="center"/>
              <w:rPr>
                <w:rFonts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Calibri" w:cs="Tahoma"/>
                <w:b/>
                <w:bCs/>
                <w:szCs w:val="18"/>
              </w:rPr>
            </w:pPr>
            <w:r w:rsidRPr="000A1C8E">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D47417">
            <w:pPr>
              <w:ind w:left="522" w:firstLine="18"/>
              <w:rPr>
                <w:rFonts w:eastAsia="Calibri" w:cs="Tahoma"/>
                <w:szCs w:val="18"/>
              </w:rPr>
            </w:pPr>
            <w:r w:rsidRPr="000A1C8E">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EF7CDD">
            <w:pPr>
              <w:ind w:left="522"/>
              <w:rPr>
                <w:rFonts w:eastAsia="Calibri" w:cs="Tahoma"/>
                <w:szCs w:val="18"/>
              </w:rPr>
            </w:pPr>
            <w:r w:rsidRPr="000A1C8E">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Calibri" w:cs="Tahoma"/>
                <w:b/>
                <w:bCs/>
                <w:szCs w:val="18"/>
              </w:rPr>
            </w:pPr>
            <w:r w:rsidRPr="000A1C8E">
              <w:rPr>
                <w:rFonts w:cs="Tahoma"/>
                <w:b/>
                <w:bCs/>
                <w:szCs w:val="18"/>
              </w:rPr>
              <w:t xml:space="preserve">Windows Vista </w:t>
            </w:r>
            <w:r w:rsidR="00415CDE" w:rsidRPr="000A1C8E">
              <w:rPr>
                <w:rFonts w:cs="Tahoma"/>
                <w:b/>
                <w:bCs/>
                <w:szCs w:val="18"/>
              </w:rPr>
              <w:br/>
            </w:r>
            <w:r w:rsidRPr="000A1C8E">
              <w:rPr>
                <w:rFonts w:cs="Tahoma"/>
                <w:b/>
                <w:bCs/>
                <w:szCs w:val="18"/>
              </w:rPr>
              <w:t>(32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4C3222">
            <w:pPr>
              <w:ind w:left="522"/>
              <w:rPr>
                <w:rFonts w:eastAsia="Calibri" w:cs="Tahoma"/>
                <w:bCs/>
                <w:szCs w:val="18"/>
              </w:rPr>
            </w:pPr>
            <w:r w:rsidRPr="000A1C8E">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Calibri" w:cs="Tahoma"/>
                <w:b/>
                <w:szCs w:val="18"/>
              </w:rPr>
            </w:pPr>
            <w:r w:rsidRPr="000A1C8E">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left="564"/>
              <w:rPr>
                <w:rFonts w:eastAsia="Calibri" w:cs="Tahoma"/>
                <w:szCs w:val="18"/>
                <w:lang w:val="pt-BR"/>
              </w:rPr>
            </w:pPr>
            <w:r w:rsidRPr="000A1C8E">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left="564"/>
              <w:rPr>
                <w:rFonts w:eastAsia="Calibri" w:cs="Tahoma"/>
                <w:szCs w:val="18"/>
              </w:rPr>
            </w:pPr>
            <w:r w:rsidRPr="000A1C8E">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left="564"/>
              <w:rPr>
                <w:rFonts w:eastAsia="Calibri" w:cs="Tahoma"/>
                <w:szCs w:val="18"/>
              </w:rPr>
            </w:pPr>
            <w:r w:rsidRPr="000A1C8E">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left="564"/>
              <w:rPr>
                <w:rFonts w:eastAsia="Calibri" w:cs="Tahoma"/>
                <w:szCs w:val="18"/>
              </w:rPr>
            </w:pPr>
            <w:r w:rsidRPr="000A1C8E">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A1C8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left="564"/>
              <w:rPr>
                <w:rFonts w:eastAsia="Calibri" w:cs="Tahoma"/>
                <w:szCs w:val="18"/>
              </w:rPr>
            </w:pPr>
            <w:r w:rsidRPr="000A1C8E">
              <w:rPr>
                <w:rFonts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A1C8E" w:rsidRDefault="00B73A46" w:rsidP="00713A6C">
            <w:pPr>
              <w:rPr>
                <w:rFonts w:eastAsia="Calibri" w:cs="Tahoma"/>
                <w:b/>
                <w:szCs w:val="18"/>
              </w:rPr>
            </w:pPr>
            <w:r w:rsidRPr="000A1C8E">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A1C8E" w:rsidRDefault="00B73A46" w:rsidP="00713A6C">
            <w:pPr>
              <w:rPr>
                <w:rFonts w:eastAsia="Calibri" w:cs="Tahoma"/>
                <w:b/>
                <w:bCs/>
                <w:szCs w:val="18"/>
              </w:rPr>
            </w:pPr>
            <w:r w:rsidRPr="000A1C8E">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A1C8E" w:rsidRDefault="00B73A46" w:rsidP="00713A6C">
            <w:pPr>
              <w:rPr>
                <w:rFonts w:eastAsia="Calibri" w:cs="Tahoma"/>
                <w:b/>
                <w:bCs/>
                <w:szCs w:val="18"/>
              </w:rPr>
            </w:pPr>
            <w:r w:rsidRPr="000A1C8E">
              <w:rPr>
                <w:rFonts w:cs="Tahoma"/>
                <w:b/>
                <w:bCs/>
                <w:szCs w:val="18"/>
              </w:rPr>
              <w:t>Windows 98 (incluindo 2ª 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r w:rsidR="00290BBF" w:rsidRPr="000A1C8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A1C8E" w:rsidRDefault="00B73A46" w:rsidP="00713A6C">
            <w:pPr>
              <w:rPr>
                <w:rFonts w:eastAsia="Calibri" w:cs="Tahoma"/>
                <w:b/>
                <w:bCs/>
                <w:szCs w:val="18"/>
              </w:rPr>
            </w:pPr>
            <w:r w:rsidRPr="000A1C8E">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r>
    </w:tbl>
    <w:p w:rsidR="00B73A46" w:rsidRPr="000A1C8E" w:rsidRDefault="00B73A46" w:rsidP="002A6416">
      <w:pPr>
        <w:ind w:left="770"/>
        <w:rPr>
          <w:rFonts w:cs="Tahoma"/>
        </w:rPr>
      </w:pPr>
      <w:r w:rsidRPr="000A1C8E">
        <w:rPr>
          <w:rFonts w:cs="Tahoma"/>
          <w:bCs/>
          <w:i/>
          <w:iCs/>
          <w:sz w:val="14"/>
          <w:szCs w:val="14"/>
          <w:u w:val="single"/>
        </w:rPr>
        <w:t>Observação</w:t>
      </w:r>
      <w:r w:rsidRPr="000A1C8E">
        <w:rPr>
          <w:rFonts w:cs="Tahoma"/>
          <w:i/>
          <w:iCs/>
          <w:sz w:val="14"/>
          <w:szCs w:val="14"/>
        </w:rPr>
        <w:t xml:space="preserve">: </w:t>
      </w:r>
      <w:r w:rsidRPr="000A1C8E">
        <w:rPr>
          <w:rFonts w:cs="Tahoma"/>
          <w:i/>
          <w:iCs/>
          <w:sz w:val="14"/>
          <w:szCs w:val="14"/>
        </w:rPr>
        <w:br/>
        <w:t>Academic inclui os Contratos Campus e School, Open Value Subscription - Soluções Educacionais, Programas Select - Academic e Open - Academic</w:t>
      </w:r>
      <w:r w:rsidRPr="000A1C8E">
        <w:rPr>
          <w:rFonts w:cs="Tahoma"/>
          <w:i/>
          <w:iCs/>
          <w:sz w:val="14"/>
          <w:szCs w:val="14"/>
        </w:rPr>
        <w:br/>
        <w:t>EA = Contrato Enterprise</w:t>
      </w:r>
      <w:r w:rsidRPr="000A1C8E">
        <w:rPr>
          <w:rFonts w:cs="Tahoma"/>
          <w:i/>
          <w:iCs/>
          <w:sz w:val="14"/>
          <w:szCs w:val="14"/>
        </w:rPr>
        <w:br/>
        <w:t>OV-TE = Open Value – Opção para toda a empresa</w:t>
      </w:r>
    </w:p>
    <w:p w:rsidR="00B73A46" w:rsidRPr="000A1C8E" w:rsidRDefault="00B73A46" w:rsidP="002A6416">
      <w:pPr>
        <w:ind w:left="770"/>
        <w:rPr>
          <w:rFonts w:cs="Tahoma"/>
        </w:rPr>
      </w:pPr>
      <w:r w:rsidRPr="000A1C8E">
        <w:rPr>
          <w:rFonts w:cs="Tahoma"/>
          <w:i/>
          <w:iCs/>
          <w:sz w:val="14"/>
          <w:szCs w:val="14"/>
        </w:rPr>
        <w:t>‘N’, ‘K’ e ‘KN’ são edições especializadas disponíveis em determinados mercados.</w:t>
      </w:r>
    </w:p>
    <w:p w:rsidR="00B73A46" w:rsidRPr="000A1C8E" w:rsidRDefault="00B73A46" w:rsidP="00B24C9D">
      <w:pPr>
        <w:ind w:left="720"/>
        <w:rPr>
          <w:rFonts w:cs="Tahoma"/>
        </w:rPr>
      </w:pPr>
      <w:r w:rsidRPr="000A1C8E">
        <w:rPr>
          <w:rFonts w:cs="Tahoma"/>
          <w:szCs w:val="18"/>
        </w:rPr>
        <w:lastRenderedPageBreak/>
        <w:t>As seguintes condições se aplicam ao Windows XP Starter Edition (SE), ao Windows Vista Starter Edition (SE) e ao Windows 7 Starter Edition:</w:t>
      </w:r>
    </w:p>
    <w:p w:rsidR="00B73A46" w:rsidRPr="000A1C8E" w:rsidRDefault="00B73A46" w:rsidP="00B24C9D">
      <w:pPr>
        <w:ind w:left="720"/>
        <w:rPr>
          <w:rFonts w:cs="Tahoma"/>
        </w:rPr>
      </w:pPr>
    </w:p>
    <w:p w:rsidR="00B73A46" w:rsidRPr="00552221" w:rsidRDefault="00B73A46" w:rsidP="00346F4B">
      <w:pPr>
        <w:pStyle w:val="ColorfulList-Accent11"/>
        <w:numPr>
          <w:ilvl w:val="0"/>
          <w:numId w:val="33"/>
        </w:numPr>
        <w:ind w:left="1440"/>
        <w:rPr>
          <w:rFonts w:ascii="Tahoma" w:hAnsi="Tahoma" w:cs="Tahoma"/>
          <w:sz w:val="18"/>
          <w:szCs w:val="18"/>
        </w:rPr>
      </w:pPr>
      <w:r w:rsidRPr="00552221">
        <w:rPr>
          <w:rFonts w:ascii="Tahoma" w:hAnsi="Tahoma" w:cs="Tahoma"/>
          <w:sz w:val="18"/>
          <w:szCs w:val="18"/>
        </w:rPr>
        <w:t xml:space="preserve">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 </w:t>
      </w:r>
    </w:p>
    <w:p w:rsidR="00B73A46" w:rsidRPr="00552221" w:rsidRDefault="00B73A46" w:rsidP="00B24C9D">
      <w:pPr>
        <w:pStyle w:val="ColorfulList-Accent11"/>
        <w:rPr>
          <w:rFonts w:ascii="Tahoma" w:hAnsi="Tahoma" w:cs="Tahoma"/>
          <w:sz w:val="18"/>
          <w:szCs w:val="18"/>
        </w:rPr>
      </w:pPr>
    </w:p>
    <w:p w:rsidR="00B73A46" w:rsidRPr="00552221" w:rsidRDefault="00B73A46" w:rsidP="00B24C9D">
      <w:pPr>
        <w:pStyle w:val="ColorfulList-Accent11"/>
        <w:rPr>
          <w:rFonts w:ascii="Tahoma" w:hAnsi="Tahoma" w:cs="Tahoma"/>
          <w:sz w:val="18"/>
          <w:szCs w:val="18"/>
        </w:rPr>
      </w:pPr>
      <w:r w:rsidRPr="00552221">
        <w:rPr>
          <w:rFonts w:ascii="Tahoma" w:hAnsi="Tahoma" w:cs="Tahoma"/>
          <w:sz w:val="18"/>
          <w:szCs w:val="18"/>
        </w:rPr>
        <w:t xml:space="preserve">Os clientes que adquirirem a atualização dessa forma renunciam a qualquer direito de transferir essa licença fora do país onde a compra foi efetuada. </w:t>
      </w:r>
    </w:p>
    <w:p w:rsidR="00B73A46" w:rsidRPr="000A1C8E" w:rsidRDefault="00B73A46" w:rsidP="00B24C9D">
      <w:pPr>
        <w:pStyle w:val="EndnoteText"/>
        <w:ind w:left="360"/>
        <w:rPr>
          <w:rFonts w:ascii="Tahoma" w:hAnsi="Tahoma" w:cs="Tahoma"/>
        </w:rPr>
      </w:pPr>
    </w:p>
    <w:p w:rsidR="00B73A46" w:rsidRPr="000A1C8E" w:rsidRDefault="00B73A46" w:rsidP="00B24C9D">
      <w:pPr>
        <w:pStyle w:val="FootnoteBulletLevel1"/>
        <w:tabs>
          <w:tab w:val="clear" w:pos="900"/>
        </w:tabs>
        <w:spacing w:before="0" w:after="0"/>
        <w:ind w:left="720" w:firstLine="0"/>
        <w:rPr>
          <w:rFonts w:ascii="Tahoma" w:hAnsi="Tahoma" w:cs="Tahoma"/>
        </w:rPr>
      </w:pPr>
      <w:r w:rsidRPr="000A1C8E">
        <w:rPr>
          <w:rFonts w:ascii="Tahoma" w:hAnsi="Tahoma" w:cs="Tahoma"/>
          <w:sz w:val="18"/>
          <w:szCs w:val="18"/>
        </w:rPr>
        <w:t>Qualquer sistema operacional não listado acima não é um SO qualificado; por exemplo:</w:t>
      </w:r>
    </w:p>
    <w:p w:rsidR="00B24C9D" w:rsidRPr="000A1C8E" w:rsidRDefault="00B24C9D" w:rsidP="00B24C9D">
      <w:pPr>
        <w:pStyle w:val="FootnoteBulletLevel1"/>
        <w:tabs>
          <w:tab w:val="clear" w:pos="900"/>
        </w:tabs>
        <w:spacing w:before="0" w:after="0"/>
        <w:ind w:left="720" w:firstLine="0"/>
        <w:rPr>
          <w:rFonts w:ascii="Tahoma" w:hAnsi="Tahoma" w:cs="Tahoma"/>
        </w:rPr>
      </w:pPr>
    </w:p>
    <w:p w:rsidR="00B73A46" w:rsidRPr="000A1C8E" w:rsidRDefault="00B73A46" w:rsidP="00346F4B">
      <w:pPr>
        <w:pStyle w:val="FootnoteBulletLevel2"/>
        <w:numPr>
          <w:ilvl w:val="0"/>
          <w:numId w:val="34"/>
        </w:numPr>
        <w:adjustRightInd/>
        <w:spacing w:before="0" w:after="60"/>
        <w:ind w:left="1440"/>
        <w:textAlignment w:val="auto"/>
        <w:rPr>
          <w:rFonts w:ascii="Tahoma" w:hAnsi="Tahoma" w:cs="Tahoma"/>
        </w:rPr>
      </w:pPr>
      <w:r w:rsidRPr="000A1C8E">
        <w:rPr>
          <w:rFonts w:ascii="Tahoma" w:hAnsi="Tahoma" w:cs="Tahoma"/>
          <w:sz w:val="18"/>
          <w:szCs w:val="18"/>
        </w:rPr>
        <w:t>Sistemas Incorporados (por exemplo, Windows 9.x incorporado, Windows XP incorporado) não estão qualificados para as Atualizações para Windows 8 Pro.</w:t>
      </w:r>
    </w:p>
    <w:p w:rsidR="00B73A46" w:rsidRPr="000A1C8E" w:rsidRDefault="00B73A46" w:rsidP="00346F4B">
      <w:pPr>
        <w:pStyle w:val="FootnoteBulletLevel2"/>
        <w:numPr>
          <w:ilvl w:val="0"/>
          <w:numId w:val="34"/>
        </w:numPr>
        <w:adjustRightInd/>
        <w:spacing w:before="0" w:after="60"/>
        <w:ind w:left="1440"/>
        <w:textAlignment w:val="auto"/>
        <w:rPr>
          <w:rFonts w:ascii="Tahoma" w:hAnsi="Tahoma" w:cs="Tahoma"/>
        </w:rPr>
      </w:pPr>
      <w:r w:rsidRPr="000A1C8E">
        <w:rPr>
          <w:rFonts w:ascii="Tahoma" w:hAnsi="Tahoma" w:cs="Tahoma"/>
          <w:sz w:val="18"/>
          <w:szCs w:val="18"/>
        </w:rPr>
        <w:t>Linux ou OS/2 não estão qualificados para as Atualizações para Windows 8 Pro.</w:t>
      </w:r>
    </w:p>
    <w:p w:rsidR="00B73A46" w:rsidRPr="000A1C8E" w:rsidRDefault="00B73A46" w:rsidP="00346F4B">
      <w:pPr>
        <w:pStyle w:val="FootnoteBulletLevel2"/>
        <w:numPr>
          <w:ilvl w:val="0"/>
          <w:numId w:val="34"/>
        </w:numPr>
        <w:adjustRightInd/>
        <w:spacing w:before="0" w:after="60"/>
        <w:ind w:left="1440"/>
        <w:textAlignment w:val="auto"/>
        <w:rPr>
          <w:rFonts w:ascii="Tahoma" w:hAnsi="Tahoma" w:cs="Tahoma"/>
        </w:rPr>
      </w:pPr>
      <w:r w:rsidRPr="000A1C8E">
        <w:rPr>
          <w:rFonts w:ascii="Tahoma" w:hAnsi="Tahoma" w:cs="Tahoma"/>
          <w:sz w:val="18"/>
          <w:szCs w:val="18"/>
        </w:rPr>
        <w:t>A Licença de Acesso para Cliente do Windows Terminal Services não está qualificada para as Atualizações para Windows 8 Pro.</w:t>
      </w:r>
    </w:p>
    <w:p w:rsidR="00B24C9D" w:rsidRPr="000A1C8E" w:rsidRDefault="00B24C9D" w:rsidP="00B24C9D">
      <w:pPr>
        <w:pStyle w:val="FootnoteBulletLevel2"/>
        <w:tabs>
          <w:tab w:val="clear" w:pos="1260"/>
        </w:tabs>
        <w:adjustRightInd/>
        <w:spacing w:before="0"/>
        <w:ind w:left="1080" w:firstLine="0"/>
        <w:textAlignment w:val="auto"/>
        <w:rPr>
          <w:rFonts w:ascii="Tahoma" w:hAnsi="Tahoma" w:cs="Tahoma"/>
        </w:rPr>
      </w:pPr>
    </w:p>
    <w:p w:rsidR="00B24C9D" w:rsidRPr="000A1C8E" w:rsidRDefault="00B73A46" w:rsidP="00B24C9D">
      <w:pPr>
        <w:pStyle w:val="FootnoteBulletLevel2"/>
        <w:tabs>
          <w:tab w:val="clear" w:pos="1260"/>
        </w:tabs>
        <w:spacing w:before="0"/>
        <w:ind w:left="720" w:firstLine="0"/>
        <w:rPr>
          <w:rFonts w:ascii="Tahoma" w:hAnsi="Tahoma" w:cs="Tahoma"/>
        </w:rPr>
      </w:pPr>
      <w:r w:rsidRPr="000A1C8E">
        <w:rPr>
          <w:rFonts w:ascii="Tahoma" w:hAnsi="Tahoma" w:cs="Tahoma"/>
          <w:sz w:val="18"/>
          <w:szCs w:val="18"/>
        </w:rPr>
        <w:t>Os requisitos a seguir se aplicam à restauração ao estado anterior do Windows:</w:t>
      </w:r>
    </w:p>
    <w:p w:rsidR="00B73A46" w:rsidRPr="000A1C8E" w:rsidRDefault="00B73A46" w:rsidP="00B24C9D">
      <w:pPr>
        <w:pStyle w:val="FootnoteBulletLevel2"/>
        <w:tabs>
          <w:tab w:val="clear" w:pos="1260"/>
        </w:tabs>
        <w:spacing w:before="0"/>
        <w:ind w:left="720" w:firstLine="0"/>
        <w:rPr>
          <w:rFonts w:ascii="Tahoma" w:hAnsi="Tahoma" w:cs="Tahoma"/>
        </w:rPr>
      </w:pPr>
      <w:r w:rsidRPr="000A1C8E">
        <w:rPr>
          <w:rFonts w:ascii="Tahoma" w:hAnsi="Tahoma" w:cs="Tahoma"/>
          <w:sz w:val="18"/>
          <w:szCs w:val="18"/>
        </w:rPr>
        <w:t xml:space="preserve"> </w:t>
      </w:r>
    </w:p>
    <w:p w:rsidR="00B73A46" w:rsidRPr="000A1C8E" w:rsidRDefault="00B73A46" w:rsidP="00415CDE">
      <w:pPr>
        <w:pStyle w:val="FootnoteBulletLevel2"/>
        <w:tabs>
          <w:tab w:val="clear" w:pos="1260"/>
        </w:tabs>
        <w:spacing w:before="0"/>
        <w:ind w:left="720" w:firstLine="0"/>
        <w:rPr>
          <w:rFonts w:ascii="Tahoma" w:hAnsi="Tahoma" w:cs="Tahoma"/>
        </w:rPr>
      </w:pPr>
      <w:r w:rsidRPr="000A1C8E">
        <w:rPr>
          <w:rFonts w:ascii="Tahoma" w:hAnsi="Tahoma" w:cs="Tahoma"/>
          <w:sz w:val="18"/>
          <w:szCs w:val="18"/>
        </w:rPr>
        <w:t>Se um terceiro for restaurar o Windows ao estado anterior nos PCs do cliente, o cliente deverá fornecer antes (a) o formulário preenchido de “Verificação da Licença de Cliente da Microsoft para Atualização dos Serviços de Instalação do Software do Sistema Operacional Microsoft Windows por Terceiros” ou (b) cópias do formulário de assinatura do contrato de Licenciamento por Volume da Microsoft aplicável ao software de</w:t>
      </w:r>
      <w:r w:rsidR="00415CDE" w:rsidRPr="000A1C8E">
        <w:rPr>
          <w:rFonts w:ascii="Tahoma" w:hAnsi="Tahoma" w:cs="Tahoma"/>
          <w:sz w:val="18"/>
          <w:szCs w:val="18"/>
        </w:rPr>
        <w:t> </w:t>
      </w:r>
      <w:r w:rsidRPr="000A1C8E">
        <w:rPr>
          <w:rFonts w:ascii="Tahoma" w:hAnsi="Tahoma" w:cs="Tahoma"/>
          <w:sz w:val="18"/>
          <w:szCs w:val="18"/>
        </w:rPr>
        <w:t>atualização do sistema operacional Microsoft em instalação.</w:t>
      </w:r>
      <w:r w:rsidR="00DC6D8B" w:rsidRPr="000A1C8E">
        <w:rPr>
          <w:rFonts w:ascii="Tahoma" w:hAnsi="Tahoma" w:cs="Tahoma"/>
          <w:sz w:val="18"/>
          <w:szCs w:val="18"/>
        </w:rPr>
        <w:t xml:space="preserve"> </w:t>
      </w:r>
      <w:r w:rsidRPr="000A1C8E">
        <w:rPr>
          <w:rFonts w:ascii="Tahoma" w:hAnsi="Tahoma" w:cs="Tahoma"/>
          <w:sz w:val="18"/>
          <w:szCs w:val="18"/>
        </w:rPr>
        <w:t xml:space="preserve">O formulário de “Verificação da Licença da Microsoft para Restauração ao Estado Anterior/Instalação de Software do Sistema Operacional Microsoft por Terceiros” está disponível no site </w:t>
      </w:r>
      <w:hyperlink r:id="rId47" w:history="1">
        <w:r w:rsidRPr="000A1C8E">
          <w:rPr>
            <w:rStyle w:val="Hyperlink"/>
            <w:rFonts w:ascii="Tahoma" w:hAnsi="Tahoma" w:cs="Tahoma"/>
            <w:color w:val="auto"/>
            <w:sz w:val="18"/>
            <w:szCs w:val="18"/>
            <w:u w:val="none"/>
          </w:rPr>
          <w:t>www.microsoft.com/licensing/contracts</w:t>
        </w:r>
      </w:hyperlink>
      <w:r w:rsidRPr="000A1C8E">
        <w:rPr>
          <w:rFonts w:ascii="Tahoma" w:hAnsi="Tahoma" w:cs="Tahoma"/>
          <w:sz w:val="18"/>
          <w:szCs w:val="18"/>
        </w:rPr>
        <w:t>.</w:t>
      </w:r>
    </w:p>
    <w:p w:rsidR="00B24C9D" w:rsidRPr="000A1C8E" w:rsidRDefault="00B24C9D" w:rsidP="00B24C9D">
      <w:pPr>
        <w:pStyle w:val="FootnoteBulletLevel1"/>
        <w:tabs>
          <w:tab w:val="clear" w:pos="900"/>
        </w:tabs>
        <w:adjustRightInd/>
        <w:spacing w:before="0" w:after="0"/>
        <w:ind w:left="720" w:firstLine="0"/>
        <w:textAlignment w:val="auto"/>
        <w:rPr>
          <w:rFonts w:ascii="Tahoma" w:hAnsi="Tahoma" w:cs="Tahoma"/>
        </w:rPr>
      </w:pPr>
    </w:p>
    <w:p w:rsidR="00B73A46" w:rsidRPr="000A1C8E" w:rsidRDefault="005D46BA" w:rsidP="00B24C9D">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Windows Intune (Por Dispositivo)</w:t>
      </w:r>
    </w:p>
    <w:p w:rsidR="00B24C9D" w:rsidRPr="000A1C8E" w:rsidRDefault="0071258F" w:rsidP="00B24C9D">
      <w:pPr>
        <w:ind w:left="720"/>
        <w:rPr>
          <w:rFonts w:cs="Tahoma"/>
        </w:rPr>
      </w:pPr>
      <w:r w:rsidRPr="000A1C8E">
        <w:rPr>
          <w:rFonts w:cs="Tahoma"/>
          <w:szCs w:val="18"/>
        </w:rPr>
        <w:t>O Windows Intune (Por Dispositivo) está disponível mediante licença de assinatura. Ele inclui direitos de atualização e uso do sistema operacional Windows Desktop.</w:t>
      </w:r>
      <w:r w:rsidR="00DC6D8B" w:rsidRPr="000A1C8E">
        <w:rPr>
          <w:rFonts w:cs="Tahoma"/>
          <w:szCs w:val="18"/>
        </w:rPr>
        <w:t xml:space="preserve"> </w:t>
      </w:r>
      <w:r w:rsidRPr="000A1C8E">
        <w:rPr>
          <w:rFonts w:cs="Tahoma"/>
          <w:szCs w:val="18"/>
        </w:rPr>
        <w:t>Portanto, com a Atualização para Windows Pro, cada desktop para o qual você adquirir e no qual executar o Windows Intune (Por Dispositivo) deverá estar licenciado para executar um dos sistemas operacionais qualificados aplicáveis identificados abaixo.</w:t>
      </w:r>
    </w:p>
    <w:p w:rsidR="00B73A46" w:rsidRPr="000A1C8E" w:rsidRDefault="00B73A46" w:rsidP="00B24C9D">
      <w:pPr>
        <w:ind w:left="720"/>
        <w:rPr>
          <w:rFonts w:cs="Tahoma"/>
        </w:rPr>
      </w:pPr>
      <w:r w:rsidRPr="000A1C8E">
        <w:rPr>
          <w:rFonts w:cs="Tahoma"/>
          <w:szCs w:val="18"/>
        </w:rPr>
        <w:t xml:space="preserve"> </w:t>
      </w:r>
    </w:p>
    <w:p w:rsidR="00B73A46" w:rsidRPr="000A1C8E" w:rsidRDefault="00B73A46" w:rsidP="00B24C9D">
      <w:pPr>
        <w:ind w:left="720"/>
        <w:rPr>
          <w:rFonts w:cs="Tahoma"/>
        </w:rPr>
      </w:pPr>
      <w:r w:rsidRPr="000A1C8E">
        <w:rPr>
          <w:rFonts w:cs="Tahoma"/>
          <w:szCs w:val="18"/>
        </w:rPr>
        <w:t>As condições aplicáveis para aquisição da Licença de Atualização do Windows Pro, conforme descrito acima nas “Regras de SOs Qualificados” se aplicam na aquisição das licenças do Windows Intune (Por Dispositivo).</w:t>
      </w:r>
    </w:p>
    <w:p w:rsidR="00B24C9D" w:rsidRPr="000A1C8E" w:rsidRDefault="00B24C9D" w:rsidP="00B24C9D">
      <w:pPr>
        <w:ind w:left="720"/>
        <w:rPr>
          <w:rFonts w:cs="Tahoma"/>
        </w:rPr>
      </w:pPr>
    </w:p>
    <w:p w:rsidR="00B24C9D" w:rsidRPr="000A1C8E" w:rsidRDefault="0085061F" w:rsidP="00B24C9D">
      <w:pPr>
        <w:keepNext/>
        <w:ind w:left="720"/>
        <w:rPr>
          <w:rFonts w:cs="Tahoma"/>
          <w:spacing w:val="-2"/>
        </w:rPr>
      </w:pPr>
      <w:r w:rsidRPr="000A1C8E">
        <w:rPr>
          <w:rFonts w:eastAsia="Calibri" w:cs="Tahoma"/>
          <w:spacing w:val="-2"/>
          <w:szCs w:val="18"/>
        </w:rPr>
        <w:t>Para Windows Intune (Por Dispositivo) adquirido como um Serviço Online Enterprise para atender aos requisitos do Produto Enterprise: Consulte a coluna “Novo EA/OV-TE” na tabela acima para licenças adquiridas na assinatura e a Coluna “EA/OV-TE existente” na tabela abaixo para licenças adquiridas em qualquer outro período ou realocadas conforme permitido na seção “Realocação de Licença” apresentada abaixo.</w:t>
      </w:r>
    </w:p>
    <w:p w:rsidR="0085061F" w:rsidRPr="000A1C8E" w:rsidRDefault="0085061F" w:rsidP="00B24C9D">
      <w:pPr>
        <w:keepNext/>
        <w:ind w:left="720"/>
        <w:rPr>
          <w:rFonts w:cs="Tahoma"/>
        </w:rPr>
      </w:pPr>
      <w:r w:rsidRPr="000A1C8E">
        <w:rPr>
          <w:rFonts w:eastAsia="Calibri" w:cs="Tahoma"/>
          <w:szCs w:val="18"/>
        </w:rPr>
        <w:t xml:space="preserve"> </w:t>
      </w:r>
    </w:p>
    <w:p w:rsidR="0053437B" w:rsidRPr="000A1C8E" w:rsidRDefault="0053437B" w:rsidP="00B24C9D">
      <w:pPr>
        <w:ind w:left="720"/>
        <w:rPr>
          <w:rFonts w:cs="Tahoma"/>
        </w:rPr>
      </w:pPr>
      <w:r w:rsidRPr="000A1C8E">
        <w:rPr>
          <w:rFonts w:eastAsia="Calibri" w:cs="Tahoma"/>
          <w:szCs w:val="18"/>
        </w:rPr>
        <w:t>Como exceção da regra acima, para o Windows Intune (Por Dispositivo) adquirido como um Serviço Online Enterprise, mas não para atender aos requisitos do Produto Enterprise: Consulte a coluna “Novo EA/OV-CW” na tabela acima para novas licenças.</w:t>
      </w:r>
    </w:p>
    <w:p w:rsidR="00B24C9D" w:rsidRPr="000A1C8E" w:rsidRDefault="00B24C9D" w:rsidP="00B24C9D">
      <w:pPr>
        <w:ind w:left="720"/>
        <w:rPr>
          <w:rFonts w:cs="Tahoma"/>
        </w:rPr>
      </w:pPr>
    </w:p>
    <w:p w:rsidR="00B73A46" w:rsidRPr="000A1C8E" w:rsidRDefault="00B73A46" w:rsidP="002C4768">
      <w:pPr>
        <w:pStyle w:val="FootnoteBulletLevel2"/>
        <w:spacing w:before="0"/>
        <w:ind w:left="720" w:firstLine="0"/>
        <w:rPr>
          <w:rFonts w:ascii="Tahoma" w:hAnsi="Tahoma" w:cs="Tahoma"/>
        </w:rPr>
      </w:pPr>
      <w:r w:rsidRPr="000A1C8E">
        <w:rPr>
          <w:rFonts w:ascii="Tahoma" w:hAnsi="Tahoma" w:cs="Tahoma"/>
          <w:sz w:val="18"/>
          <w:szCs w:val="18"/>
        </w:rPr>
        <w:t>Os clientes que tiverem assinaturas do Windows Intune (Por Dispositivo) ativas não precisarão desinstalar o</w:t>
      </w:r>
      <w:r w:rsidR="002C4768" w:rsidRPr="000A1C8E">
        <w:rPr>
          <w:rFonts w:ascii="Tahoma" w:hAnsi="Tahoma" w:cs="Tahoma"/>
          <w:sz w:val="18"/>
          <w:szCs w:val="18"/>
        </w:rPr>
        <w:t> </w:t>
      </w:r>
      <w:r w:rsidRPr="000A1C8E">
        <w:rPr>
          <w:rFonts w:ascii="Tahoma" w:hAnsi="Tahoma" w:cs="Tahoma"/>
          <w:sz w:val="18"/>
          <w:szCs w:val="18"/>
        </w:rPr>
        <w:t xml:space="preserve">SO qualificado do dispositivo licenciado e poderão instalar e executar o SO qualificado e o sistema operacional Windows Desktop simultaneamente. </w:t>
      </w:r>
    </w:p>
    <w:p w:rsidR="00B73A46" w:rsidRPr="000A1C8E" w:rsidRDefault="00B73A46" w:rsidP="00B24C9D">
      <w:pPr>
        <w:pStyle w:val="FootnoteBulletLevel1"/>
        <w:spacing w:before="0" w:after="0"/>
        <w:ind w:left="720" w:firstLine="0"/>
        <w:rPr>
          <w:rFonts w:ascii="Tahoma" w:hAnsi="Tahoma" w:cs="Tahoma"/>
        </w:rPr>
      </w:pPr>
    </w:p>
    <w:p w:rsidR="00B24C9D" w:rsidRPr="000A1C8E" w:rsidRDefault="00B24C9D" w:rsidP="00B24C9D">
      <w:pPr>
        <w:tabs>
          <w:tab w:val="left" w:pos="900"/>
        </w:tabs>
        <w:ind w:left="720"/>
        <w:rPr>
          <w:rFonts w:cs="Tahoma"/>
        </w:rPr>
      </w:pPr>
      <w:r w:rsidRPr="000A1C8E">
        <w:rPr>
          <w:rFonts w:cs="Tahoma"/>
          <w:szCs w:val="18"/>
          <w:u w:val="single"/>
        </w:rPr>
        <w:t>Cessão da Licença</w:t>
      </w:r>
      <w:r w:rsidRPr="000A1C8E">
        <w:rPr>
          <w:rFonts w:cs="Tahoma"/>
          <w:szCs w:val="18"/>
        </w:rPr>
        <w:t xml:space="preserve"> </w:t>
      </w:r>
    </w:p>
    <w:p w:rsidR="00B73A46" w:rsidRPr="000A1C8E" w:rsidRDefault="00B73A46" w:rsidP="00B24C9D">
      <w:pPr>
        <w:tabs>
          <w:tab w:val="left" w:pos="900"/>
        </w:tabs>
        <w:ind w:left="720"/>
        <w:rPr>
          <w:rFonts w:cs="Tahoma"/>
        </w:rPr>
      </w:pPr>
      <w:r w:rsidRPr="000A1C8E">
        <w:rPr>
          <w:rFonts w:cs="Tahoma"/>
          <w:szCs w:val="18"/>
        </w:rPr>
        <w:t xml:space="preserve">Os clientes devem ceder a licença de assinatura do Windows Intune (Por Dispositivo) ao dispositivo no qual está instalado o sistema operacional qualificado. </w:t>
      </w:r>
    </w:p>
    <w:p w:rsidR="00B73A46" w:rsidRPr="000A1C8E" w:rsidRDefault="00B73A46" w:rsidP="00B24C9D">
      <w:pPr>
        <w:pStyle w:val="FootnoteBulletLevel2"/>
        <w:spacing w:before="0"/>
        <w:ind w:left="907" w:firstLine="0"/>
        <w:rPr>
          <w:rFonts w:ascii="Tahoma" w:hAnsi="Tahoma" w:cs="Tahoma"/>
        </w:rPr>
      </w:pPr>
    </w:p>
    <w:p w:rsidR="002C4768" w:rsidRDefault="002C4768" w:rsidP="00B24C9D">
      <w:pPr>
        <w:pStyle w:val="FootnoteBulletLevel2"/>
        <w:spacing w:before="0"/>
        <w:ind w:left="907" w:firstLine="0"/>
        <w:rPr>
          <w:rFonts w:ascii="Tahoma" w:hAnsi="Tahoma" w:cs="Tahoma"/>
        </w:rPr>
      </w:pPr>
    </w:p>
    <w:p w:rsidR="00BD3A67" w:rsidRPr="000A1C8E" w:rsidRDefault="00BD3A67" w:rsidP="00B24C9D">
      <w:pPr>
        <w:pStyle w:val="FootnoteBulletLevel2"/>
        <w:spacing w:before="0"/>
        <w:ind w:left="907" w:firstLine="0"/>
        <w:rPr>
          <w:rFonts w:ascii="Tahoma" w:hAnsi="Tahoma" w:cs="Tahoma"/>
        </w:rPr>
      </w:pPr>
    </w:p>
    <w:p w:rsidR="00B73A46" w:rsidRPr="000A1C8E" w:rsidRDefault="00B73A46" w:rsidP="00B24C9D">
      <w:pPr>
        <w:pStyle w:val="FootnoteBulletLevel1"/>
        <w:tabs>
          <w:tab w:val="clear" w:pos="900"/>
        </w:tabs>
        <w:spacing w:before="0" w:after="60"/>
        <w:ind w:left="720" w:firstLine="0"/>
        <w:rPr>
          <w:rFonts w:ascii="Tahoma" w:hAnsi="Tahoma" w:cs="Tahoma"/>
        </w:rPr>
      </w:pPr>
      <w:r w:rsidRPr="000A1C8E">
        <w:rPr>
          <w:rFonts w:ascii="Tahoma" w:hAnsi="Tahoma" w:cs="Tahoma"/>
          <w:b/>
          <w:sz w:val="18"/>
          <w:szCs w:val="18"/>
        </w:rPr>
        <w:lastRenderedPageBreak/>
        <w:t>Realocação da Licença</w:t>
      </w:r>
      <w:r w:rsidRPr="000A1C8E">
        <w:rPr>
          <w:rFonts w:ascii="Tahoma" w:hAnsi="Tahoma" w:cs="Tahoma"/>
          <w:b/>
          <w:bCs/>
          <w:sz w:val="18"/>
          <w:szCs w:val="18"/>
        </w:rPr>
        <w:t xml:space="preserve"> para Windows Intune (Por Dispositivo)</w:t>
      </w:r>
    </w:p>
    <w:p w:rsidR="00B73A46" w:rsidRPr="000A1C8E" w:rsidRDefault="00B73A46" w:rsidP="00B24C9D">
      <w:pPr>
        <w:pStyle w:val="BodyText"/>
        <w:spacing w:before="0" w:after="0" w:line="240" w:lineRule="auto"/>
        <w:ind w:left="720"/>
        <w:rPr>
          <w:rFonts w:ascii="Tahoma" w:hAnsi="Tahoma" w:cs="Tahoma"/>
          <w:spacing w:val="-2"/>
        </w:rPr>
      </w:pPr>
      <w:r w:rsidRPr="000A1C8E">
        <w:rPr>
          <w:rFonts w:ascii="Tahoma" w:hAnsi="Tahoma" w:cs="Tahoma"/>
          <w:color w:val="auto"/>
          <w:spacing w:val="-2"/>
          <w:sz w:val="18"/>
          <w:szCs w:val="18"/>
        </w:rPr>
        <w:t>Os clientes poderão ceder licenças do Complemento do Windows Intune (Por Dispositivo), mas não a curto prazo (ou seja, não antes de 90 dias depois da última cessão).</w:t>
      </w:r>
      <w:r w:rsidR="00DC6D8B" w:rsidRPr="000A1C8E">
        <w:rPr>
          <w:rFonts w:ascii="Tahoma" w:hAnsi="Tahoma" w:cs="Tahoma"/>
          <w:color w:val="auto"/>
          <w:spacing w:val="-2"/>
          <w:sz w:val="18"/>
          <w:szCs w:val="18"/>
        </w:rPr>
        <w:t xml:space="preserve"> </w:t>
      </w:r>
      <w:r w:rsidRPr="000A1C8E">
        <w:rPr>
          <w:rFonts w:ascii="Tahoma" w:hAnsi="Tahoma" w:cs="Tahoma"/>
          <w:color w:val="auto"/>
          <w:spacing w:val="-2"/>
          <w:sz w:val="18"/>
          <w:szCs w:val="18"/>
        </w:rPr>
        <w:t>Eles poderão transferir uma licença do Windows Intune (Por Dispositivo) mais cedo se desativarem o dispositivo licenciado existente em decorrência de uma falha de hardware permanente.</w:t>
      </w:r>
      <w:r w:rsidR="00DC6D8B" w:rsidRPr="000A1C8E">
        <w:rPr>
          <w:rFonts w:ascii="Tahoma" w:hAnsi="Tahoma" w:cs="Tahoma"/>
          <w:color w:val="auto"/>
          <w:spacing w:val="-2"/>
          <w:sz w:val="18"/>
          <w:szCs w:val="18"/>
        </w:rPr>
        <w:t xml:space="preserve"> </w:t>
      </w:r>
      <w:r w:rsidRPr="000A1C8E">
        <w:rPr>
          <w:rFonts w:ascii="Tahoma" w:hAnsi="Tahoma" w:cs="Tahoma"/>
          <w:color w:val="auto"/>
          <w:spacing w:val="-2"/>
          <w:sz w:val="18"/>
          <w:szCs w:val="18"/>
        </w:rPr>
        <w:t>A licença para a qual o Windows Intune (Por Dispositivo) for transferido deverá atender aos requisitos de sistema operacional qualificado descritos acima.</w:t>
      </w:r>
      <w:r w:rsidR="00DC6D8B" w:rsidRPr="000A1C8E">
        <w:rPr>
          <w:rFonts w:ascii="Tahoma" w:hAnsi="Tahoma" w:cs="Tahoma"/>
          <w:color w:val="auto"/>
          <w:spacing w:val="-2"/>
          <w:sz w:val="18"/>
          <w:szCs w:val="18"/>
        </w:rPr>
        <w:t xml:space="preserve"> </w:t>
      </w:r>
      <w:r w:rsidRPr="000A1C8E">
        <w:rPr>
          <w:rFonts w:ascii="Tahoma" w:hAnsi="Tahoma" w:cs="Tahoma"/>
          <w:color w:val="auto"/>
          <w:spacing w:val="-2"/>
          <w:sz w:val="18"/>
          <w:szCs w:val="18"/>
        </w:rPr>
        <w:t>O software deverá ser removido e o uso ou acesso ao serviço Windows Intune (Por Dispositivo) descontinuado a partir do dispositivo do qual a licença foi transferida.</w:t>
      </w:r>
    </w:p>
    <w:p w:rsidR="00B24C9D" w:rsidRPr="000A1C8E" w:rsidRDefault="00B24C9D" w:rsidP="00B24C9D">
      <w:pPr>
        <w:pStyle w:val="BodyText"/>
        <w:spacing w:before="0" w:after="0" w:line="240" w:lineRule="auto"/>
        <w:ind w:left="720"/>
        <w:rPr>
          <w:rFonts w:ascii="Tahoma" w:hAnsi="Tahoma" w:cs="Tahoma"/>
        </w:rPr>
      </w:pPr>
    </w:p>
    <w:p w:rsidR="00B73A46" w:rsidRPr="000A1C8E" w:rsidRDefault="00B73A46" w:rsidP="00B24C9D">
      <w:pPr>
        <w:autoSpaceDN w:val="0"/>
        <w:ind w:left="720"/>
        <w:rPr>
          <w:rFonts w:cs="Tahoma"/>
        </w:rPr>
      </w:pPr>
      <w:r w:rsidRPr="000A1C8E">
        <w:rPr>
          <w:rFonts w:cs="Tahoma"/>
          <w:szCs w:val="18"/>
        </w:rPr>
        <w:t>Como exceção aos requisitos do SO qualificado para Windows Intune (Por Dispositivo) licenciado como Serviços Online Enterprise para atender aos requisitos do Produto En</w:t>
      </w:r>
      <w:r w:rsidRPr="000A1C8E">
        <w:rPr>
          <w:rFonts w:cs="Tahoma"/>
        </w:rPr>
        <w:t xml:space="preserve">terprise, </w:t>
      </w:r>
      <w:r w:rsidRPr="000A1C8E">
        <w:rPr>
          <w:rFonts w:cs="Tahoma"/>
          <w:szCs w:val="18"/>
        </w:rPr>
        <w:t>os clientes</w:t>
      </w:r>
      <w:r w:rsidRPr="000A1C8E">
        <w:rPr>
          <w:rFonts w:cs="Tahoma"/>
          <w:strike/>
          <w:szCs w:val="18"/>
        </w:rPr>
        <w:t xml:space="preserve"> </w:t>
      </w:r>
      <w:r w:rsidRPr="000A1C8E">
        <w:rPr>
          <w:rFonts w:cs="Tahoma"/>
          <w:szCs w:val="18"/>
        </w:rPr>
        <w:t xml:space="preserve">poderão transferir as licenças do Windows Intune (Por Dispositivo) para os dispositivos a seguir, contanto que eles estejam licenciados para um dos sistemas operacionais qualificados identificados na coluna “Novo EA/OV-TE” na tabela acima e que os sistemas operacionais qualificados estejam instalados neles: </w:t>
      </w:r>
    </w:p>
    <w:p w:rsidR="00B24C9D" w:rsidRPr="000A1C8E" w:rsidRDefault="00B24C9D" w:rsidP="00B24C9D">
      <w:pPr>
        <w:autoSpaceDN w:val="0"/>
        <w:ind w:left="720"/>
        <w:rPr>
          <w:rFonts w:cs="Tahoma"/>
        </w:rPr>
      </w:pPr>
    </w:p>
    <w:p w:rsidR="00B73A46" w:rsidRPr="000A1C8E" w:rsidRDefault="00B73A46" w:rsidP="00346F4B">
      <w:pPr>
        <w:numPr>
          <w:ilvl w:val="3"/>
          <w:numId w:val="27"/>
        </w:numPr>
        <w:autoSpaceDN w:val="0"/>
        <w:spacing w:after="60"/>
        <w:ind w:left="1440"/>
        <w:rPr>
          <w:rFonts w:cs="Tahoma"/>
        </w:rPr>
      </w:pPr>
      <w:r w:rsidRPr="000A1C8E">
        <w:rPr>
          <w:rFonts w:cs="Tahoma"/>
          <w:szCs w:val="18"/>
        </w:rPr>
        <w:t xml:space="preserve">dispositivos adquiridos em uma fusão ou aquisição e </w:t>
      </w:r>
    </w:p>
    <w:p w:rsidR="00DA7284" w:rsidRPr="000A1C8E" w:rsidRDefault="00B73A46" w:rsidP="00346F4B">
      <w:pPr>
        <w:numPr>
          <w:ilvl w:val="3"/>
          <w:numId w:val="27"/>
        </w:numPr>
        <w:autoSpaceDN w:val="0"/>
        <w:spacing w:after="60"/>
        <w:ind w:left="1440"/>
        <w:rPr>
          <w:rFonts w:cs="Tahoma"/>
        </w:rPr>
      </w:pPr>
      <w:r w:rsidRPr="000A1C8E">
        <w:rPr>
          <w:rFonts w:cs="Tahoma"/>
          <w:szCs w:val="18"/>
        </w:rPr>
        <w:t>dispositivos pertencentes a terceiros e funcionários.</w:t>
      </w:r>
    </w:p>
    <w:p w:rsidR="00A84DF7" w:rsidRPr="000A1C8E" w:rsidRDefault="00A84DF7" w:rsidP="00A84DF7">
      <w:pPr>
        <w:autoSpaceDN w:val="0"/>
        <w:spacing w:after="60"/>
        <w:rPr>
          <w:rFonts w:cs="Tahoma"/>
        </w:rPr>
      </w:pPr>
    </w:p>
    <w:p w:rsidR="00B73A46" w:rsidRPr="000A1C8E" w:rsidRDefault="00B73A46" w:rsidP="00A84DF7">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Software Assurance do Windows 8 Pro</w:t>
      </w:r>
      <w:r w:rsidR="00DC6D8B" w:rsidRPr="000A1C8E">
        <w:rPr>
          <w:rFonts w:ascii="Tahoma" w:hAnsi="Tahoma" w:cs="Tahoma"/>
          <w:b/>
          <w:bCs/>
          <w:i/>
          <w:iCs/>
          <w:sz w:val="18"/>
          <w:szCs w:val="18"/>
        </w:rPr>
        <w:t xml:space="preserve"> </w:t>
      </w:r>
    </w:p>
    <w:p w:rsidR="00B73A46" w:rsidRPr="000A1C8E" w:rsidRDefault="00B73A46" w:rsidP="00A84DF7">
      <w:pPr>
        <w:pStyle w:val="FootnoteBulletLevel1"/>
        <w:spacing w:before="0" w:after="0"/>
        <w:ind w:left="720" w:firstLine="0"/>
        <w:rPr>
          <w:rFonts w:ascii="Tahoma" w:hAnsi="Tahoma" w:cs="Tahoma"/>
        </w:rPr>
      </w:pPr>
      <w:r w:rsidRPr="000A1C8E">
        <w:rPr>
          <w:rFonts w:ascii="Tahoma" w:hAnsi="Tahoma" w:cs="Tahoma"/>
          <w:sz w:val="18"/>
          <w:szCs w:val="18"/>
        </w:rPr>
        <w:t>Os clientes que desejarem se registrar no Software Assurance do Windows 8 Pro têm as seguintes opções:</w:t>
      </w:r>
    </w:p>
    <w:p w:rsidR="00A84DF7" w:rsidRPr="000A1C8E" w:rsidRDefault="00A84DF7" w:rsidP="00A84DF7">
      <w:pPr>
        <w:pStyle w:val="FootnoteBulletLevel1"/>
        <w:spacing w:before="0" w:after="0"/>
        <w:ind w:left="720" w:firstLine="0"/>
        <w:rPr>
          <w:rFonts w:ascii="Tahoma" w:hAnsi="Tahoma" w:cs="Tahoma"/>
        </w:rPr>
      </w:pPr>
    </w:p>
    <w:p w:rsidR="00A84DF7" w:rsidRPr="000A1C8E" w:rsidRDefault="00B73A46" w:rsidP="00346F4B">
      <w:pPr>
        <w:pStyle w:val="FootnoteBulletLevel1"/>
        <w:numPr>
          <w:ilvl w:val="0"/>
          <w:numId w:val="29"/>
        </w:numPr>
        <w:adjustRightInd/>
        <w:spacing w:before="0" w:after="60"/>
        <w:textAlignment w:val="auto"/>
        <w:rPr>
          <w:rFonts w:ascii="Tahoma" w:hAnsi="Tahoma" w:cs="Tahoma"/>
        </w:rPr>
      </w:pPr>
      <w:r w:rsidRPr="000A1C8E">
        <w:rPr>
          <w:rFonts w:ascii="Tahoma" w:hAnsi="Tahoma" w:cs="Tahoma"/>
          <w:sz w:val="18"/>
          <w:szCs w:val="18"/>
        </w:rPr>
        <w:t xml:space="preserve">Select. Programas Open Value (Não extensivo a toda a empresa) e Licença Open </w:t>
      </w:r>
    </w:p>
    <w:p w:rsidR="00B73A46" w:rsidRPr="000A1C8E" w:rsidRDefault="00B73A46" w:rsidP="00346F4B">
      <w:pPr>
        <w:numPr>
          <w:ilvl w:val="0"/>
          <w:numId w:val="30"/>
        </w:numPr>
        <w:spacing w:after="60"/>
        <w:ind w:left="1800"/>
        <w:rPr>
          <w:rFonts w:cs="Tahoma"/>
        </w:rPr>
      </w:pPr>
      <w:r w:rsidRPr="000A1C8E">
        <w:rPr>
          <w:rFonts w:cs="Tahoma"/>
          <w:szCs w:val="18"/>
          <w:bdr w:val="none" w:sz="0" w:space="0" w:color="auto" w:frame="1"/>
        </w:rPr>
        <w:t>Adquirir a cobertura do Software Assurance para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(Início de vigência: 1º de setembro de 2009)</w:t>
      </w:r>
    </w:p>
    <w:p w:rsidR="00B73A46" w:rsidRPr="000A1C8E" w:rsidRDefault="00B73A46" w:rsidP="00346F4B">
      <w:pPr>
        <w:pStyle w:val="Footnotedash"/>
        <w:numPr>
          <w:ilvl w:val="0"/>
          <w:numId w:val="30"/>
        </w:numPr>
        <w:adjustRightInd/>
        <w:spacing w:before="0"/>
        <w:ind w:left="1800"/>
        <w:textAlignment w:val="auto"/>
        <w:rPr>
          <w:rFonts w:ascii="Tahoma" w:hAnsi="Tahoma" w:cs="Tahoma"/>
        </w:rPr>
      </w:pPr>
      <w:r w:rsidRPr="000A1C8E">
        <w:rPr>
          <w:rFonts w:ascii="Tahoma" w:hAnsi="Tahoma" w:cs="Tahoma"/>
          <w:sz w:val="18"/>
          <w:szCs w:val="18"/>
        </w:rPr>
        <w:t xml:space="preserve">Renovar o Software Assurance para o sistema operacional de desktop ao término da cobertura do Software Assurance do Windows 8 Pro ou Windows 7 Professional. </w:t>
      </w:r>
    </w:p>
    <w:p w:rsidR="00B73A46" w:rsidRPr="000A1C8E" w:rsidRDefault="00B73A46" w:rsidP="00A84DF7">
      <w:pPr>
        <w:pStyle w:val="Footnotedash"/>
        <w:spacing w:before="0" w:after="0"/>
        <w:ind w:left="720" w:firstLine="0"/>
        <w:rPr>
          <w:rFonts w:ascii="Tahoma" w:hAnsi="Tahoma" w:cs="Tahoma"/>
        </w:rPr>
      </w:pPr>
      <w:r w:rsidRPr="000A1C8E">
        <w:rPr>
          <w:rFonts w:ascii="Tahoma" w:hAnsi="Tahoma" w:cs="Tahoma"/>
          <w:sz w:val="18"/>
          <w:szCs w:val="18"/>
        </w:rPr>
        <w:t xml:space="preserve">O período de tempo estabelecido acima poderá ser expandido para fins promocionais por tempo limitado. Consulte a </w:t>
      </w:r>
      <w:hyperlink w:anchor="_SECTION_3_–" w:history="1">
        <w:r w:rsidRPr="000A1C8E">
          <w:rPr>
            <w:rStyle w:val="Hyperlink"/>
            <w:rFonts w:ascii="Tahoma" w:hAnsi="Tahoma" w:cs="Tahoma"/>
            <w:color w:val="auto"/>
            <w:sz w:val="18"/>
            <w:szCs w:val="18"/>
            <w:u w:val="none"/>
          </w:rPr>
          <w:t>Seção 3</w:t>
        </w:r>
      </w:hyperlink>
      <w:r w:rsidRPr="000A1C8E">
        <w:rPr>
          <w:rFonts w:ascii="Tahoma" w:hAnsi="Tahoma" w:cs="Tahoma"/>
          <w:sz w:val="18"/>
          <w:szCs w:val="18"/>
        </w:rPr>
        <w:t xml:space="preserve"> para obter detalhes.</w:t>
      </w:r>
    </w:p>
    <w:p w:rsidR="00A84DF7" w:rsidRPr="000A1C8E" w:rsidRDefault="00A84DF7" w:rsidP="00A84DF7">
      <w:pPr>
        <w:pStyle w:val="Footnotedash"/>
        <w:spacing w:before="0" w:after="0"/>
        <w:ind w:left="720" w:firstLine="0"/>
        <w:rPr>
          <w:rFonts w:ascii="Tahoma" w:hAnsi="Tahoma" w:cs="Tahoma"/>
        </w:rPr>
      </w:pPr>
    </w:p>
    <w:p w:rsidR="00B73A46" w:rsidRPr="000A1C8E" w:rsidRDefault="00B73A46" w:rsidP="00346F4B">
      <w:pPr>
        <w:pStyle w:val="FootnoteBulletLevel2"/>
        <w:numPr>
          <w:ilvl w:val="0"/>
          <w:numId w:val="25"/>
        </w:numPr>
        <w:adjustRightInd/>
        <w:spacing w:before="0"/>
        <w:ind w:left="1440"/>
        <w:textAlignment w:val="auto"/>
        <w:rPr>
          <w:rFonts w:ascii="Tahoma" w:hAnsi="Tahoma" w:cs="Tahoma"/>
        </w:rPr>
      </w:pPr>
      <w:r w:rsidRPr="000A1C8E">
        <w:rPr>
          <w:rFonts w:ascii="Tahoma" w:hAnsi="Tahoma" w:cs="Tahoma"/>
          <w:sz w:val="18"/>
          <w:szCs w:val="18"/>
        </w:rPr>
        <w:t>Registros Enterprise: ao término de um Registro Enterprise existente que cubra o Sistema Operacional Windows Desktop, renovar a respectiva cobertura sob um novo Registro Enterprise para o Sistema Operacional Windows Desktop.</w:t>
      </w:r>
    </w:p>
    <w:p w:rsidR="00A84DF7" w:rsidRPr="000A1C8E" w:rsidRDefault="00A84DF7" w:rsidP="00A84DF7">
      <w:pPr>
        <w:pStyle w:val="FootnoteBulletLevel2"/>
        <w:tabs>
          <w:tab w:val="clear" w:pos="1260"/>
        </w:tabs>
        <w:adjustRightInd/>
        <w:spacing w:before="0"/>
        <w:ind w:left="0" w:firstLine="0"/>
        <w:textAlignment w:val="auto"/>
        <w:rPr>
          <w:rFonts w:ascii="Tahoma" w:hAnsi="Tahoma" w:cs="Tahoma"/>
        </w:rPr>
      </w:pPr>
    </w:p>
    <w:p w:rsidR="002F7FB8" w:rsidRPr="000A1C8E" w:rsidRDefault="002F7FB8" w:rsidP="00846611">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Software Assurance e Atualização do Windows 8 Pro</w:t>
      </w:r>
    </w:p>
    <w:p w:rsidR="002F7FB8" w:rsidRPr="000A1C8E" w:rsidRDefault="002F7FB8" w:rsidP="00846611">
      <w:pPr>
        <w:pStyle w:val="FootnoteBulletLevel1"/>
        <w:spacing w:before="0" w:after="0"/>
        <w:ind w:left="720" w:firstLine="0"/>
        <w:rPr>
          <w:rFonts w:ascii="Tahoma" w:hAnsi="Tahoma" w:cs="Tahoma"/>
        </w:rPr>
      </w:pPr>
      <w:r w:rsidRPr="000A1C8E">
        <w:rPr>
          <w:rFonts w:ascii="Tahoma" w:hAnsi="Tahoma" w:cs="Tahoma"/>
          <w:sz w:val="18"/>
          <w:szCs w:val="18"/>
          <w:u w:val="single"/>
        </w:rPr>
        <w:t>Licença de Atualização de Sistema Operacional (SO)</w:t>
      </w:r>
    </w:p>
    <w:p w:rsidR="002F7FB8" w:rsidRPr="000A1C8E" w:rsidRDefault="002F7FB8" w:rsidP="00846611">
      <w:pPr>
        <w:pStyle w:val="FootnoteBulletLevel2"/>
        <w:tabs>
          <w:tab w:val="clear" w:pos="1260"/>
        </w:tabs>
        <w:adjustRightInd/>
        <w:spacing w:before="0"/>
        <w:ind w:left="720" w:firstLine="0"/>
        <w:textAlignment w:val="auto"/>
        <w:rPr>
          <w:rFonts w:ascii="Tahoma" w:hAnsi="Tahoma" w:cs="Tahoma"/>
          <w:spacing w:val="-4"/>
        </w:rPr>
      </w:pPr>
      <w:r w:rsidRPr="000A1C8E">
        <w:rPr>
          <w:rFonts w:ascii="Tahoma" w:hAnsi="Tahoma" w:cs="Tahoma"/>
          <w:spacing w:val="-4"/>
          <w:sz w:val="18"/>
          <w:szCs w:val="18"/>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 Pro um dos sistemas operacionais qualificados aplicáveis identificados na tabela abaixo.</w:t>
      </w:r>
    </w:p>
    <w:p w:rsidR="00846611" w:rsidRPr="000A1C8E" w:rsidRDefault="00846611" w:rsidP="00846611">
      <w:pPr>
        <w:pStyle w:val="FootnoteBulletLevel2"/>
        <w:tabs>
          <w:tab w:val="clear" w:pos="1260"/>
        </w:tabs>
        <w:adjustRightInd/>
        <w:spacing w:before="0"/>
        <w:ind w:left="720" w:firstLine="0"/>
        <w:textAlignment w:val="auto"/>
        <w:rPr>
          <w:rFonts w:ascii="Tahoma" w:hAnsi="Tahoma" w:cs="Tahoma"/>
        </w:rPr>
      </w:pPr>
    </w:p>
    <w:p w:rsidR="002F7FB8" w:rsidRPr="000A1C8E" w:rsidRDefault="002F7FB8" w:rsidP="00846611">
      <w:pPr>
        <w:pStyle w:val="FootnoteBulletLevel2"/>
        <w:tabs>
          <w:tab w:val="clear" w:pos="1260"/>
        </w:tabs>
        <w:adjustRightInd/>
        <w:spacing w:before="0"/>
        <w:ind w:left="720" w:firstLine="0"/>
        <w:textAlignment w:val="auto"/>
        <w:rPr>
          <w:rFonts w:ascii="Tahoma" w:hAnsi="Tahoma" w:cs="Tahoma"/>
        </w:rPr>
      </w:pPr>
      <w:r w:rsidRPr="000A1C8E">
        <w:rPr>
          <w:rFonts w:ascii="Tahoma" w:hAnsi="Tahoma" w:cs="Tahoma"/>
          <w:sz w:val="18"/>
          <w:szCs w:val="18"/>
        </w:rPr>
        <w:t>Os clientes que desejarem adquirir a Atualização e Software Assurance do Windows 8 Pro têm as seguintes opções:</w:t>
      </w:r>
    </w:p>
    <w:p w:rsidR="00B04B81" w:rsidRPr="000A1C8E" w:rsidRDefault="00B04B81" w:rsidP="00846611">
      <w:pPr>
        <w:pStyle w:val="FootnoteBulletLevel2"/>
        <w:tabs>
          <w:tab w:val="clear" w:pos="1260"/>
        </w:tabs>
        <w:adjustRightInd/>
        <w:spacing w:before="0"/>
        <w:ind w:left="720" w:firstLine="0"/>
        <w:textAlignment w:val="auto"/>
        <w:rPr>
          <w:rFonts w:ascii="Tahoma" w:hAnsi="Tahoma" w:cs="Tahoma"/>
        </w:rPr>
      </w:pPr>
    </w:p>
    <w:p w:rsidR="002F7FB8" w:rsidRPr="000A1C8E" w:rsidRDefault="002F7FB8" w:rsidP="00346F4B">
      <w:pPr>
        <w:pStyle w:val="FootnoteBulletLevel2"/>
        <w:numPr>
          <w:ilvl w:val="0"/>
          <w:numId w:val="25"/>
        </w:numPr>
        <w:adjustRightInd/>
        <w:spacing w:before="0" w:after="60"/>
        <w:ind w:left="1440"/>
        <w:textAlignment w:val="auto"/>
        <w:rPr>
          <w:rFonts w:ascii="Tahoma" w:hAnsi="Tahoma" w:cs="Tahoma"/>
        </w:rPr>
      </w:pPr>
      <w:r w:rsidRPr="000A1C8E">
        <w:rPr>
          <w:rFonts w:ascii="Tahoma" w:hAnsi="Tahoma" w:cs="Tahoma"/>
          <w:sz w:val="18"/>
          <w:szCs w:val="18"/>
        </w:rPr>
        <w:t>Programas Select, Open Value (Não extensivo a toda a empresa) e Licença Open:</w:t>
      </w:r>
    </w:p>
    <w:p w:rsidR="002F7FB8" w:rsidRPr="000A1C8E" w:rsidRDefault="002F7FB8" w:rsidP="00346F4B">
      <w:pPr>
        <w:pStyle w:val="Footnotedash"/>
        <w:numPr>
          <w:ilvl w:val="1"/>
          <w:numId w:val="31"/>
        </w:numPr>
        <w:spacing w:before="0"/>
        <w:ind w:left="1800"/>
        <w:rPr>
          <w:rFonts w:ascii="Tahoma" w:hAnsi="Tahoma" w:cs="Tahoma"/>
        </w:rPr>
      </w:pPr>
      <w:r w:rsidRPr="000A1C8E">
        <w:rPr>
          <w:rFonts w:ascii="Tahoma" w:eastAsia="Calibri" w:hAnsi="Tahoma" w:cs="Tahoma"/>
          <w:color w:val="000000"/>
          <w:sz w:val="18"/>
          <w:szCs w:val="18"/>
        </w:rPr>
        <w:t>Adquirir a Atualização e Software Assurance do Windows 8 Pro para desktops nos quais o cliente licenciou e instalou um dos sistemas operacionais qualificados listados na tabela de Atualização do Windows acima.</w:t>
      </w:r>
    </w:p>
    <w:p w:rsidR="002F7FB8" w:rsidRPr="000A1C8E" w:rsidRDefault="002F7FB8" w:rsidP="00346F4B">
      <w:pPr>
        <w:pStyle w:val="Footnotedash"/>
        <w:numPr>
          <w:ilvl w:val="2"/>
          <w:numId w:val="85"/>
        </w:numPr>
        <w:spacing w:before="0"/>
        <w:ind w:left="1800"/>
        <w:rPr>
          <w:rFonts w:ascii="Tahoma" w:hAnsi="Tahoma" w:cs="Tahoma"/>
        </w:rPr>
      </w:pPr>
      <w:r w:rsidRPr="000A1C8E">
        <w:rPr>
          <w:rFonts w:ascii="Tahoma" w:eastAsia="Calibri" w:hAnsi="Tahoma" w:cs="Tahoma"/>
          <w:color w:val="000000"/>
          <w:sz w:val="18"/>
          <w:szCs w:val="18"/>
        </w:rPr>
        <w:t>O Cliente pode transferir a cobertura do Software Assurance em atualizações de sistemas operacionais de desktop do desktop original para um desktop substituto, mas não a curto prazo (ou seja, em 90 dias da última alocação), desde que (1) o cliente licenciou e instalou no desktop substituto a versão mais recente daquele sistema operacional e (2) o cliente remova quaisquer atualizações de sistema operacional de desktop do desktop original.</w:t>
      </w:r>
    </w:p>
    <w:p w:rsidR="00A84DF7" w:rsidRPr="000A1C8E" w:rsidRDefault="002F7FB8" w:rsidP="00346F4B">
      <w:pPr>
        <w:pStyle w:val="FootnoteBulletLevel2"/>
        <w:numPr>
          <w:ilvl w:val="0"/>
          <w:numId w:val="25"/>
        </w:numPr>
        <w:adjustRightInd/>
        <w:spacing w:before="0" w:after="60"/>
        <w:ind w:left="1440"/>
        <w:textAlignment w:val="auto"/>
        <w:rPr>
          <w:rFonts w:ascii="Tahoma" w:hAnsi="Tahoma" w:cs="Tahoma"/>
        </w:rPr>
      </w:pPr>
      <w:r w:rsidRPr="000A1C8E">
        <w:rPr>
          <w:rFonts w:ascii="Tahoma" w:hAnsi="Tahoma" w:cs="Tahoma"/>
          <w:sz w:val="18"/>
          <w:szCs w:val="18"/>
        </w:rPr>
        <w:lastRenderedPageBreak/>
        <w:t>Registros Enterprise e Contratos Open Value para toda a empresa (licença perpétua e assinatura):</w:t>
      </w:r>
    </w:p>
    <w:p w:rsidR="00A84DF7" w:rsidRPr="000A1C8E" w:rsidRDefault="002F7FB8" w:rsidP="00346F4B">
      <w:pPr>
        <w:pStyle w:val="Footnotedash"/>
        <w:numPr>
          <w:ilvl w:val="1"/>
          <w:numId w:val="31"/>
        </w:numPr>
        <w:spacing w:before="0"/>
        <w:ind w:left="1800"/>
        <w:rPr>
          <w:rFonts w:ascii="Tahoma" w:hAnsi="Tahoma" w:cs="Tahoma"/>
        </w:rPr>
      </w:pPr>
      <w:r w:rsidRPr="000A1C8E">
        <w:rPr>
          <w:rFonts w:ascii="Tahoma" w:eastAsia="Calibri" w:hAnsi="Tahoma" w:cs="Tahoma"/>
          <w:color w:val="000000"/>
          <w:sz w:val="18"/>
          <w:szCs w:val="18"/>
        </w:rPr>
        <w:t xml:space="preserve">Registros Enterprise ou Contratos Open Value iniciais (base instalada): </w:t>
      </w:r>
    </w:p>
    <w:p w:rsidR="00A84DF7" w:rsidRPr="000A1C8E" w:rsidRDefault="002F7FB8" w:rsidP="0032776E">
      <w:pPr>
        <w:pStyle w:val="Footnotedash"/>
        <w:numPr>
          <w:ilvl w:val="1"/>
          <w:numId w:val="31"/>
        </w:numPr>
        <w:spacing w:before="0"/>
        <w:ind w:left="1800"/>
        <w:rPr>
          <w:rFonts w:ascii="Tahoma" w:hAnsi="Tahoma" w:cs="Tahoma"/>
        </w:rPr>
      </w:pPr>
      <w:r w:rsidRPr="000A1C8E">
        <w:rPr>
          <w:rFonts w:ascii="Tahoma" w:eastAsia="Calibri" w:hAnsi="Tahoma" w:cs="Tahoma"/>
          <w:color w:val="000000"/>
          <w:sz w:val="18"/>
          <w:szCs w:val="18"/>
        </w:rPr>
        <w:t>Adquirir a Atualização e o Software Assurance do Windows 8 Pro para todos os desktops qualificados na base instalada.</w:t>
      </w:r>
      <w:r w:rsidR="00DC6D8B" w:rsidRPr="000A1C8E">
        <w:rPr>
          <w:rFonts w:ascii="Tahoma" w:eastAsia="Calibri" w:hAnsi="Tahoma" w:cs="Tahoma"/>
          <w:color w:val="000000"/>
          <w:sz w:val="18"/>
          <w:szCs w:val="18"/>
        </w:rPr>
        <w:t xml:space="preserve"> </w:t>
      </w:r>
      <w:r w:rsidRPr="000A1C8E">
        <w:rPr>
          <w:rFonts w:ascii="Tahoma" w:eastAsia="Calibri" w:hAnsi="Tahoma" w:cs="Tahoma"/>
          <w:color w:val="000000"/>
          <w:sz w:val="18"/>
          <w:szCs w:val="18"/>
        </w:rPr>
        <w:t>A “base instalada” é formada por todos os desktops qualificados do cliente e das afiliadas cobertas do cliente a partir da data de início de vigência</w:t>
      </w:r>
      <w:r w:rsidR="0032776E" w:rsidRPr="000A1C8E">
        <w:rPr>
          <w:rFonts w:ascii="Tahoma" w:eastAsia="Calibri" w:hAnsi="Tahoma" w:cs="Tahoma"/>
          <w:color w:val="000000"/>
          <w:sz w:val="18"/>
          <w:szCs w:val="18"/>
        </w:rPr>
        <w:t> </w:t>
      </w:r>
      <w:r w:rsidRPr="000A1C8E">
        <w:rPr>
          <w:rFonts w:ascii="Tahoma" w:eastAsia="Calibri" w:hAnsi="Tahoma" w:cs="Tahoma"/>
          <w:color w:val="000000"/>
          <w:sz w:val="18"/>
          <w:szCs w:val="18"/>
        </w:rPr>
        <w:t>do registro ou contrato.</w:t>
      </w:r>
      <w:r w:rsidR="00DC6D8B" w:rsidRPr="000A1C8E">
        <w:rPr>
          <w:rFonts w:ascii="Tahoma" w:eastAsia="Calibri" w:hAnsi="Tahoma" w:cs="Tahoma"/>
          <w:color w:val="000000"/>
          <w:sz w:val="18"/>
          <w:szCs w:val="18"/>
        </w:rPr>
        <w:t xml:space="preserve"> </w:t>
      </w:r>
      <w:r w:rsidRPr="000A1C8E">
        <w:rPr>
          <w:rFonts w:ascii="Tahoma" w:eastAsia="Calibri" w:hAnsi="Tahoma" w:cs="Tahoma"/>
          <w:color w:val="000000"/>
          <w:sz w:val="18"/>
          <w:szCs w:val="18"/>
        </w:rPr>
        <w:t>O cliente deverá ter licenciado e instalado um dos sistemas operacionais qualificados listados na tabela de Atualização do Windows acima na coluna “Novo</w:t>
      </w:r>
      <w:r w:rsidR="0032776E" w:rsidRPr="000A1C8E">
        <w:rPr>
          <w:rFonts w:ascii="Tahoma" w:eastAsia="Calibri" w:hAnsi="Tahoma" w:cs="Tahoma"/>
          <w:color w:val="000000"/>
          <w:sz w:val="18"/>
          <w:szCs w:val="18"/>
        </w:rPr>
        <w:t> </w:t>
      </w:r>
      <w:r w:rsidRPr="000A1C8E">
        <w:rPr>
          <w:rFonts w:ascii="Tahoma" w:eastAsia="Calibri" w:hAnsi="Tahoma" w:cs="Tahoma"/>
          <w:color w:val="000000"/>
          <w:sz w:val="18"/>
          <w:szCs w:val="18"/>
        </w:rPr>
        <w:t>EA/OV-TE” em todos os desktops qualificados da base instalada nos quais o sistema operacional Windows será executado.</w:t>
      </w:r>
    </w:p>
    <w:p w:rsidR="002F7FB8" w:rsidRPr="000A1C8E" w:rsidRDefault="002F7FB8" w:rsidP="0032776E">
      <w:pPr>
        <w:pStyle w:val="Footnotedash"/>
        <w:numPr>
          <w:ilvl w:val="1"/>
          <w:numId w:val="31"/>
        </w:numPr>
        <w:spacing w:before="0"/>
        <w:ind w:left="1800"/>
        <w:rPr>
          <w:rFonts w:ascii="Tahoma" w:hAnsi="Tahoma" w:cs="Tahoma"/>
        </w:rPr>
      </w:pPr>
      <w:r w:rsidRPr="000A1C8E">
        <w:rPr>
          <w:rFonts w:ascii="Tahoma" w:eastAsia="Calibri" w:hAnsi="Tahoma" w:cs="Tahoma"/>
          <w:color w:val="000000"/>
          <w:sz w:val="18"/>
          <w:szCs w:val="18"/>
        </w:rPr>
        <w:t>Registros Enterprise ou Contratos Open Value existentes [adequação (“true-up”) e</w:t>
      </w:r>
      <w:r w:rsidR="0032776E" w:rsidRPr="000A1C8E">
        <w:rPr>
          <w:rFonts w:ascii="Tahoma" w:eastAsia="Calibri" w:hAnsi="Tahoma" w:cs="Tahoma"/>
          <w:color w:val="000000"/>
          <w:sz w:val="18"/>
          <w:szCs w:val="18"/>
        </w:rPr>
        <w:t> </w:t>
      </w:r>
      <w:r w:rsidRPr="000A1C8E">
        <w:rPr>
          <w:rFonts w:ascii="Tahoma" w:eastAsia="Calibri" w:hAnsi="Tahoma" w:cs="Tahoma"/>
          <w:color w:val="000000"/>
          <w:sz w:val="18"/>
          <w:szCs w:val="18"/>
        </w:rPr>
        <w:t>substituições]:</w:t>
      </w:r>
    </w:p>
    <w:p w:rsidR="002F7FB8" w:rsidRPr="000A1C8E" w:rsidRDefault="002F7FB8" w:rsidP="0032776E">
      <w:pPr>
        <w:pStyle w:val="Footnotedash"/>
        <w:numPr>
          <w:ilvl w:val="1"/>
          <w:numId w:val="31"/>
        </w:numPr>
        <w:spacing w:before="0"/>
        <w:ind w:left="1800"/>
        <w:rPr>
          <w:rFonts w:ascii="Tahoma" w:hAnsi="Tahoma" w:cs="Tahoma"/>
        </w:rPr>
      </w:pPr>
      <w:r w:rsidRPr="000A1C8E">
        <w:rPr>
          <w:rFonts w:ascii="Tahoma" w:eastAsia="Calibri" w:hAnsi="Tahoma" w:cs="Tahoma"/>
          <w:color w:val="000000"/>
          <w:sz w:val="18"/>
          <w:szCs w:val="18"/>
        </w:rPr>
        <w:t>Adquirir Atualização e Software Assurance do Windows 8 Pro para dos os novos desktops qualificados ou dispositivos nos quais o sistema operacional Windows será executado.</w:t>
      </w:r>
      <w:r w:rsidR="00DC6D8B" w:rsidRPr="000A1C8E">
        <w:rPr>
          <w:rFonts w:ascii="Tahoma" w:eastAsia="Calibri" w:hAnsi="Tahoma" w:cs="Tahoma"/>
          <w:color w:val="000000"/>
          <w:sz w:val="18"/>
          <w:szCs w:val="18"/>
        </w:rPr>
        <w:t xml:space="preserve"> </w:t>
      </w:r>
      <w:r w:rsidRPr="000A1C8E">
        <w:rPr>
          <w:rFonts w:ascii="Tahoma" w:eastAsia="Calibri" w:hAnsi="Tahoma" w:cs="Tahoma"/>
          <w:color w:val="000000"/>
          <w:sz w:val="18"/>
          <w:szCs w:val="18"/>
        </w:rPr>
        <w:t>O</w:t>
      </w:r>
      <w:r w:rsidR="0032776E" w:rsidRPr="000A1C8E">
        <w:rPr>
          <w:rFonts w:ascii="Tahoma" w:eastAsia="Calibri" w:hAnsi="Tahoma" w:cs="Tahoma"/>
          <w:color w:val="000000"/>
          <w:sz w:val="18"/>
          <w:szCs w:val="18"/>
        </w:rPr>
        <w:t> </w:t>
      </w:r>
      <w:r w:rsidRPr="000A1C8E">
        <w:rPr>
          <w:rFonts w:ascii="Tahoma" w:eastAsia="Calibri" w:hAnsi="Tahoma" w:cs="Tahoma"/>
          <w:color w:val="000000"/>
          <w:sz w:val="18"/>
          <w:szCs w:val="18"/>
        </w:rPr>
        <w:t>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“EA/OV-CW Existente”. O cliente deve ter licenciado e instalado em</w:t>
      </w:r>
      <w:r w:rsidR="0032776E" w:rsidRPr="000A1C8E">
        <w:rPr>
          <w:rFonts w:ascii="Tahoma" w:eastAsia="Calibri" w:hAnsi="Tahoma" w:cs="Tahoma"/>
          <w:color w:val="000000"/>
          <w:sz w:val="18"/>
          <w:szCs w:val="18"/>
        </w:rPr>
        <w:t> </w:t>
      </w:r>
      <w:r w:rsidRPr="000A1C8E">
        <w:rPr>
          <w:rFonts w:ascii="Tahoma" w:eastAsia="Calibri" w:hAnsi="Tahoma" w:cs="Tahoma"/>
          <w:color w:val="000000"/>
          <w:sz w:val="18"/>
          <w:szCs w:val="18"/>
        </w:rPr>
        <w:t>todos os desktops qualificados novos ou de substituição adquiridos por meio de uma fusão ou aquisição um dos sistemas operacionais qualificados listados na tabela de Atualização do Windows acima, na coluna “Novo EA/OV-CW”.</w:t>
      </w:r>
    </w:p>
    <w:p w:rsidR="002F7FB8" w:rsidRPr="000A1C8E" w:rsidRDefault="002F7FB8" w:rsidP="00346F4B">
      <w:pPr>
        <w:pStyle w:val="FootnoteBulletLevel2"/>
        <w:numPr>
          <w:ilvl w:val="0"/>
          <w:numId w:val="25"/>
        </w:numPr>
        <w:adjustRightInd/>
        <w:spacing w:before="0" w:after="60"/>
        <w:ind w:left="1440"/>
        <w:textAlignment w:val="auto"/>
        <w:rPr>
          <w:rFonts w:ascii="Tahoma" w:hAnsi="Tahoma" w:cs="Tahoma"/>
        </w:rPr>
      </w:pPr>
      <w:r w:rsidRPr="000A1C8E">
        <w:rPr>
          <w:rFonts w:ascii="Tahoma" w:hAnsi="Tahoma" w:cs="Tahoma"/>
          <w:sz w:val="18"/>
          <w:szCs w:val="18"/>
        </w:rPr>
        <w:t xml:space="preserve">Clientes do Contrato para Campus e Contrato School e Open Value Subscription - Soluções Educacionais: </w:t>
      </w:r>
    </w:p>
    <w:p w:rsidR="002F7FB8" w:rsidRPr="000A1C8E" w:rsidRDefault="002F7FB8" w:rsidP="00346F4B">
      <w:pPr>
        <w:pStyle w:val="Footnotedash"/>
        <w:numPr>
          <w:ilvl w:val="1"/>
          <w:numId w:val="31"/>
        </w:numPr>
        <w:spacing w:before="0"/>
        <w:ind w:left="1800"/>
        <w:rPr>
          <w:rFonts w:ascii="Tahoma" w:hAnsi="Tahoma" w:cs="Tahoma"/>
        </w:rPr>
      </w:pPr>
      <w:r w:rsidRPr="000A1C8E">
        <w:rPr>
          <w:rFonts w:ascii="Tahoma" w:eastAsia="Calibri" w:hAnsi="Tahoma" w:cs="Tahoma"/>
          <w:color w:val="000000"/>
          <w:sz w:val="18"/>
          <w:szCs w:val="18"/>
        </w:rPr>
        <w:t>O sistema operacional Windows está licenciado apenas como uma atualização.</w:t>
      </w:r>
      <w:r w:rsidR="00DC6D8B" w:rsidRPr="000A1C8E">
        <w:rPr>
          <w:rFonts w:ascii="Tahoma" w:eastAsia="Calibri" w:hAnsi="Tahoma" w:cs="Tahoma"/>
          <w:color w:val="000000"/>
          <w:sz w:val="18"/>
          <w:szCs w:val="18"/>
        </w:rPr>
        <w:t xml:space="preserve"> </w:t>
      </w:r>
      <w:r w:rsidRPr="000A1C8E">
        <w:rPr>
          <w:rFonts w:ascii="Tahoma" w:eastAsia="Calibri" w:hAnsi="Tahoma" w:cs="Tahoma"/>
          <w:color w:val="000000"/>
          <w:sz w:val="18"/>
          <w:szCs w:val="18"/>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“Academic”. </w:t>
      </w:r>
    </w:p>
    <w:p w:rsidR="00B47893" w:rsidRPr="000A1C8E" w:rsidRDefault="002F7FB8" w:rsidP="00346F4B">
      <w:pPr>
        <w:pStyle w:val="Footnotedash"/>
        <w:numPr>
          <w:ilvl w:val="1"/>
          <w:numId w:val="31"/>
        </w:numPr>
        <w:spacing w:before="0" w:after="0"/>
        <w:ind w:left="1800"/>
        <w:rPr>
          <w:rFonts w:ascii="Tahoma" w:hAnsi="Tahoma" w:cs="Tahoma"/>
        </w:rPr>
      </w:pPr>
      <w:r w:rsidRPr="000A1C8E">
        <w:rPr>
          <w:rFonts w:ascii="Tahoma" w:eastAsia="Calibri" w:hAnsi="Tahoma" w:cs="Tahoma"/>
          <w:color w:val="000000"/>
          <w:sz w:val="18"/>
          <w:szCs w:val="18"/>
        </w:rPr>
        <w:t>Não obstante qualquer disposição contrária nos seus Direitos de Uso de Produto (PUR), as instituições que escolherem a Opção de Estudante poderão ter, no máximo, uma instância do Windows To Go por dispositivo de estudante licenciado.</w:t>
      </w:r>
      <w:r w:rsidR="00DC6D8B" w:rsidRPr="000A1C8E">
        <w:rPr>
          <w:rFonts w:ascii="Tahoma" w:eastAsia="Calibri" w:hAnsi="Tahoma" w:cs="Tahoma"/>
          <w:color w:val="000000"/>
          <w:sz w:val="18"/>
          <w:szCs w:val="18"/>
        </w:rPr>
        <w:t xml:space="preserve"> </w:t>
      </w:r>
      <w:r w:rsidRPr="000A1C8E">
        <w:rPr>
          <w:rFonts w:ascii="Tahoma" w:eastAsia="Calibri" w:hAnsi="Tahoma" w:cs="Tahoma"/>
          <w:color w:val="000000"/>
          <w:sz w:val="18"/>
          <w:szCs w:val="18"/>
        </w:rPr>
        <w:t>As Instituições devem garantir que os estudantes que não estejam mais inscritos na instituição parem de usar o Windows To Go e devolvam os dispositivos USB com uma instância deste para a Instituição.</w:t>
      </w:r>
      <w:r w:rsidR="00DC6D8B" w:rsidRPr="000A1C8E">
        <w:rPr>
          <w:rFonts w:ascii="Tahoma" w:eastAsia="Calibri" w:hAnsi="Tahoma" w:cs="Tahoma"/>
          <w:color w:val="000000"/>
          <w:sz w:val="18"/>
          <w:szCs w:val="18"/>
        </w:rPr>
        <w:t xml:space="preserve"> </w:t>
      </w:r>
      <w:r w:rsidRPr="000A1C8E">
        <w:rPr>
          <w:rFonts w:ascii="Tahoma" w:hAnsi="Tahoma" w:cs="Tahoma"/>
          <w:sz w:val="18"/>
          <w:szCs w:val="18"/>
        </w:rPr>
        <w:t>As Instituições que escolherem a Opção de Estudante não poderão instalar o Windows Enterprise em nenhum dispositivo pertencente a estudantes.</w:t>
      </w:r>
    </w:p>
    <w:p w:rsidR="00973A93" w:rsidRPr="000A1C8E" w:rsidRDefault="00973A93" w:rsidP="00AF3B19">
      <w:pPr>
        <w:rPr>
          <w:rFonts w:cs="Tahoma"/>
        </w:rPr>
      </w:pPr>
    </w:p>
    <w:p w:rsidR="00B73A46" w:rsidRPr="000A1C8E" w:rsidRDefault="00B73A46" w:rsidP="00F64DEA">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Microsoft Windows XP Professional N (sem o Windows Media Player)</w:t>
      </w:r>
    </w:p>
    <w:p w:rsidR="00B73A46" w:rsidRPr="000A1C8E" w:rsidRDefault="00B73A46" w:rsidP="00F64DEA">
      <w:pPr>
        <w:pStyle w:val="FootnoteBulletLevel2"/>
        <w:tabs>
          <w:tab w:val="clear" w:pos="1260"/>
          <w:tab w:val="num" w:pos="900"/>
        </w:tabs>
        <w:spacing w:before="0"/>
        <w:ind w:left="720" w:firstLine="0"/>
        <w:rPr>
          <w:rFonts w:ascii="Tahoma" w:hAnsi="Tahoma" w:cs="Tahoma"/>
        </w:rPr>
      </w:pPr>
      <w:r w:rsidRPr="000A1C8E">
        <w:rPr>
          <w:rFonts w:ascii="Tahoma" w:hAnsi="Tahoma" w:cs="Tahoma"/>
          <w:sz w:val="18"/>
          <w:szCs w:val="18"/>
          <w:u w:val="single"/>
        </w:rPr>
        <w:t>Qualificação</w:t>
      </w:r>
      <w:r w:rsidRPr="000A1C8E">
        <w:rPr>
          <w:rFonts w:ascii="Tahoma" w:hAnsi="Tahoma" w:cs="Tahoma"/>
          <w:sz w:val="18"/>
          <w:szCs w:val="18"/>
        </w:rPr>
        <w:br/>
        <w:t>Os clientes de Licenciamento por Volume que atenderem a todos os critérios a seguir estarão qualificados para adquirir a mídia do Microsoft Windows XP Professional N.</w:t>
      </w:r>
    </w:p>
    <w:p w:rsidR="00F64DEA" w:rsidRPr="000A1C8E" w:rsidRDefault="00F64DEA" w:rsidP="00F64DEA">
      <w:pPr>
        <w:pStyle w:val="FootnoteBulletLevel2"/>
        <w:tabs>
          <w:tab w:val="clear" w:pos="1260"/>
          <w:tab w:val="num" w:pos="900"/>
        </w:tabs>
        <w:spacing w:before="0"/>
        <w:ind w:left="720" w:firstLine="0"/>
        <w:rPr>
          <w:rFonts w:ascii="Tahoma" w:hAnsi="Tahoma" w:cs="Tahoma"/>
        </w:rPr>
      </w:pPr>
    </w:p>
    <w:p w:rsidR="00B73A46" w:rsidRPr="000A1C8E" w:rsidRDefault="00B73A46" w:rsidP="00F64DEA">
      <w:pPr>
        <w:pStyle w:val="Footnotedash"/>
        <w:tabs>
          <w:tab w:val="clear" w:pos="1620"/>
          <w:tab w:val="num" w:pos="2160"/>
        </w:tabs>
        <w:spacing w:before="0" w:after="0"/>
        <w:ind w:left="720" w:firstLine="7"/>
        <w:rPr>
          <w:rFonts w:ascii="Tahoma" w:hAnsi="Tahoma" w:cs="Tahoma"/>
        </w:rPr>
      </w:pPr>
      <w:r w:rsidRPr="000A1C8E">
        <w:rPr>
          <w:rFonts w:ascii="Tahoma" w:hAnsi="Tahoma" w:cs="Tahoma"/>
          <w:sz w:val="18"/>
          <w:szCs w:val="18"/>
        </w:rPr>
        <w:t xml:space="preserve">Eles deverão ter pelo menos um dos seguintes contratos ou registros ativos com a Microsoft Ireland Operations Ltd: </w:t>
      </w:r>
    </w:p>
    <w:p w:rsidR="00F64DEA" w:rsidRPr="000A1C8E" w:rsidRDefault="00F64DEA" w:rsidP="00F64DEA">
      <w:pPr>
        <w:pStyle w:val="Footnotedash"/>
        <w:tabs>
          <w:tab w:val="clear" w:pos="1620"/>
          <w:tab w:val="num" w:pos="2160"/>
        </w:tabs>
        <w:spacing w:before="0" w:after="0"/>
        <w:ind w:left="720" w:firstLine="7"/>
        <w:rPr>
          <w:rFonts w:ascii="Tahoma" w:hAnsi="Tahoma" w:cs="Tahoma"/>
        </w:rPr>
      </w:pP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Select, Enterprise ou Enterprise Subscription Enrollment</w:t>
      </w: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 xml:space="preserve">Licença Open*, Open Value, Campus e School Agreement, Open Value Subscription – Education Solutions </w:t>
      </w:r>
    </w:p>
    <w:p w:rsidR="00B73A46" w:rsidRPr="000A1C8E" w:rsidRDefault="00B73A46" w:rsidP="00F64DEA">
      <w:pPr>
        <w:pStyle w:val="Footnotedash"/>
        <w:spacing w:before="0"/>
        <w:ind w:left="1440" w:firstLine="0"/>
        <w:rPr>
          <w:rFonts w:ascii="Tahoma" w:hAnsi="Tahoma" w:cs="Tahoma"/>
        </w:rPr>
      </w:pPr>
      <w:r w:rsidRPr="000A1C8E">
        <w:rPr>
          <w:rFonts w:ascii="Tahoma" w:hAnsi="Tahoma" w:cs="Tahoma"/>
          <w:sz w:val="18"/>
          <w:szCs w:val="18"/>
        </w:rPr>
        <w:t>(*Para os fins da Licença Open, um “contrato ativo” é aquele associado a um Número de Autorização de Licença Open ativo.)</w:t>
      </w:r>
    </w:p>
    <w:p w:rsidR="00F64DEA" w:rsidRPr="000A1C8E" w:rsidRDefault="00F64DEA" w:rsidP="00F64DEA">
      <w:pPr>
        <w:pStyle w:val="Footnotedash"/>
        <w:spacing w:before="0" w:after="0"/>
        <w:ind w:left="1440" w:firstLine="0"/>
        <w:rPr>
          <w:rFonts w:ascii="Tahoma" w:hAnsi="Tahoma" w:cs="Tahoma"/>
        </w:rPr>
      </w:pPr>
    </w:p>
    <w:p w:rsidR="00B73A46" w:rsidRPr="000A1C8E" w:rsidRDefault="00B73A46" w:rsidP="00F64DEA">
      <w:pPr>
        <w:pStyle w:val="Footnotedash"/>
        <w:tabs>
          <w:tab w:val="left" w:pos="1620"/>
        </w:tabs>
        <w:spacing w:before="0" w:after="0"/>
        <w:ind w:left="720" w:firstLine="7"/>
        <w:rPr>
          <w:rFonts w:ascii="Tahoma" w:hAnsi="Tahoma" w:cs="Tahoma"/>
        </w:rPr>
      </w:pPr>
      <w:r w:rsidRPr="000A1C8E">
        <w:rPr>
          <w:rFonts w:ascii="Tahoma" w:hAnsi="Tahoma" w:cs="Tahoma"/>
          <w:sz w:val="18"/>
          <w:szCs w:val="18"/>
        </w:rPr>
        <w:t>Eles deverão ter o Software Assurance ativo para as licenças de Atualização do Sistema Operacional Windows Desktop ou Windows XP Professional adquiridas em ou depois de 2 de fevereiro de 2005.</w:t>
      </w:r>
    </w:p>
    <w:p w:rsidR="00F64DEA" w:rsidRPr="000A1C8E" w:rsidRDefault="00F64DEA" w:rsidP="00F64DEA">
      <w:pPr>
        <w:pStyle w:val="Footnotedash"/>
        <w:tabs>
          <w:tab w:val="left" w:pos="1620"/>
        </w:tabs>
        <w:spacing w:before="0" w:after="0"/>
        <w:ind w:left="720" w:firstLine="7"/>
        <w:rPr>
          <w:rFonts w:ascii="Tahoma" w:hAnsi="Tahoma" w:cs="Tahoma"/>
        </w:rPr>
      </w:pPr>
    </w:p>
    <w:p w:rsidR="00766C40" w:rsidRPr="000A1C8E" w:rsidRDefault="00B73A46" w:rsidP="00F64DEA">
      <w:pPr>
        <w:pStyle w:val="Footnotedash"/>
        <w:tabs>
          <w:tab w:val="left" w:pos="1620"/>
        </w:tabs>
        <w:spacing w:before="0" w:after="0"/>
        <w:ind w:left="720" w:firstLine="7"/>
        <w:rPr>
          <w:rFonts w:ascii="Tahoma" w:hAnsi="Tahoma" w:cs="Tahoma"/>
        </w:rPr>
      </w:pPr>
      <w:r w:rsidRPr="000A1C8E">
        <w:rPr>
          <w:rFonts w:ascii="Tahoma" w:hAnsi="Tahoma" w:cs="Tahoma"/>
          <w:sz w:val="18"/>
          <w:szCs w:val="18"/>
        </w:rPr>
        <w:t xml:space="preserve">Eles deverão estar situados a) em um dos países estabelecidos na União Europeia (UE), b) na Associação Europeia de Livre Comércio (EFTA), c) na Bulgária, Croácia, Romênia ou Suíça. </w:t>
      </w:r>
    </w:p>
    <w:p w:rsidR="00F64DEA" w:rsidRPr="000A1C8E" w:rsidRDefault="00F64DEA" w:rsidP="00F64DEA">
      <w:pPr>
        <w:pStyle w:val="FootnoteBulletLevel1"/>
        <w:tabs>
          <w:tab w:val="clear" w:pos="900"/>
        </w:tabs>
        <w:adjustRightInd/>
        <w:spacing w:before="0" w:after="0"/>
        <w:ind w:left="720" w:firstLine="0"/>
        <w:textAlignment w:val="auto"/>
        <w:rPr>
          <w:rFonts w:ascii="Tahoma" w:hAnsi="Tahoma" w:cs="Tahoma"/>
        </w:rPr>
      </w:pPr>
    </w:p>
    <w:p w:rsidR="00B73A46" w:rsidRPr="000A1C8E" w:rsidRDefault="00B73A46" w:rsidP="00F64DEA">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lastRenderedPageBreak/>
        <w:t>Windows XP Professional</w:t>
      </w:r>
    </w:p>
    <w:p w:rsidR="00B73A46" w:rsidRPr="000A1C8E" w:rsidRDefault="00B73A46" w:rsidP="00F64DEA">
      <w:pPr>
        <w:pStyle w:val="FootnoteBulletLevel2"/>
        <w:spacing w:before="0"/>
        <w:ind w:left="720" w:firstLine="0"/>
        <w:rPr>
          <w:rFonts w:ascii="Tahoma" w:hAnsi="Tahoma" w:cs="Tahoma"/>
        </w:rPr>
      </w:pPr>
      <w:r w:rsidRPr="000A1C8E">
        <w:rPr>
          <w:rFonts w:ascii="Tahoma" w:hAnsi="Tahoma" w:cs="Tahoma"/>
          <w:sz w:val="18"/>
          <w:szCs w:val="18"/>
        </w:rPr>
        <w:t>Restrições de uso do Windows XP Professional na Coreia:</w:t>
      </w:r>
    </w:p>
    <w:p w:rsidR="00B73A46" w:rsidRPr="000A1C8E" w:rsidRDefault="00B73A46" w:rsidP="00F64DEA">
      <w:pPr>
        <w:pStyle w:val="FootnoteBulletLevel2"/>
        <w:spacing w:before="0"/>
        <w:ind w:left="720" w:firstLine="0"/>
        <w:rPr>
          <w:rFonts w:ascii="Tahoma" w:hAnsi="Tahoma" w:cs="Tahoma"/>
        </w:rPr>
      </w:pPr>
      <w:r w:rsidRPr="000A1C8E">
        <w:rPr>
          <w:rFonts w:ascii="Tahoma" w:hAnsi="Tahoma" w:cs="Tahoma"/>
          <w:sz w:val="18"/>
          <w:szCs w:val="18"/>
        </w:rPr>
        <w:t>Essas restrições também se aplicarão a qualquer uso do Windows XP Professional de acordo com os direitos de downgrade.</w:t>
      </w:r>
    </w:p>
    <w:p w:rsidR="00F64DEA" w:rsidRPr="000A1C8E" w:rsidRDefault="00F64DEA" w:rsidP="00F64DEA">
      <w:pPr>
        <w:pStyle w:val="FootnoteBulletLevel2"/>
        <w:spacing w:before="0"/>
        <w:ind w:left="720" w:firstLine="0"/>
        <w:rPr>
          <w:rFonts w:ascii="Tahoma" w:hAnsi="Tahoma" w:cs="Tahoma"/>
        </w:rPr>
      </w:pP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 xml:space="preserve">A KFTC (Korean Fair Trade Commission) requer determinadas restrições sobre quando os clientes de Licenciamento por Volume e suas afiliadas poderão implantar a versão no idioma coreano do Windows XP Professional para uso na Coreia. </w:t>
      </w: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 xml:space="preserve">Essas restrições não se aplicarão às licenças que os clientes tiverem adquirido para a versão no idioma coreano do Windows XP Professional antes de 24 de agosto de 2006. </w:t>
      </w: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Essas restrições também não se aplicarão aos clientes multinacionais com sede fora da Coreia que utilizarem uma única imagem do software.</w:t>
      </w: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Essas restrições não se aplicarão aos clientes sob contratos vigentes em 23 de agosto de 2006 ou antes disso que, em circunstâncias excepcionais, utilizarem uma única imagem do software continuamente.</w:t>
      </w: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 xml:space="preserve">A KFTC não impôs restrições ao uso de versões de idiomas que não sejam o coreano. </w:t>
      </w: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A KFTC não impôs restrições a edições Tablet PC ou de 64 bits em qualquer versão de idioma.</w:t>
      </w:r>
    </w:p>
    <w:p w:rsidR="00F64DEA" w:rsidRPr="000A1C8E" w:rsidRDefault="00F64DEA" w:rsidP="00AF3B19">
      <w:pPr>
        <w:pStyle w:val="Footnotedash"/>
        <w:tabs>
          <w:tab w:val="clear" w:pos="1620"/>
        </w:tabs>
        <w:adjustRightInd/>
        <w:spacing w:before="0" w:after="0"/>
        <w:ind w:left="1440" w:firstLine="0"/>
        <w:textAlignment w:val="auto"/>
        <w:rPr>
          <w:rFonts w:ascii="Tahoma" w:hAnsi="Tahoma" w:cs="Tahoma"/>
        </w:rPr>
      </w:pPr>
    </w:p>
    <w:p w:rsidR="00B73A46" w:rsidRPr="000A1C8E" w:rsidRDefault="00B73A46" w:rsidP="00F64DEA">
      <w:pPr>
        <w:pStyle w:val="FootnoteBulletLevel2"/>
        <w:spacing w:before="0"/>
        <w:ind w:left="720" w:hanging="7"/>
        <w:rPr>
          <w:rFonts w:ascii="Tahoma" w:hAnsi="Tahoma" w:cs="Tahoma"/>
        </w:rPr>
      </w:pPr>
      <w:r w:rsidRPr="000A1C8E">
        <w:rPr>
          <w:rFonts w:ascii="Tahoma" w:hAnsi="Tahoma" w:cs="Tahoma"/>
          <w:sz w:val="18"/>
          <w:szCs w:val="18"/>
          <w:u w:val="single"/>
        </w:rPr>
        <w:t>Restrições</w:t>
      </w:r>
      <w:r w:rsidR="000A1C8E" w:rsidRPr="000A1C8E">
        <w:rPr>
          <w:rFonts w:ascii="Tahoma" w:hAnsi="Tahoma" w:cs="Tahoma"/>
          <w:sz w:val="18"/>
          <w:szCs w:val="18"/>
        </w:rPr>
        <w:t>:</w:t>
      </w:r>
    </w:p>
    <w:p w:rsidR="00B73A46" w:rsidRPr="000A1C8E" w:rsidRDefault="00B73A46" w:rsidP="0032776E">
      <w:pPr>
        <w:pStyle w:val="FootnoteBulletLevel2"/>
        <w:spacing w:before="0"/>
        <w:ind w:left="720" w:hanging="7"/>
        <w:rPr>
          <w:rFonts w:ascii="Tahoma" w:hAnsi="Tahoma" w:cs="Tahoma"/>
        </w:rPr>
      </w:pPr>
      <w:r w:rsidRPr="000A1C8E">
        <w:rPr>
          <w:rFonts w:ascii="Tahoma" w:hAnsi="Tahoma" w:cs="Tahoma"/>
          <w:sz w:val="18"/>
          <w:szCs w:val="18"/>
        </w:rPr>
        <w:t>A partir de 24 de agosto de 2006, os clientes de Licenciamento por Volume na Coreia que não se encaixarem nos critérios de exceção e desejarem usar versões no idioma coreano precisarão implantar o</w:t>
      </w:r>
      <w:r w:rsidR="0032776E" w:rsidRPr="000A1C8E">
        <w:rPr>
          <w:rFonts w:ascii="Tahoma" w:hAnsi="Tahoma" w:cs="Tahoma"/>
          <w:sz w:val="18"/>
          <w:szCs w:val="18"/>
        </w:rPr>
        <w:t> </w:t>
      </w:r>
      <w:r w:rsidRPr="000A1C8E">
        <w:rPr>
          <w:rFonts w:ascii="Tahoma" w:hAnsi="Tahoma" w:cs="Tahoma"/>
          <w:sz w:val="18"/>
          <w:szCs w:val="18"/>
        </w:rPr>
        <w:t>Windows XP Professional K ou o Windows XP Professional KN.</w:t>
      </w:r>
    </w:p>
    <w:p w:rsidR="00676723" w:rsidRPr="000A1C8E" w:rsidRDefault="00676723">
      <w:pPr>
        <w:rPr>
          <w:rFonts w:cs="Tahoma"/>
        </w:rPr>
      </w:pPr>
    </w:p>
    <w:p w:rsidR="00B73A46" w:rsidRPr="000A1C8E" w:rsidRDefault="00B73A46" w:rsidP="00F64DEA">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Windows XP Professional K e KN</w:t>
      </w:r>
    </w:p>
    <w:p w:rsidR="00B73A46" w:rsidRPr="000A1C8E" w:rsidRDefault="00B73A46" w:rsidP="00F64DEA">
      <w:pPr>
        <w:pStyle w:val="FootnoteBulletLevel2"/>
        <w:spacing w:before="0"/>
        <w:ind w:left="720" w:hanging="7"/>
        <w:rPr>
          <w:rFonts w:ascii="Tahoma" w:hAnsi="Tahoma" w:cs="Tahoma"/>
        </w:rPr>
      </w:pPr>
      <w:r w:rsidRPr="000A1C8E">
        <w:rPr>
          <w:rFonts w:ascii="Tahoma" w:hAnsi="Tahoma" w:cs="Tahoma"/>
          <w:sz w:val="18"/>
          <w:szCs w:val="18"/>
        </w:rPr>
        <w:t xml:space="preserve">Os clientes de Licenciamento por Volume e suas afiliadas poderão implantar o Windows XP Professional K ou KN para uso somente na Coreia. </w:t>
      </w:r>
    </w:p>
    <w:p w:rsidR="00F64DEA" w:rsidRPr="000A1C8E" w:rsidRDefault="00F64DEA" w:rsidP="00F64DEA">
      <w:pPr>
        <w:pStyle w:val="FootnoteBulletLevel2"/>
        <w:spacing w:before="0"/>
        <w:ind w:left="720" w:hanging="7"/>
        <w:rPr>
          <w:rFonts w:ascii="Tahoma" w:hAnsi="Tahoma" w:cs="Tahoma"/>
        </w:rPr>
      </w:pPr>
    </w:p>
    <w:p w:rsidR="00B73A46" w:rsidRPr="000A1C8E" w:rsidRDefault="00B73A46" w:rsidP="00F64DEA">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Windows Vista Business KN</w:t>
      </w:r>
    </w:p>
    <w:p w:rsidR="00B73A46" w:rsidRPr="000A1C8E" w:rsidRDefault="00B73A46" w:rsidP="00F64DEA">
      <w:pPr>
        <w:pStyle w:val="FootnoteBulletLevel2"/>
        <w:spacing w:before="0"/>
        <w:ind w:left="720" w:hanging="7"/>
        <w:rPr>
          <w:rFonts w:ascii="Tahoma" w:hAnsi="Tahoma" w:cs="Tahoma"/>
        </w:rPr>
      </w:pPr>
      <w:r w:rsidRPr="000A1C8E">
        <w:rPr>
          <w:rFonts w:ascii="Tahoma" w:hAnsi="Tahoma" w:cs="Tahoma"/>
          <w:sz w:val="18"/>
          <w:szCs w:val="18"/>
          <w:u w:val="single"/>
        </w:rPr>
        <w:t>Qualificação</w:t>
      </w:r>
      <w:r w:rsidR="000A1C8E" w:rsidRPr="000A1C8E">
        <w:rPr>
          <w:rFonts w:ascii="Tahoma" w:hAnsi="Tahoma" w:cs="Tahoma"/>
          <w:sz w:val="18"/>
          <w:szCs w:val="18"/>
        </w:rPr>
        <w:t>:</w:t>
      </w:r>
      <w:r w:rsidRPr="000A1C8E">
        <w:rPr>
          <w:rFonts w:ascii="Tahoma" w:hAnsi="Tahoma" w:cs="Tahoma"/>
          <w:sz w:val="18"/>
          <w:szCs w:val="18"/>
          <w:u w:val="single"/>
        </w:rPr>
        <w:br/>
      </w:r>
      <w:r w:rsidRPr="000A1C8E">
        <w:rPr>
          <w:rFonts w:ascii="Tahoma" w:hAnsi="Tahoma" w:cs="Tahoma"/>
          <w:sz w:val="18"/>
          <w:szCs w:val="18"/>
        </w:rPr>
        <w:t>Os clientes de Licenciamento por Volume situados na Coreia que tiverem um contrato ou registro do Licenciamento por Volume ativo com a Microsoft Operations Pte Ltd estarão qualificados para adquirir a mídia do Windows Vista Business KN para implantação e uso na Coreia. Nenhum outro uso é permitido.</w:t>
      </w:r>
    </w:p>
    <w:p w:rsidR="00F64DEA" w:rsidRPr="000A1C8E" w:rsidRDefault="00F64DEA" w:rsidP="00F64DEA">
      <w:pPr>
        <w:pStyle w:val="FootnoteBulletLevel2"/>
        <w:spacing w:before="0"/>
        <w:ind w:left="720" w:hanging="7"/>
        <w:rPr>
          <w:rFonts w:ascii="Tahoma" w:hAnsi="Tahoma" w:cs="Tahoma"/>
        </w:rPr>
      </w:pPr>
    </w:p>
    <w:p w:rsidR="00B73A46" w:rsidRPr="000A1C8E" w:rsidRDefault="00B73A46" w:rsidP="00F64DEA">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Windows 7 Professional KN</w:t>
      </w:r>
    </w:p>
    <w:p w:rsidR="00B47893" w:rsidRPr="000A1C8E" w:rsidRDefault="00B73A46" w:rsidP="00F64DEA">
      <w:pPr>
        <w:pStyle w:val="FootnoteBulletLevel2"/>
        <w:spacing w:before="0"/>
        <w:ind w:left="720" w:hanging="7"/>
        <w:rPr>
          <w:rFonts w:ascii="Tahoma" w:hAnsi="Tahoma" w:cs="Tahoma"/>
        </w:rPr>
      </w:pPr>
      <w:r w:rsidRPr="000A1C8E">
        <w:rPr>
          <w:rFonts w:ascii="Tahoma" w:hAnsi="Tahoma" w:cs="Tahoma"/>
          <w:sz w:val="18"/>
          <w:szCs w:val="18"/>
          <w:u w:val="single"/>
        </w:rPr>
        <w:t>Qualificação</w:t>
      </w:r>
      <w:r w:rsidR="000A1C8E" w:rsidRPr="000A1C8E">
        <w:rPr>
          <w:rFonts w:ascii="Tahoma" w:hAnsi="Tahoma" w:cs="Tahoma"/>
          <w:sz w:val="18"/>
          <w:szCs w:val="18"/>
        </w:rPr>
        <w:t>:</w:t>
      </w:r>
      <w:r w:rsidRPr="000A1C8E">
        <w:rPr>
          <w:rFonts w:ascii="Tahoma" w:hAnsi="Tahoma" w:cs="Tahoma"/>
          <w:sz w:val="18"/>
          <w:szCs w:val="18"/>
          <w:u w:val="single"/>
        </w:rPr>
        <w:br/>
      </w:r>
      <w:r w:rsidRPr="000A1C8E">
        <w:rPr>
          <w:rFonts w:ascii="Tahoma" w:hAnsi="Tahoma" w:cs="Tahoma"/>
          <w:sz w:val="18"/>
          <w:szCs w:val="18"/>
        </w:rPr>
        <w:t>Os clientes de Licenciamento por Volume situados na Coreia que tiverem um contrato ou registro do Licenciamento por Volume ativo com a Microsoft Operations Pte Ltd estarão qualificados para adquirir a mídia do Windows 7 Professional KN para implantação e uso na Coreia. Nenhum outro uso é permitido.</w:t>
      </w:r>
    </w:p>
    <w:p w:rsidR="00F64DEA" w:rsidRPr="000A1C8E" w:rsidRDefault="00F64DEA" w:rsidP="00F64DEA">
      <w:pPr>
        <w:pStyle w:val="FootnoteBulletLevel2"/>
        <w:spacing w:before="0"/>
        <w:ind w:left="720" w:hanging="7"/>
        <w:rPr>
          <w:rFonts w:ascii="Tahoma" w:hAnsi="Tahoma" w:cs="Tahoma"/>
        </w:rPr>
      </w:pPr>
    </w:p>
    <w:p w:rsidR="00B73A46" w:rsidRPr="000A1C8E" w:rsidRDefault="00B73A46" w:rsidP="00F64DEA">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t>Windows Vista Business N (sem o Windows Media Player)</w:t>
      </w:r>
    </w:p>
    <w:p w:rsidR="00B73A46" w:rsidRPr="000A1C8E" w:rsidRDefault="00B73A46" w:rsidP="00F64DEA">
      <w:pPr>
        <w:pStyle w:val="FootnoteBulletLevel2"/>
        <w:spacing w:before="0"/>
        <w:ind w:left="720" w:hanging="7"/>
        <w:rPr>
          <w:rFonts w:ascii="Tahoma" w:hAnsi="Tahoma" w:cs="Tahoma"/>
        </w:rPr>
      </w:pPr>
      <w:r w:rsidRPr="000A1C8E">
        <w:rPr>
          <w:rFonts w:ascii="Tahoma" w:hAnsi="Tahoma" w:cs="Tahoma"/>
          <w:sz w:val="18"/>
          <w:szCs w:val="18"/>
          <w:u w:val="single"/>
        </w:rPr>
        <w:t>Qualificação</w:t>
      </w:r>
      <w:r w:rsidR="000A1C8E" w:rsidRPr="000A1C8E">
        <w:rPr>
          <w:rFonts w:ascii="Tahoma" w:hAnsi="Tahoma" w:cs="Tahoma"/>
          <w:sz w:val="18"/>
          <w:szCs w:val="18"/>
        </w:rPr>
        <w:t>:</w:t>
      </w:r>
      <w:r w:rsidRPr="000A1C8E">
        <w:rPr>
          <w:rFonts w:ascii="Tahoma" w:hAnsi="Tahoma" w:cs="Tahoma"/>
          <w:sz w:val="18"/>
          <w:szCs w:val="18"/>
          <w:u w:val="single"/>
        </w:rPr>
        <w:br/>
      </w:r>
      <w:r w:rsidRPr="000A1C8E">
        <w:rPr>
          <w:rFonts w:ascii="Tahoma" w:hAnsi="Tahoma" w:cs="Tahoma"/>
          <w:sz w:val="18"/>
          <w:szCs w:val="18"/>
        </w:rPr>
        <w:t>Os clientes de Licenciamento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rsidR="00F64DEA" w:rsidRPr="000A1C8E" w:rsidRDefault="00F64DEA" w:rsidP="00F64DEA">
      <w:pPr>
        <w:pStyle w:val="FootnoteBulletLevel2"/>
        <w:spacing w:before="0"/>
        <w:ind w:left="720" w:hanging="7"/>
        <w:rPr>
          <w:rFonts w:ascii="Tahoma" w:hAnsi="Tahoma" w:cs="Tahoma"/>
        </w:rPr>
      </w:pPr>
    </w:p>
    <w:p w:rsidR="00B73A46" w:rsidRPr="000A1C8E" w:rsidRDefault="00B73A46" w:rsidP="00F64DEA">
      <w:pPr>
        <w:pStyle w:val="Footnotedash"/>
        <w:spacing w:before="0" w:after="0"/>
        <w:ind w:left="720" w:hanging="7"/>
        <w:rPr>
          <w:rFonts w:ascii="Tahoma" w:hAnsi="Tahoma" w:cs="Tahoma"/>
        </w:rPr>
      </w:pPr>
      <w:r w:rsidRPr="000A1C8E">
        <w:rPr>
          <w:rFonts w:ascii="Tahoma" w:hAnsi="Tahoma" w:cs="Tahoma"/>
          <w:sz w:val="18"/>
          <w:szCs w:val="18"/>
        </w:rPr>
        <w:t xml:space="preserve">Eles deverão ter pelo menos um dos seguintes contratos ou registros ativos com a Microsoft Ireland Operations Ltd: </w:t>
      </w:r>
    </w:p>
    <w:p w:rsidR="00F64DEA" w:rsidRPr="000A1C8E" w:rsidRDefault="00F64DEA" w:rsidP="00F64DEA">
      <w:pPr>
        <w:pStyle w:val="Footnotedash"/>
        <w:spacing w:before="0" w:after="0"/>
        <w:ind w:left="720" w:hanging="7"/>
        <w:rPr>
          <w:rFonts w:ascii="Tahoma" w:hAnsi="Tahoma" w:cs="Tahoma"/>
        </w:rPr>
      </w:pP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Select, Enterprise ou Enterprise Subscription Enrollment</w:t>
      </w:r>
    </w:p>
    <w:p w:rsidR="00B73A46" w:rsidRPr="000A1C8E" w:rsidRDefault="00B73A46" w:rsidP="00346F4B">
      <w:pPr>
        <w:pStyle w:val="Footnotedash"/>
        <w:numPr>
          <w:ilvl w:val="0"/>
          <w:numId w:val="32"/>
        </w:numPr>
        <w:adjustRightInd/>
        <w:spacing w:before="0"/>
        <w:ind w:left="1440"/>
        <w:textAlignment w:val="auto"/>
        <w:rPr>
          <w:rFonts w:ascii="Tahoma" w:hAnsi="Tahoma" w:cs="Tahoma"/>
        </w:rPr>
      </w:pPr>
      <w:r w:rsidRPr="000A1C8E">
        <w:rPr>
          <w:rFonts w:ascii="Tahoma" w:hAnsi="Tahoma" w:cs="Tahoma"/>
          <w:sz w:val="18"/>
          <w:szCs w:val="18"/>
        </w:rPr>
        <w:t xml:space="preserve">Licença Open*, Open Value, Campus e School Agreement, Open Value Subscription – Education Solutions </w:t>
      </w:r>
    </w:p>
    <w:p w:rsidR="00B73A46" w:rsidRPr="000A1C8E" w:rsidRDefault="00B73A46" w:rsidP="00F64DEA">
      <w:pPr>
        <w:pStyle w:val="Footnotedash"/>
        <w:tabs>
          <w:tab w:val="clear" w:pos="1620"/>
        </w:tabs>
        <w:adjustRightInd/>
        <w:spacing w:before="0"/>
        <w:ind w:left="1440" w:firstLine="0"/>
        <w:textAlignment w:val="auto"/>
        <w:rPr>
          <w:rFonts w:ascii="Tahoma" w:hAnsi="Tahoma" w:cs="Tahoma"/>
        </w:rPr>
      </w:pPr>
      <w:r w:rsidRPr="000A1C8E">
        <w:rPr>
          <w:rFonts w:ascii="Tahoma" w:hAnsi="Tahoma" w:cs="Tahoma"/>
          <w:sz w:val="18"/>
          <w:szCs w:val="18"/>
        </w:rPr>
        <w:t>(*Para os fins da Licença Open, um “contrato ativo” é aquele associado a um Número de Autorização de Licença Open ativo.)</w:t>
      </w:r>
    </w:p>
    <w:p w:rsidR="00F64DEA" w:rsidRPr="000A1C8E" w:rsidRDefault="00F64DEA" w:rsidP="00AF3B19">
      <w:pPr>
        <w:pStyle w:val="Footnotedash"/>
        <w:tabs>
          <w:tab w:val="clear" w:pos="1620"/>
        </w:tabs>
        <w:adjustRightInd/>
        <w:spacing w:before="0" w:after="0"/>
        <w:ind w:left="0" w:firstLine="0"/>
        <w:textAlignment w:val="auto"/>
        <w:rPr>
          <w:rFonts w:ascii="Tahoma" w:hAnsi="Tahoma" w:cs="Tahoma"/>
        </w:rPr>
      </w:pPr>
    </w:p>
    <w:p w:rsidR="00B73A46" w:rsidRPr="00552221" w:rsidRDefault="00B73A46" w:rsidP="00F64DEA">
      <w:pPr>
        <w:pStyle w:val="Footnotedash"/>
        <w:spacing w:before="0" w:after="0"/>
        <w:ind w:left="720" w:hanging="7"/>
        <w:rPr>
          <w:rFonts w:ascii="Tahoma" w:hAnsi="Tahoma" w:cs="Tahoma"/>
          <w:sz w:val="18"/>
          <w:szCs w:val="18"/>
        </w:rPr>
      </w:pPr>
      <w:r w:rsidRPr="00552221">
        <w:rPr>
          <w:rFonts w:ascii="Tahoma" w:hAnsi="Tahoma" w:cs="Tahoma"/>
          <w:sz w:val="18"/>
          <w:szCs w:val="18"/>
        </w:rPr>
        <w:lastRenderedPageBreak/>
        <w:t>Eles deverão ter o Software Assurance ativo para as licenças de Atualização do Sistema Operacional Windows Desktop ou Windows Vista Business.</w:t>
      </w:r>
    </w:p>
    <w:p w:rsidR="00F64DEA" w:rsidRPr="00552221" w:rsidRDefault="00F64DEA" w:rsidP="00F64DEA">
      <w:pPr>
        <w:pStyle w:val="Footnotedash"/>
        <w:spacing w:before="0" w:after="0"/>
        <w:ind w:left="720" w:hanging="7"/>
        <w:rPr>
          <w:rFonts w:ascii="Tahoma" w:hAnsi="Tahoma" w:cs="Tahoma"/>
          <w:sz w:val="18"/>
          <w:szCs w:val="18"/>
        </w:rPr>
      </w:pPr>
    </w:p>
    <w:p w:rsidR="00B73A46" w:rsidRPr="00552221" w:rsidRDefault="00B73A46" w:rsidP="00F64DEA">
      <w:pPr>
        <w:pStyle w:val="Footnotedash"/>
        <w:spacing w:before="0" w:after="0"/>
        <w:ind w:left="720" w:hanging="7"/>
        <w:rPr>
          <w:rFonts w:ascii="Tahoma" w:hAnsi="Tahoma" w:cs="Tahoma"/>
          <w:sz w:val="18"/>
          <w:szCs w:val="18"/>
        </w:rPr>
      </w:pPr>
      <w:r w:rsidRPr="00552221">
        <w:rPr>
          <w:rFonts w:ascii="Tahoma" w:hAnsi="Tahoma" w:cs="Tahoma"/>
          <w:sz w:val="18"/>
          <w:szCs w:val="18"/>
        </w:rPr>
        <w:t xml:space="preserve">Eles deverão estar situados em um dos países estabelecidos na União Europeia (UE), na Associação Europeia de Livre Comércio (EFTA), na Bulgária, Croácia, Romênia ou Suíça. </w:t>
      </w:r>
    </w:p>
    <w:p w:rsidR="00EB3E62" w:rsidRPr="00552221" w:rsidRDefault="00EB3E62" w:rsidP="00F64DEA">
      <w:pPr>
        <w:pStyle w:val="Footnotedash"/>
        <w:spacing w:before="0" w:after="0"/>
        <w:ind w:left="720" w:hanging="7"/>
        <w:rPr>
          <w:rFonts w:ascii="Tahoma" w:hAnsi="Tahoma" w:cs="Tahoma"/>
          <w:sz w:val="18"/>
          <w:szCs w:val="18"/>
        </w:rPr>
      </w:pPr>
    </w:p>
    <w:p w:rsidR="00B73A46" w:rsidRPr="00552221"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552221">
        <w:rPr>
          <w:rFonts w:ascii="Tahoma" w:hAnsi="Tahoma" w:cs="Tahoma"/>
          <w:b/>
          <w:bCs/>
          <w:sz w:val="18"/>
          <w:szCs w:val="18"/>
        </w:rPr>
        <w:t>Windows 7 Professional N (sem o Windows Media Player)</w:t>
      </w:r>
    </w:p>
    <w:p w:rsidR="00B73A46" w:rsidRPr="00552221" w:rsidRDefault="00B73A46" w:rsidP="00EB3E62">
      <w:pPr>
        <w:pStyle w:val="FootnoteBulletLevel2"/>
        <w:spacing w:before="0"/>
        <w:ind w:left="720" w:firstLine="0"/>
        <w:rPr>
          <w:rFonts w:ascii="Tahoma" w:hAnsi="Tahoma" w:cs="Tahoma"/>
          <w:sz w:val="18"/>
          <w:szCs w:val="18"/>
        </w:rPr>
      </w:pPr>
      <w:r w:rsidRPr="00552221">
        <w:rPr>
          <w:rFonts w:ascii="Tahoma" w:hAnsi="Tahoma" w:cs="Tahoma"/>
          <w:sz w:val="18"/>
          <w:szCs w:val="18"/>
          <w:u w:val="single"/>
        </w:rPr>
        <w:t>Qualificação</w:t>
      </w:r>
      <w:r w:rsidR="000A1C8E" w:rsidRPr="00552221">
        <w:rPr>
          <w:rFonts w:ascii="Tahoma" w:hAnsi="Tahoma" w:cs="Tahoma"/>
          <w:sz w:val="18"/>
          <w:szCs w:val="18"/>
        </w:rPr>
        <w:t>:</w:t>
      </w:r>
      <w:r w:rsidRPr="00552221">
        <w:rPr>
          <w:rFonts w:ascii="Tahoma" w:hAnsi="Tahoma" w:cs="Tahoma"/>
          <w:sz w:val="18"/>
          <w:szCs w:val="18"/>
          <w:u w:val="single"/>
        </w:rPr>
        <w:br/>
      </w:r>
      <w:r w:rsidRPr="00552221">
        <w:rPr>
          <w:rFonts w:ascii="Tahoma" w:hAnsi="Tahoma" w:cs="Tahoma"/>
          <w:sz w:val="18"/>
          <w:szCs w:val="18"/>
        </w:rPr>
        <w:t>Os clientes de Licenciamento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rsidR="00B73A46" w:rsidRPr="00552221" w:rsidRDefault="00B73A46" w:rsidP="00EB3E62">
      <w:pPr>
        <w:pStyle w:val="Footnotedash"/>
        <w:spacing w:before="0" w:after="0"/>
        <w:ind w:left="720" w:firstLine="0"/>
        <w:rPr>
          <w:rFonts w:ascii="Tahoma" w:hAnsi="Tahoma" w:cs="Tahoma"/>
          <w:sz w:val="18"/>
          <w:szCs w:val="18"/>
        </w:rPr>
      </w:pPr>
      <w:r w:rsidRPr="00552221">
        <w:rPr>
          <w:rFonts w:ascii="Tahoma" w:hAnsi="Tahoma" w:cs="Tahoma"/>
          <w:sz w:val="18"/>
          <w:szCs w:val="18"/>
        </w:rPr>
        <w:t xml:space="preserve">Eles deverão ter pelo menos um dos seguintes contratos ou registros ativos com a Microsoft Ireland Operations Ltd: </w:t>
      </w:r>
    </w:p>
    <w:p w:rsidR="00B73A46" w:rsidRPr="00552221" w:rsidRDefault="00B73A46" w:rsidP="00346F4B">
      <w:pPr>
        <w:pStyle w:val="Footnotedash"/>
        <w:numPr>
          <w:ilvl w:val="0"/>
          <w:numId w:val="32"/>
        </w:numPr>
        <w:adjustRightInd/>
        <w:spacing w:before="0"/>
        <w:ind w:left="1440"/>
        <w:textAlignment w:val="auto"/>
        <w:rPr>
          <w:rFonts w:ascii="Tahoma" w:hAnsi="Tahoma" w:cs="Tahoma"/>
          <w:sz w:val="18"/>
          <w:szCs w:val="18"/>
        </w:rPr>
      </w:pPr>
      <w:r w:rsidRPr="00552221">
        <w:rPr>
          <w:rFonts w:ascii="Tahoma" w:hAnsi="Tahoma" w:cs="Tahoma"/>
          <w:sz w:val="18"/>
          <w:szCs w:val="18"/>
        </w:rPr>
        <w:t>Select, Enterprise ou Enterprise Subscription Enrollment</w:t>
      </w:r>
    </w:p>
    <w:p w:rsidR="00B73A46" w:rsidRPr="00552221" w:rsidRDefault="00B73A46" w:rsidP="00346F4B">
      <w:pPr>
        <w:pStyle w:val="Footnotedash"/>
        <w:numPr>
          <w:ilvl w:val="0"/>
          <w:numId w:val="32"/>
        </w:numPr>
        <w:adjustRightInd/>
        <w:spacing w:before="0"/>
        <w:ind w:left="1440"/>
        <w:textAlignment w:val="auto"/>
        <w:rPr>
          <w:rFonts w:ascii="Tahoma" w:hAnsi="Tahoma" w:cs="Tahoma"/>
          <w:sz w:val="18"/>
          <w:szCs w:val="18"/>
        </w:rPr>
      </w:pPr>
      <w:r w:rsidRPr="00552221">
        <w:rPr>
          <w:rFonts w:ascii="Tahoma" w:hAnsi="Tahoma" w:cs="Tahoma"/>
          <w:sz w:val="18"/>
          <w:szCs w:val="18"/>
        </w:rPr>
        <w:t xml:space="preserve">Licença Open*, Open Value, Campus e School Agreement, Open Value Subscription – Education Solutions </w:t>
      </w:r>
    </w:p>
    <w:p w:rsidR="00B73A46" w:rsidRPr="00552221"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552221">
        <w:rPr>
          <w:rFonts w:ascii="Tahoma" w:hAnsi="Tahoma" w:cs="Tahoma"/>
          <w:sz w:val="18"/>
          <w:szCs w:val="18"/>
        </w:rPr>
        <w:t>(*Para os fins da Licença Open, um “contrato ativo” é aquele associado a um Número de Autorização de Licença Open ativo.)</w:t>
      </w:r>
    </w:p>
    <w:p w:rsidR="00B73A46" w:rsidRPr="00552221" w:rsidRDefault="00B73A46" w:rsidP="00EB3E62">
      <w:pPr>
        <w:pStyle w:val="Footnotedash"/>
        <w:spacing w:before="0" w:after="0"/>
        <w:ind w:left="720" w:firstLine="0"/>
        <w:rPr>
          <w:rFonts w:ascii="Tahoma" w:hAnsi="Tahoma" w:cs="Tahoma"/>
          <w:sz w:val="18"/>
          <w:szCs w:val="18"/>
        </w:rPr>
      </w:pPr>
      <w:r w:rsidRPr="00552221">
        <w:rPr>
          <w:rFonts w:ascii="Tahoma" w:hAnsi="Tahoma" w:cs="Tahoma"/>
          <w:sz w:val="18"/>
          <w:szCs w:val="18"/>
        </w:rPr>
        <w:t>Eles deverão ter o Software Assurance ativo para as licenças de atualização do Sistema Operacional Windows Desktop ou Windows 8 Pro.</w:t>
      </w:r>
    </w:p>
    <w:p w:rsidR="00EB3E62" w:rsidRPr="00552221" w:rsidRDefault="00EB3E62" w:rsidP="00EB3E62">
      <w:pPr>
        <w:pStyle w:val="Footnotedash"/>
        <w:spacing w:before="0" w:after="0"/>
        <w:ind w:left="720" w:firstLine="0"/>
        <w:rPr>
          <w:rFonts w:ascii="Tahoma" w:hAnsi="Tahoma" w:cs="Tahoma"/>
          <w:sz w:val="18"/>
          <w:szCs w:val="18"/>
        </w:rPr>
      </w:pPr>
    </w:p>
    <w:p w:rsidR="00B73A46" w:rsidRPr="00552221" w:rsidRDefault="00B73A46" w:rsidP="00EB3E62">
      <w:pPr>
        <w:pStyle w:val="Footnotedash"/>
        <w:spacing w:before="0" w:after="0"/>
        <w:ind w:left="720" w:firstLine="0"/>
        <w:rPr>
          <w:rFonts w:ascii="Tahoma" w:hAnsi="Tahoma" w:cs="Tahoma"/>
          <w:sz w:val="18"/>
          <w:szCs w:val="18"/>
        </w:rPr>
      </w:pPr>
      <w:r w:rsidRPr="00552221">
        <w:rPr>
          <w:rFonts w:ascii="Tahoma" w:hAnsi="Tahoma" w:cs="Tahoma"/>
          <w:sz w:val="18"/>
          <w:szCs w:val="18"/>
        </w:rPr>
        <w:t xml:space="preserve">Eles deverão estar situados em um dos países estabelecidos na União Europeia (UE), na Associação Europeia de Livre Comércio (EFTA), na Bulgária, Croácia, Romênia ou Suíça. </w:t>
      </w:r>
    </w:p>
    <w:p w:rsidR="00EB3E62" w:rsidRPr="00552221" w:rsidRDefault="00EB3E62" w:rsidP="00EB3E62">
      <w:pPr>
        <w:pStyle w:val="Footnotedash"/>
        <w:spacing w:before="0" w:after="0"/>
        <w:ind w:left="720" w:firstLine="0"/>
        <w:rPr>
          <w:rFonts w:ascii="Tahoma" w:hAnsi="Tahoma" w:cs="Tahoma"/>
          <w:sz w:val="18"/>
          <w:szCs w:val="18"/>
        </w:rPr>
      </w:pPr>
    </w:p>
    <w:p w:rsidR="00697E59" w:rsidRPr="00552221" w:rsidRDefault="00B73A46" w:rsidP="00EB3E62">
      <w:pPr>
        <w:pStyle w:val="Footnotedash"/>
        <w:spacing w:before="0" w:after="0"/>
        <w:ind w:left="720" w:firstLine="0"/>
        <w:rPr>
          <w:rFonts w:ascii="Tahoma" w:hAnsi="Tahoma" w:cs="Tahoma"/>
          <w:sz w:val="18"/>
          <w:szCs w:val="18"/>
        </w:rPr>
      </w:pPr>
      <w:r w:rsidRPr="00552221">
        <w:rPr>
          <w:rFonts w:ascii="Tahoma" w:hAnsi="Tahoma" w:cs="Tahoma"/>
          <w:sz w:val="18"/>
          <w:szCs w:val="18"/>
        </w:rPr>
        <w:t xml:space="preserve">Os clientes poderão desconsiderar a notificação encontrada nos Direitos de Uso de Produto de julho de 2009 referente à ausência do Internet Explorer 8 e o aviso correspondente de isenção de responsabilidade da garantia. </w:t>
      </w:r>
    </w:p>
    <w:p w:rsidR="00804794" w:rsidRPr="00552221"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552221"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rPr>
      </w:pPr>
      <w:r w:rsidRPr="00552221">
        <w:rPr>
          <w:rFonts w:ascii="Tahoma" w:hAnsi="Tahoma" w:cs="Tahoma"/>
          <w:b/>
          <w:bCs/>
          <w:sz w:val="18"/>
          <w:szCs w:val="18"/>
        </w:rPr>
        <w:t>Windows 8 Pro KN</w:t>
      </w:r>
    </w:p>
    <w:p w:rsidR="008A5D64" w:rsidRPr="00552221" w:rsidRDefault="008A5D64" w:rsidP="00804794">
      <w:pPr>
        <w:pStyle w:val="FootnoteBulletLevel2"/>
        <w:spacing w:before="0"/>
        <w:ind w:left="720" w:hanging="7"/>
        <w:rPr>
          <w:rFonts w:ascii="Tahoma" w:hAnsi="Tahoma" w:cs="Tahoma"/>
          <w:sz w:val="18"/>
          <w:szCs w:val="18"/>
        </w:rPr>
      </w:pPr>
      <w:r w:rsidRPr="00552221">
        <w:rPr>
          <w:rFonts w:ascii="Tahoma" w:hAnsi="Tahoma" w:cs="Tahoma"/>
          <w:sz w:val="18"/>
          <w:szCs w:val="18"/>
          <w:u w:val="single"/>
        </w:rPr>
        <w:t>Qualificação</w:t>
      </w:r>
      <w:r w:rsidRPr="00552221">
        <w:rPr>
          <w:rFonts w:ascii="Tahoma" w:hAnsi="Tahoma" w:cs="Tahoma"/>
          <w:sz w:val="18"/>
          <w:szCs w:val="18"/>
          <w:u w:val="single"/>
        </w:rPr>
        <w:br/>
      </w:r>
      <w:r w:rsidRPr="00552221">
        <w:rPr>
          <w:rFonts w:ascii="Tahoma" w:hAnsi="Tahoma" w:cs="Tahoma"/>
          <w:sz w:val="18"/>
          <w:szCs w:val="18"/>
        </w:rPr>
        <w:t>Os clientes de Licenciamento por Volume situados na Coreia que tiverem um contrato ou registro do Licenciamento por Volume ativo com a Microsoft Operations Pte Ltd estarão qualificados para adquirir a mídia do Windows 8 Pro KN para implantação e uso na Coreia. Nenhum outro uso é permitido.</w:t>
      </w:r>
    </w:p>
    <w:p w:rsidR="00804794" w:rsidRPr="00552221"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552221"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552221">
        <w:rPr>
          <w:rFonts w:ascii="Tahoma" w:hAnsi="Tahoma" w:cs="Tahoma"/>
          <w:b/>
          <w:bCs/>
          <w:sz w:val="18"/>
          <w:szCs w:val="18"/>
        </w:rPr>
        <w:t>Windows 8 Pro N (sem o Windows Media Player)</w:t>
      </w:r>
    </w:p>
    <w:p w:rsidR="008A5D64" w:rsidRPr="00552221" w:rsidRDefault="008A5D64" w:rsidP="00804794">
      <w:pPr>
        <w:pStyle w:val="FootnoteBulletLevel2"/>
        <w:spacing w:before="0"/>
        <w:ind w:left="720" w:firstLine="0"/>
        <w:rPr>
          <w:rFonts w:ascii="Tahoma" w:hAnsi="Tahoma" w:cs="Tahoma"/>
          <w:sz w:val="18"/>
          <w:szCs w:val="18"/>
        </w:rPr>
      </w:pPr>
      <w:r w:rsidRPr="00552221">
        <w:rPr>
          <w:rFonts w:ascii="Tahoma" w:hAnsi="Tahoma" w:cs="Tahoma"/>
          <w:sz w:val="18"/>
          <w:szCs w:val="18"/>
          <w:u w:val="single"/>
        </w:rPr>
        <w:t>Qualificação</w:t>
      </w:r>
      <w:r w:rsidR="000A1C8E" w:rsidRPr="00552221">
        <w:rPr>
          <w:rFonts w:ascii="Tahoma" w:hAnsi="Tahoma" w:cs="Tahoma"/>
          <w:sz w:val="18"/>
          <w:szCs w:val="18"/>
        </w:rPr>
        <w:t>:</w:t>
      </w:r>
      <w:r w:rsidRPr="00552221">
        <w:rPr>
          <w:rFonts w:ascii="Tahoma" w:hAnsi="Tahoma" w:cs="Tahoma"/>
          <w:sz w:val="18"/>
          <w:szCs w:val="18"/>
          <w:u w:val="single"/>
        </w:rPr>
        <w:br/>
      </w:r>
      <w:r w:rsidRPr="00552221">
        <w:rPr>
          <w:rFonts w:ascii="Tahoma" w:hAnsi="Tahoma" w:cs="Tahoma"/>
          <w:sz w:val="18"/>
          <w:szCs w:val="18"/>
        </w:rPr>
        <w:t>Os clientes de Licenciamento por Volume que atenderem a todos os critérios a seguir estarão qualificados para adquirir a mídia do Microsoft Windows 8 Pro N somente para implantação e uso na União Europeia (UE), na Associação Europeia de Livre Comércio (EFTA), na Bulgária, Croácia, Romênia ou Suíça.</w:t>
      </w:r>
    </w:p>
    <w:p w:rsidR="008A5D64" w:rsidRPr="00552221" w:rsidRDefault="008A5D64" w:rsidP="00804794">
      <w:pPr>
        <w:pStyle w:val="Footnotedash"/>
        <w:spacing w:before="0" w:after="0"/>
        <w:ind w:left="720" w:hanging="7"/>
        <w:rPr>
          <w:rFonts w:ascii="Tahoma" w:hAnsi="Tahoma" w:cs="Tahoma"/>
          <w:sz w:val="18"/>
          <w:szCs w:val="18"/>
        </w:rPr>
      </w:pPr>
      <w:r w:rsidRPr="00552221">
        <w:rPr>
          <w:rFonts w:ascii="Tahoma" w:hAnsi="Tahoma" w:cs="Tahoma"/>
          <w:sz w:val="18"/>
          <w:szCs w:val="18"/>
        </w:rPr>
        <w:t xml:space="preserve">Eles deverão ter pelo menos um dos seguintes contratos ou registros ativos com a Microsoft Ireland Operations Ltd: </w:t>
      </w:r>
    </w:p>
    <w:p w:rsidR="00804794" w:rsidRPr="00552221" w:rsidRDefault="00804794" w:rsidP="00804794">
      <w:pPr>
        <w:pStyle w:val="Footnotedash"/>
        <w:spacing w:before="0" w:after="0"/>
        <w:ind w:left="720" w:hanging="7"/>
        <w:rPr>
          <w:rFonts w:ascii="Tahoma" w:hAnsi="Tahoma" w:cs="Tahoma"/>
          <w:sz w:val="18"/>
          <w:szCs w:val="18"/>
        </w:rPr>
      </w:pPr>
    </w:p>
    <w:p w:rsidR="008A5D64" w:rsidRPr="00552221" w:rsidRDefault="008A5D64" w:rsidP="00346F4B">
      <w:pPr>
        <w:pStyle w:val="Footnotedash"/>
        <w:numPr>
          <w:ilvl w:val="0"/>
          <w:numId w:val="32"/>
        </w:numPr>
        <w:adjustRightInd/>
        <w:spacing w:before="0"/>
        <w:ind w:left="1440"/>
        <w:textAlignment w:val="auto"/>
        <w:rPr>
          <w:rFonts w:ascii="Tahoma" w:hAnsi="Tahoma" w:cs="Tahoma"/>
          <w:sz w:val="18"/>
          <w:szCs w:val="18"/>
        </w:rPr>
      </w:pPr>
      <w:r w:rsidRPr="00552221">
        <w:rPr>
          <w:rFonts w:ascii="Tahoma" w:hAnsi="Tahoma" w:cs="Tahoma"/>
          <w:sz w:val="18"/>
          <w:szCs w:val="18"/>
        </w:rPr>
        <w:t>Select, Enterprise ou Enterprise Subscription Enrollment</w:t>
      </w:r>
    </w:p>
    <w:p w:rsidR="008A5D64" w:rsidRPr="00552221" w:rsidRDefault="008A5D64" w:rsidP="00346F4B">
      <w:pPr>
        <w:pStyle w:val="Footnotedash"/>
        <w:numPr>
          <w:ilvl w:val="0"/>
          <w:numId w:val="32"/>
        </w:numPr>
        <w:adjustRightInd/>
        <w:spacing w:before="0"/>
        <w:ind w:left="1440"/>
        <w:textAlignment w:val="auto"/>
        <w:rPr>
          <w:rFonts w:ascii="Tahoma" w:hAnsi="Tahoma" w:cs="Tahoma"/>
          <w:sz w:val="18"/>
          <w:szCs w:val="18"/>
        </w:rPr>
      </w:pPr>
      <w:r w:rsidRPr="00552221">
        <w:rPr>
          <w:rFonts w:ascii="Tahoma" w:hAnsi="Tahoma" w:cs="Tahoma"/>
          <w:sz w:val="18"/>
          <w:szCs w:val="18"/>
        </w:rPr>
        <w:t xml:space="preserve">Licença Open*, Open Value, Campus e School Agreement, Open Value Subscription – Education Solutions </w:t>
      </w:r>
    </w:p>
    <w:p w:rsidR="008A5D64" w:rsidRPr="00552221"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552221">
        <w:rPr>
          <w:rFonts w:ascii="Tahoma" w:hAnsi="Tahoma" w:cs="Tahoma"/>
          <w:sz w:val="18"/>
          <w:szCs w:val="18"/>
        </w:rPr>
        <w:t>(*Para os fins da Licença Open, um “contrato ativo” é aquele associado a um Número de Autorização de Licença Open ativo.)</w:t>
      </w:r>
    </w:p>
    <w:p w:rsidR="00804794" w:rsidRPr="00552221"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rsidR="008A5D64" w:rsidRPr="00552221" w:rsidRDefault="008A5D64" w:rsidP="00804794">
      <w:pPr>
        <w:pStyle w:val="Footnotedash"/>
        <w:spacing w:before="0" w:after="0"/>
        <w:ind w:left="720" w:hanging="7"/>
        <w:rPr>
          <w:rFonts w:ascii="Tahoma" w:hAnsi="Tahoma" w:cs="Tahoma"/>
          <w:sz w:val="18"/>
          <w:szCs w:val="18"/>
        </w:rPr>
      </w:pPr>
      <w:r w:rsidRPr="00552221">
        <w:rPr>
          <w:rFonts w:ascii="Tahoma" w:hAnsi="Tahoma" w:cs="Tahoma"/>
          <w:sz w:val="18"/>
          <w:szCs w:val="18"/>
        </w:rPr>
        <w:t>Eles deverão ter o Software Assurance ativo para as licenças de Atualização do Sistema Operacional Windows Desktop ou Windows 8 Pro.</w:t>
      </w:r>
    </w:p>
    <w:p w:rsidR="00804794" w:rsidRPr="00552221" w:rsidRDefault="00804794" w:rsidP="00804794">
      <w:pPr>
        <w:pStyle w:val="Footnotedash"/>
        <w:spacing w:before="0" w:after="0"/>
        <w:ind w:left="720" w:hanging="7"/>
        <w:rPr>
          <w:rFonts w:ascii="Tahoma" w:hAnsi="Tahoma" w:cs="Tahoma"/>
          <w:sz w:val="18"/>
          <w:szCs w:val="18"/>
        </w:rPr>
      </w:pPr>
    </w:p>
    <w:p w:rsidR="008A5D64" w:rsidRPr="00552221" w:rsidRDefault="008A5D64" w:rsidP="00804794">
      <w:pPr>
        <w:pStyle w:val="Footnotedash"/>
        <w:spacing w:before="0" w:after="0"/>
        <w:ind w:left="720" w:hanging="7"/>
        <w:rPr>
          <w:rFonts w:ascii="Tahoma" w:hAnsi="Tahoma" w:cs="Tahoma"/>
          <w:sz w:val="18"/>
          <w:szCs w:val="18"/>
        </w:rPr>
      </w:pPr>
      <w:r w:rsidRPr="00552221">
        <w:rPr>
          <w:rFonts w:ascii="Tahoma" w:hAnsi="Tahoma" w:cs="Tahoma"/>
          <w:sz w:val="18"/>
          <w:szCs w:val="18"/>
        </w:rPr>
        <w:t>Eles deverão estar situados em um dos países estabelecidos na União Europeia (UE), na Associação Europeia de Livre Comércio (EFTA), na Bulgária, Croácia, Romênia ou Suíça.</w:t>
      </w:r>
    </w:p>
    <w:p w:rsidR="00804794" w:rsidRPr="000A1C8E" w:rsidRDefault="00804794" w:rsidP="00804794">
      <w:pPr>
        <w:pStyle w:val="FootnoteBulletLevel1"/>
        <w:tabs>
          <w:tab w:val="clear" w:pos="900"/>
        </w:tabs>
        <w:adjustRightInd/>
        <w:spacing w:before="0" w:after="0"/>
        <w:ind w:left="720" w:firstLine="0"/>
        <w:textAlignment w:val="auto"/>
        <w:rPr>
          <w:rFonts w:ascii="Tahoma" w:hAnsi="Tahoma" w:cs="Tahoma"/>
        </w:rPr>
      </w:pPr>
    </w:p>
    <w:p w:rsidR="003E231B" w:rsidRDefault="003E231B" w:rsidP="00804794">
      <w:pPr>
        <w:pStyle w:val="FootnoteBulletLevel1"/>
        <w:tabs>
          <w:tab w:val="clear" w:pos="900"/>
        </w:tabs>
        <w:adjustRightInd/>
        <w:spacing w:before="0" w:after="0"/>
        <w:ind w:left="720" w:firstLine="0"/>
        <w:textAlignment w:val="auto"/>
        <w:rPr>
          <w:rFonts w:ascii="Tahoma" w:hAnsi="Tahoma" w:cs="Tahoma"/>
        </w:rPr>
      </w:pPr>
    </w:p>
    <w:p w:rsidR="00552221" w:rsidRPr="000A1C8E" w:rsidRDefault="00552221" w:rsidP="00804794">
      <w:pPr>
        <w:pStyle w:val="FootnoteBulletLevel1"/>
        <w:tabs>
          <w:tab w:val="clear" w:pos="900"/>
        </w:tabs>
        <w:adjustRightInd/>
        <w:spacing w:before="0" w:after="0"/>
        <w:ind w:left="720" w:firstLine="0"/>
        <w:textAlignment w:val="auto"/>
        <w:rPr>
          <w:rFonts w:ascii="Tahoma" w:hAnsi="Tahoma" w:cs="Tahoma"/>
        </w:rPr>
      </w:pPr>
    </w:p>
    <w:p w:rsidR="00B73A46" w:rsidRPr="000A1C8E" w:rsidRDefault="00B73A46" w:rsidP="00804794">
      <w:pPr>
        <w:pStyle w:val="FootnoteBulletLevel1"/>
        <w:tabs>
          <w:tab w:val="clear" w:pos="900"/>
        </w:tabs>
        <w:adjustRightInd/>
        <w:spacing w:before="0" w:after="60"/>
        <w:ind w:left="720" w:firstLine="0"/>
        <w:textAlignment w:val="auto"/>
        <w:rPr>
          <w:rFonts w:ascii="Tahoma" w:hAnsi="Tahoma" w:cs="Tahoma"/>
        </w:rPr>
      </w:pPr>
      <w:r w:rsidRPr="000A1C8E">
        <w:rPr>
          <w:rFonts w:ascii="Tahoma" w:hAnsi="Tahoma" w:cs="Tahoma"/>
          <w:b/>
          <w:bCs/>
          <w:sz w:val="18"/>
          <w:szCs w:val="18"/>
        </w:rPr>
        <w:lastRenderedPageBreak/>
        <w:t>Direitos de Locação para Windows</w:t>
      </w:r>
    </w:p>
    <w:p w:rsidR="00B73A46" w:rsidRPr="00552221"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552221">
        <w:rPr>
          <w:rFonts w:ascii="Tahoma" w:hAnsi="Tahoma" w:cs="Tahoma"/>
          <w:sz w:val="18"/>
          <w:szCs w:val="18"/>
          <w:u w:val="single"/>
        </w:rPr>
        <w:t>Licenças de Direitos de Locação</w:t>
      </w:r>
      <w:r w:rsidR="000A1C8E" w:rsidRPr="00552221">
        <w:rPr>
          <w:rFonts w:ascii="Tahoma" w:hAnsi="Tahoma" w:cs="Tahoma"/>
          <w:sz w:val="18"/>
          <w:szCs w:val="18"/>
        </w:rPr>
        <w:t>:</w:t>
      </w:r>
      <w:r w:rsidRPr="00552221">
        <w:rPr>
          <w:rFonts w:ascii="Tahoma" w:hAnsi="Tahoma" w:cs="Tahoma"/>
          <w:sz w:val="18"/>
          <w:szCs w:val="18"/>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rsidR="00804794" w:rsidRPr="00552221" w:rsidRDefault="00804794" w:rsidP="00804794">
      <w:pPr>
        <w:pStyle w:val="FootnoteBulletLevel1"/>
        <w:tabs>
          <w:tab w:val="clear" w:pos="900"/>
        </w:tabs>
        <w:adjustRightInd/>
        <w:spacing w:before="0" w:after="0"/>
        <w:ind w:left="720" w:firstLine="0"/>
        <w:textAlignment w:val="auto"/>
        <w:rPr>
          <w:rFonts w:ascii="Tahoma" w:hAnsi="Tahoma" w:cs="Tahoma"/>
          <w:sz w:val="16"/>
          <w:szCs w:val="16"/>
        </w:rPr>
      </w:pPr>
    </w:p>
    <w:p w:rsidR="005F52C6" w:rsidRPr="00552221"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552221">
        <w:rPr>
          <w:rFonts w:ascii="Tahoma" w:hAnsi="Tahoma" w:cs="Tahoma"/>
          <w:sz w:val="18"/>
          <w:szCs w:val="18"/>
          <w:u w:val="single"/>
        </w:rPr>
        <w:t>Windows Vista, Windows 7 Professional e Windows 8 Pro</w:t>
      </w:r>
      <w:r w:rsidR="000A1C8E" w:rsidRPr="00552221">
        <w:rPr>
          <w:rFonts w:ascii="Tahoma" w:hAnsi="Tahoma" w:cs="Tahoma"/>
          <w:sz w:val="18"/>
          <w:szCs w:val="18"/>
        </w:rPr>
        <w:t>:</w:t>
      </w:r>
    </w:p>
    <w:p w:rsidR="00B73A46" w:rsidRPr="00552221"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552221">
        <w:rPr>
          <w:rFonts w:ascii="Tahoma" w:hAnsi="Tahoma" w:cs="Tahoma"/>
          <w:sz w:val="18"/>
          <w:szCs w:val="18"/>
        </w:rPr>
        <w:t>Os clientes que desejarem adquirir licenças de direitos de locação por meio dos programas Select ou Licença Open deverão primeiro licenciar e instalar um sistema operacional qualificado no desktop</w:t>
      </w:r>
      <w:r w:rsidRPr="00552221">
        <w:rPr>
          <w:rFonts w:ascii="Tahoma" w:hAnsi="Tahoma" w:cs="Tahoma"/>
          <w:i/>
          <w:iCs/>
          <w:sz w:val="18"/>
          <w:szCs w:val="18"/>
        </w:rPr>
        <w:t>.</w:t>
      </w:r>
      <w:r w:rsidRPr="00552221">
        <w:rPr>
          <w:rFonts w:ascii="Tahoma" w:hAnsi="Tahoma" w:cs="Tahoma"/>
          <w:sz w:val="18"/>
          <w:szCs w:val="18"/>
        </w:rPr>
        <w:t xml:space="preserve"> Os sistemas operacionais qualificados licenciados também incluem licenças adquiridas com o Contrato Get Genuine Windows por meio desses programas.</w:t>
      </w:r>
    </w:p>
    <w:p w:rsidR="00B73A46" w:rsidRPr="00552221" w:rsidRDefault="00B73A46" w:rsidP="00804794">
      <w:pPr>
        <w:ind w:left="720"/>
        <w:rPr>
          <w:rFonts w:cs="Tahoma"/>
          <w:sz w:val="16"/>
          <w:szCs w:val="16"/>
        </w:rPr>
      </w:pPr>
    </w:p>
    <w:p w:rsidR="00B73A46" w:rsidRPr="000A1C8E" w:rsidRDefault="00B73A46" w:rsidP="003E231B">
      <w:pPr>
        <w:ind w:left="720"/>
        <w:rPr>
          <w:rFonts w:cs="Tahoma"/>
        </w:rPr>
      </w:pPr>
      <w:r w:rsidRPr="000A1C8E">
        <w:rPr>
          <w:rFonts w:cs="Tahoma"/>
          <w:szCs w:val="18"/>
          <w:u w:val="single"/>
        </w:rPr>
        <w:t>Regras de Sistemas Operacionais Qualificados</w:t>
      </w:r>
      <w:r w:rsidR="000A1C8E" w:rsidRPr="000A1C8E">
        <w:rPr>
          <w:rFonts w:cs="Tahoma"/>
          <w:szCs w:val="18"/>
        </w:rPr>
        <w:t>:</w:t>
      </w:r>
      <w:r w:rsidRPr="000A1C8E">
        <w:rPr>
          <w:rFonts w:cs="Tahoma"/>
          <w:szCs w:val="18"/>
        </w:rPr>
        <w:t xml:space="preserve"> Cada uma destas condições deve ser atendida para que o</w:t>
      </w:r>
      <w:r w:rsidR="003E231B" w:rsidRPr="000A1C8E">
        <w:rPr>
          <w:rFonts w:cs="Tahoma"/>
          <w:szCs w:val="18"/>
        </w:rPr>
        <w:t> </w:t>
      </w:r>
      <w:r w:rsidRPr="000A1C8E">
        <w:rPr>
          <w:rFonts w:cs="Tahoma"/>
          <w:szCs w:val="18"/>
        </w:rPr>
        <w:t xml:space="preserve">Sistema Operacional básico o qualifique para a licença de Direitos de Locação: </w:t>
      </w:r>
    </w:p>
    <w:p w:rsidR="00B73A46" w:rsidRPr="00552221" w:rsidRDefault="00B73A46" w:rsidP="00F02E9F">
      <w:pPr>
        <w:ind w:left="1440"/>
        <w:rPr>
          <w:rFonts w:cs="Tahoma"/>
          <w:sz w:val="16"/>
          <w:szCs w:val="16"/>
        </w:rPr>
      </w:pPr>
    </w:p>
    <w:p w:rsidR="00B73A46" w:rsidRPr="000A1C8E" w:rsidRDefault="00B73A46" w:rsidP="00346F4B">
      <w:pPr>
        <w:numPr>
          <w:ilvl w:val="0"/>
          <w:numId w:val="28"/>
        </w:numPr>
        <w:ind w:left="1440"/>
        <w:rPr>
          <w:rFonts w:cs="Tahoma"/>
        </w:rPr>
      </w:pPr>
      <w:r w:rsidRPr="000A1C8E">
        <w:rPr>
          <w:rFonts w:cs="Tahoma"/>
          <w:szCs w:val="18"/>
        </w:rPr>
        <w:t>A licença para o SO qualificado deverá ser cedida ao mesmo dispositivo ao qual a licença de Direitos de Locação de VL será cedida.</w:t>
      </w:r>
    </w:p>
    <w:p w:rsidR="00B73A46" w:rsidRPr="000A1C8E" w:rsidRDefault="00B73A46" w:rsidP="00346F4B">
      <w:pPr>
        <w:numPr>
          <w:ilvl w:val="0"/>
          <w:numId w:val="28"/>
        </w:numPr>
        <w:ind w:left="1440"/>
        <w:rPr>
          <w:rFonts w:cs="Tahoma"/>
        </w:rPr>
      </w:pPr>
      <w:r w:rsidRPr="000A1C8E">
        <w:rPr>
          <w:rFonts w:cs="Tahoma"/>
          <w:szCs w:val="18"/>
        </w:rPr>
        <w:t>O SO qualificado deverá ser instalado no referido dispositivo.</w:t>
      </w:r>
    </w:p>
    <w:p w:rsidR="00E31CC0" w:rsidRPr="00552221" w:rsidRDefault="00E31CC0" w:rsidP="00997D81">
      <w:pPr>
        <w:rPr>
          <w:rFonts w:cs="Tahoma"/>
          <w:sz w:val="16"/>
          <w:szCs w:val="16"/>
        </w:rPr>
      </w:pPr>
    </w:p>
    <w:p w:rsidR="00B73A46" w:rsidRPr="00552221" w:rsidRDefault="00B73A46" w:rsidP="00EE035D">
      <w:pPr>
        <w:pStyle w:val="EndnoteText"/>
        <w:ind w:left="720"/>
        <w:rPr>
          <w:rFonts w:ascii="Tahoma" w:hAnsi="Tahoma" w:cs="Tahoma"/>
          <w:sz w:val="18"/>
          <w:szCs w:val="18"/>
        </w:rPr>
      </w:pPr>
      <w:r w:rsidRPr="00552221">
        <w:rPr>
          <w:rFonts w:ascii="Tahoma" w:hAnsi="Tahoma" w:cs="Tahoma"/>
          <w:sz w:val="18"/>
          <w:szCs w:val="18"/>
        </w:rPr>
        <w:t>Os sistemas operacionais qualificados por tipo de Programa são:</w:t>
      </w:r>
    </w:p>
    <w:p w:rsidR="00B73A46" w:rsidRPr="00552221" w:rsidRDefault="00B73A46" w:rsidP="00B73A46">
      <w:pPr>
        <w:pStyle w:val="EndnoteText"/>
        <w:rPr>
          <w:rFonts w:ascii="Tahoma" w:hAnsi="Tahoma" w:cs="Tahoma"/>
          <w:sz w:val="16"/>
          <w:szCs w:val="16"/>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0A1C8E" w:rsidTr="00552221">
        <w:trPr>
          <w:trHeight w:val="763"/>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0A1C8E" w:rsidRDefault="009B3FA2" w:rsidP="00713A6C">
            <w:pPr>
              <w:rPr>
                <w:rFonts w:eastAsia="Calibri" w:cs="Tahoma"/>
                <w:bCs/>
                <w:szCs w:val="18"/>
              </w:rPr>
            </w:pPr>
            <w:r w:rsidRPr="000A1C8E">
              <w:rPr>
                <w:rFonts w:cs="Tahoma"/>
                <w:b/>
                <w:bCs/>
                <w:szCs w:val="18"/>
              </w:rPr>
              <w:t>Sistemas operacionais qualificados para a compra de Direitos de Locação do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9B3FA2">
            <w:pPr>
              <w:jc w:val="center"/>
              <w:rPr>
                <w:rFonts w:eastAsia="Calibri" w:cs="Tahoma"/>
                <w:b/>
                <w:bCs/>
                <w:sz w:val="14"/>
                <w:szCs w:val="18"/>
              </w:rPr>
            </w:pPr>
            <w:r w:rsidRPr="000A1C8E">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1B15A5">
            <w:pPr>
              <w:jc w:val="center"/>
              <w:rPr>
                <w:rFonts w:eastAsia="Calibri" w:cs="Tahoma"/>
                <w:b/>
                <w:bCs/>
                <w:sz w:val="14"/>
                <w:szCs w:val="18"/>
              </w:rPr>
            </w:pPr>
            <w:r w:rsidRPr="000A1C8E">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50116B">
            <w:pPr>
              <w:jc w:val="center"/>
              <w:rPr>
                <w:rFonts w:eastAsia="Calibri" w:cs="Tahoma"/>
                <w:b/>
                <w:bCs/>
                <w:sz w:val="14"/>
                <w:szCs w:val="18"/>
              </w:rPr>
            </w:pPr>
            <w:r w:rsidRPr="000A1C8E">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A1C8E" w:rsidRDefault="00B73A46" w:rsidP="005F0406">
            <w:pPr>
              <w:jc w:val="center"/>
              <w:rPr>
                <w:rFonts w:eastAsia="Calibri" w:cs="Tahoma"/>
                <w:b/>
                <w:bCs/>
                <w:sz w:val="14"/>
                <w:szCs w:val="18"/>
              </w:rPr>
            </w:pPr>
            <w:r w:rsidRPr="000A1C8E">
              <w:rPr>
                <w:rFonts w:cs="Tahoma"/>
                <w:b/>
                <w:bCs/>
                <w:sz w:val="14"/>
                <w:szCs w:val="18"/>
              </w:rPr>
              <w:t>Licença Open</w:t>
            </w:r>
          </w:p>
        </w:tc>
        <w:tc>
          <w:tcPr>
            <w:tcW w:w="16" w:type="dxa"/>
            <w:vAlign w:val="center"/>
          </w:tcPr>
          <w:p w:rsidR="00B73A46" w:rsidRPr="000A1C8E" w:rsidRDefault="00B73A46" w:rsidP="00713A6C">
            <w:pPr>
              <w:rPr>
                <w:rFonts w:eastAsia="Calibri" w:cs="Tahoma"/>
                <w:szCs w:val="18"/>
              </w:rPr>
            </w:pPr>
          </w:p>
        </w:tc>
      </w:tr>
      <w:tr w:rsidR="00BF7A97" w:rsidRPr="000A1C8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713A6C">
            <w:pPr>
              <w:rPr>
                <w:rFonts w:cs="Tahoma"/>
                <w:b/>
                <w:bCs/>
                <w:szCs w:val="18"/>
              </w:rPr>
            </w:pPr>
            <w:r w:rsidRPr="000A1C8E">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BF7A97">
            <w:pPr>
              <w:jc w:val="center"/>
              <w:rPr>
                <w:rFonts w:eastAsia="Times New Roman" w:cs="Tahoma"/>
                <w:szCs w:val="18"/>
              </w:rPr>
            </w:pPr>
          </w:p>
        </w:tc>
        <w:tc>
          <w:tcPr>
            <w:tcW w:w="16" w:type="dxa"/>
            <w:vAlign w:val="center"/>
          </w:tcPr>
          <w:p w:rsidR="00BF7A97" w:rsidRPr="000A1C8E" w:rsidRDefault="00BF7A97" w:rsidP="00713A6C">
            <w:pPr>
              <w:rPr>
                <w:rFonts w:eastAsia="Calibri" w:cs="Tahoma"/>
                <w:szCs w:val="18"/>
              </w:rPr>
            </w:pPr>
          </w:p>
        </w:tc>
      </w:tr>
      <w:tr w:rsidR="00BF7A97" w:rsidRPr="000A1C8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0A1C8E" w:rsidRDefault="00DC6D8B" w:rsidP="00BF7A97">
            <w:pPr>
              <w:ind w:left="522"/>
              <w:rPr>
                <w:rFonts w:cs="Tahoma"/>
                <w:b/>
                <w:bCs/>
                <w:szCs w:val="18"/>
              </w:rPr>
            </w:pPr>
            <w:r w:rsidRPr="000A1C8E">
              <w:rPr>
                <w:rFonts w:cs="Tahoma"/>
                <w:szCs w:val="18"/>
              </w:rPr>
              <w:t>Pro (</w:t>
            </w:r>
            <w:r w:rsidR="00BF7A97" w:rsidRPr="000A1C8E">
              <w:rPr>
                <w:rFonts w:cs="Tahoma"/>
                <w:szCs w:val="18"/>
              </w:rPr>
              <w:t>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BF7A97">
            <w:pPr>
              <w:jc w:val="center"/>
              <w:rPr>
                <w:rFonts w:eastAsia="Times New Roman" w:cs="Tahoma"/>
                <w:szCs w:val="18"/>
              </w:rPr>
            </w:pPr>
            <w:r w:rsidRPr="000A1C8E">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BF7A97">
            <w:pPr>
              <w:jc w:val="center"/>
              <w:rPr>
                <w:rFonts w:eastAsia="Times New Roman" w:cs="Tahoma"/>
                <w:szCs w:val="18"/>
              </w:rPr>
            </w:pPr>
            <w:r w:rsidRPr="000A1C8E">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A1C8E" w:rsidRDefault="00BF7A97" w:rsidP="00BF7A97">
            <w:pPr>
              <w:jc w:val="center"/>
              <w:rPr>
                <w:rFonts w:eastAsia="Times New Roman" w:cs="Tahoma"/>
                <w:szCs w:val="18"/>
              </w:rPr>
            </w:pPr>
            <w:r w:rsidRPr="000A1C8E">
              <w:rPr>
                <w:rFonts w:eastAsia="Times New Roman" w:cs="Tahoma"/>
                <w:szCs w:val="18"/>
              </w:rPr>
              <w:t>x</w:t>
            </w:r>
          </w:p>
        </w:tc>
        <w:tc>
          <w:tcPr>
            <w:tcW w:w="16" w:type="dxa"/>
            <w:vAlign w:val="center"/>
          </w:tcPr>
          <w:p w:rsidR="00BF7A97" w:rsidRPr="000A1C8E" w:rsidRDefault="00BF7A97" w:rsidP="00713A6C">
            <w:pPr>
              <w:rPr>
                <w:rFonts w:eastAsia="Calibri" w:cs="Tahoma"/>
                <w:szCs w:val="18"/>
              </w:rPr>
            </w:pPr>
          </w:p>
        </w:tc>
      </w:tr>
      <w:tr w:rsidR="00B73A46" w:rsidRPr="000A1C8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rPr>
                <w:rFonts w:eastAsia="Calibri" w:cs="Tahoma"/>
                <w:b/>
                <w:bCs/>
                <w:szCs w:val="18"/>
              </w:rPr>
            </w:pPr>
            <w:r w:rsidRPr="000A1C8E">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BF7A97">
            <w:pPr>
              <w:jc w:val="center"/>
              <w:rPr>
                <w:rFonts w:eastAsia="Times New Roman" w:cs="Tahoma"/>
                <w:szCs w:val="18"/>
              </w:rPr>
            </w:pPr>
          </w:p>
        </w:tc>
        <w:tc>
          <w:tcPr>
            <w:tcW w:w="16" w:type="dxa"/>
            <w:vAlign w:val="center"/>
          </w:tcPr>
          <w:p w:rsidR="00B73A46" w:rsidRPr="000A1C8E" w:rsidRDefault="00B73A46" w:rsidP="00713A6C">
            <w:pPr>
              <w:rPr>
                <w:rFonts w:eastAsia="Calibri" w:cs="Tahoma"/>
                <w:szCs w:val="18"/>
              </w:rPr>
            </w:pPr>
          </w:p>
        </w:tc>
      </w:tr>
      <w:tr w:rsidR="00B73A46" w:rsidRPr="000A1C8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BF7A97">
            <w:pPr>
              <w:ind w:left="522"/>
              <w:rPr>
                <w:rFonts w:eastAsia="Calibri" w:cs="Tahoma"/>
                <w:bCs/>
                <w:szCs w:val="18"/>
              </w:rPr>
            </w:pPr>
            <w:r w:rsidRPr="000A1C8E">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6" w:type="dxa"/>
            <w:vAlign w:val="center"/>
          </w:tcPr>
          <w:p w:rsidR="00B73A46" w:rsidRPr="000A1C8E" w:rsidRDefault="00B73A46" w:rsidP="00713A6C">
            <w:pPr>
              <w:rPr>
                <w:rFonts w:eastAsia="Calibri" w:cs="Tahoma"/>
                <w:szCs w:val="18"/>
              </w:rPr>
            </w:pPr>
          </w:p>
        </w:tc>
      </w:tr>
      <w:tr w:rsidR="00B73A46" w:rsidRPr="000A1C8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DF3AED">
            <w:pPr>
              <w:keepNext/>
              <w:rPr>
                <w:rFonts w:eastAsia="Calibri" w:cs="Tahoma"/>
                <w:b/>
                <w:bCs/>
                <w:szCs w:val="18"/>
              </w:rPr>
            </w:pPr>
            <w:r w:rsidRPr="000A1C8E">
              <w:rPr>
                <w:rFonts w:cs="Tahoma"/>
                <w:b/>
                <w:bCs/>
                <w:szCs w:val="18"/>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E21F5" w:rsidP="00713A6C">
            <w:pPr>
              <w:jc w:val="center"/>
              <w:rPr>
                <w:rFonts w:eastAsia="Calibri" w:cs="Tahoma"/>
                <w:szCs w:val="18"/>
              </w:rPr>
            </w:pPr>
            <w:r w:rsidRPr="000A1C8E">
              <w:rPr>
                <w:rFonts w:cs="Tahoma"/>
                <w:szCs w:val="18"/>
              </w:rPr>
              <w:t xml:space="preserve"> </w:t>
            </w:r>
          </w:p>
        </w:tc>
        <w:tc>
          <w:tcPr>
            <w:tcW w:w="16" w:type="dxa"/>
            <w:vAlign w:val="center"/>
          </w:tcPr>
          <w:p w:rsidR="00B73A46" w:rsidRPr="000A1C8E" w:rsidRDefault="00B73A46" w:rsidP="00713A6C">
            <w:pPr>
              <w:rPr>
                <w:rFonts w:eastAsia="Calibri" w:cs="Tahoma"/>
                <w:szCs w:val="18"/>
              </w:rPr>
            </w:pPr>
          </w:p>
        </w:tc>
      </w:tr>
      <w:tr w:rsidR="00B73A46" w:rsidRPr="000A1C8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ind w:firstLine="540"/>
              <w:rPr>
                <w:rFonts w:eastAsia="Calibri" w:cs="Tahoma"/>
                <w:szCs w:val="18"/>
              </w:rPr>
            </w:pPr>
            <w:r w:rsidRPr="000A1C8E">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A1C8E" w:rsidRDefault="00B73A46" w:rsidP="00713A6C">
            <w:pPr>
              <w:jc w:val="center"/>
              <w:rPr>
                <w:rFonts w:eastAsia="Calibri" w:cs="Tahoma"/>
                <w:szCs w:val="18"/>
              </w:rPr>
            </w:pPr>
            <w:r w:rsidRPr="000A1C8E">
              <w:rPr>
                <w:rFonts w:cs="Tahoma"/>
                <w:szCs w:val="18"/>
              </w:rPr>
              <w:t>x</w:t>
            </w:r>
          </w:p>
        </w:tc>
        <w:tc>
          <w:tcPr>
            <w:tcW w:w="16" w:type="dxa"/>
            <w:vAlign w:val="center"/>
          </w:tcPr>
          <w:p w:rsidR="00B73A46" w:rsidRPr="000A1C8E" w:rsidRDefault="00B73A46" w:rsidP="00713A6C">
            <w:pPr>
              <w:rPr>
                <w:rFonts w:eastAsia="Calibri" w:cs="Tahoma"/>
                <w:szCs w:val="18"/>
              </w:rPr>
            </w:pPr>
          </w:p>
        </w:tc>
      </w:tr>
    </w:tbl>
    <w:p w:rsidR="00B73A46" w:rsidRPr="00552221" w:rsidRDefault="00B73A46" w:rsidP="00B73A46">
      <w:pPr>
        <w:rPr>
          <w:rFonts w:cs="Tahoma"/>
          <w:sz w:val="16"/>
          <w:szCs w:val="16"/>
        </w:rPr>
      </w:pPr>
    </w:p>
    <w:p w:rsidR="00B73A46" w:rsidRPr="000A1C8E" w:rsidRDefault="00B73A46" w:rsidP="00EE035D">
      <w:pPr>
        <w:ind w:left="720"/>
        <w:rPr>
          <w:rFonts w:cs="Tahoma"/>
        </w:rPr>
      </w:pPr>
      <w:r w:rsidRPr="000A1C8E">
        <w:rPr>
          <w:rFonts w:cs="Tahoma"/>
          <w:szCs w:val="18"/>
        </w:rPr>
        <w:t>Os clientes que adquirirem a licença de direitos de locação além de uma licença de sistema operacional qualificado</w:t>
      </w:r>
      <w:r w:rsidRPr="000A1C8E">
        <w:rPr>
          <w:rStyle w:val="CommentReference"/>
          <w:rFonts w:cs="Tahoma"/>
          <w:sz w:val="18"/>
          <w:szCs w:val="18"/>
        </w:rPr>
        <w:t xml:space="preserve"> </w:t>
      </w:r>
      <w:r w:rsidRPr="000A1C8E">
        <w:rPr>
          <w:rFonts w:cs="Tahoma"/>
          <w:szCs w:val="18"/>
        </w:rPr>
        <w:t>terão seus direitos de acordo com essa licença de sistema operacional qualificado</w:t>
      </w:r>
      <w:r w:rsidR="00DC6D8B" w:rsidRPr="000A1C8E">
        <w:rPr>
          <w:rStyle w:val="CommentReference"/>
          <w:rFonts w:cs="Tahoma"/>
          <w:sz w:val="18"/>
          <w:szCs w:val="18"/>
        </w:rPr>
        <w:t xml:space="preserve"> </w:t>
      </w:r>
      <w:r w:rsidRPr="000A1C8E">
        <w:rPr>
          <w:rFonts w:cs="Tahoma"/>
          <w:szCs w:val="18"/>
        </w:rPr>
        <w:t xml:space="preserve">estendidos a fim de permitir que terceiros usem o mesmo software. A licença de locação não é uma outorga para uma atualização de versão. </w:t>
      </w:r>
    </w:p>
    <w:p w:rsidR="00B73A46" w:rsidRPr="00552221" w:rsidRDefault="00B73A46" w:rsidP="00804794">
      <w:pPr>
        <w:ind w:left="720"/>
        <w:rPr>
          <w:rFonts w:cs="Tahoma"/>
          <w:sz w:val="16"/>
          <w:szCs w:val="16"/>
        </w:rPr>
      </w:pPr>
    </w:p>
    <w:p w:rsidR="00B73A46" w:rsidRPr="000A1C8E" w:rsidRDefault="00B73A46" w:rsidP="00804794">
      <w:pPr>
        <w:ind w:left="720"/>
        <w:rPr>
          <w:rFonts w:cs="Tahoma"/>
        </w:rPr>
      </w:pPr>
      <w:r w:rsidRPr="000A1C8E">
        <w:rPr>
          <w:rFonts w:cs="Tahoma"/>
          <w:szCs w:val="18"/>
          <w:u w:val="single"/>
        </w:rPr>
        <w:t>Exceção do Software Assurance</w:t>
      </w:r>
    </w:p>
    <w:p w:rsidR="00B73A46" w:rsidRPr="000A1C8E" w:rsidRDefault="00B73A46" w:rsidP="00804794">
      <w:pPr>
        <w:ind w:left="720"/>
        <w:rPr>
          <w:rFonts w:cs="Tahoma"/>
        </w:rPr>
      </w:pPr>
      <w:r w:rsidRPr="000A1C8E">
        <w:rPr>
          <w:rFonts w:cs="Tahoma"/>
          <w:szCs w:val="18"/>
        </w:rPr>
        <w:t xml:space="preserve">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e Software Assurance para as licenças básicas de software sob seus próprios contratos de Licenciamento por Volume, sujeitos aos termos e às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rsidR="00B73A46" w:rsidRDefault="00B73A46" w:rsidP="00B73A46">
      <w:pPr>
        <w:rPr>
          <w:rFonts w:cs="Tahoma"/>
        </w:rPr>
      </w:pPr>
    </w:p>
    <w:p w:rsidR="00552221" w:rsidRPr="000A1C8E" w:rsidRDefault="00552221" w:rsidP="00B73A46">
      <w:pPr>
        <w:rPr>
          <w:rFonts w:cs="Tahoma"/>
        </w:rPr>
      </w:pPr>
    </w:p>
    <w:p w:rsidR="00104195" w:rsidRPr="00552221" w:rsidRDefault="00A560B6" w:rsidP="00104195">
      <w:pPr>
        <w:pStyle w:val="Heading2"/>
        <w:ind w:hanging="720"/>
        <w:rPr>
          <w:rFonts w:ascii="Tahoma" w:hAnsi="Tahoma" w:cs="Tahoma"/>
          <w:sz w:val="22"/>
          <w:szCs w:val="22"/>
        </w:rPr>
      </w:pPr>
      <w:bookmarkStart w:id="1147" w:name="_98_Windows_Multipoint"/>
      <w:bookmarkStart w:id="1148" w:name="_98Windows_Intune_Add-on"/>
      <w:bookmarkStart w:id="1149" w:name="_97_Windows_Intune"/>
      <w:bookmarkStart w:id="1150" w:name="_33_Windows_Intune"/>
      <w:bookmarkStart w:id="1151" w:name="_34_Complemento_do"/>
      <w:bookmarkStart w:id="1152" w:name="Srv_110WindowsIntuneAddOn"/>
      <w:bookmarkStart w:id="1153" w:name="_Toc336338366"/>
      <w:bookmarkStart w:id="1154" w:name="_Toc361829376"/>
      <w:bookmarkStart w:id="1155" w:name="Srv_104WindowsIntuneAddOn"/>
      <w:bookmarkEnd w:id="1144"/>
      <w:bookmarkEnd w:id="1145"/>
      <w:bookmarkEnd w:id="1146"/>
      <w:bookmarkEnd w:id="1147"/>
      <w:bookmarkEnd w:id="1148"/>
      <w:bookmarkEnd w:id="1149"/>
      <w:bookmarkEnd w:id="1150"/>
      <w:bookmarkEnd w:id="1151"/>
      <w:r w:rsidRPr="000A1C8E">
        <w:rPr>
          <w:rFonts w:ascii="Tahoma" w:hAnsi="Tahoma" w:cs="Tahoma"/>
          <w:caps/>
          <w:color w:val="EE6000"/>
          <w:sz w:val="22"/>
          <w:szCs w:val="18"/>
          <w:vertAlign w:val="superscript"/>
        </w:rPr>
        <w:t xml:space="preserve">34 </w:t>
      </w:r>
      <w:r w:rsidRPr="00552221">
        <w:rPr>
          <w:rFonts w:ascii="Tahoma" w:hAnsi="Tahoma" w:cs="Tahoma"/>
          <w:color w:val="EE6000"/>
          <w:sz w:val="22"/>
          <w:szCs w:val="22"/>
        </w:rPr>
        <w:t>Complemento do Windows Intune</w:t>
      </w:r>
      <w:bookmarkEnd w:id="1152"/>
      <w:bookmarkEnd w:id="1153"/>
      <w:r w:rsidRPr="00552221">
        <w:rPr>
          <w:rFonts w:ascii="Tahoma" w:hAnsi="Tahoma" w:cs="Tahoma"/>
          <w:color w:val="EE6000"/>
          <w:sz w:val="22"/>
          <w:szCs w:val="22"/>
        </w:rPr>
        <w:t xml:space="preserve"> (Por Dispositivo)</w:t>
      </w:r>
      <w:bookmarkEnd w:id="1154"/>
    </w:p>
    <w:bookmarkEnd w:id="1155"/>
    <w:p w:rsidR="00104195" w:rsidRPr="00552221" w:rsidRDefault="00104195" w:rsidP="00104195">
      <w:pPr>
        <w:ind w:left="720"/>
        <w:rPr>
          <w:rFonts w:cs="Tahoma"/>
          <w:sz w:val="16"/>
          <w:szCs w:val="16"/>
        </w:rPr>
      </w:pPr>
    </w:p>
    <w:p w:rsidR="00104195" w:rsidRDefault="00104195" w:rsidP="00104195">
      <w:pPr>
        <w:ind w:left="720"/>
        <w:rPr>
          <w:rFonts w:cs="Tahoma"/>
        </w:rPr>
      </w:pPr>
      <w:r w:rsidRPr="000A1C8E">
        <w:rPr>
          <w:rFonts w:cs="Tahoma"/>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DC6D8B" w:rsidRPr="000A1C8E">
        <w:rPr>
          <w:rFonts w:cs="Tahoma"/>
        </w:rPr>
        <w:t xml:space="preserve"> </w:t>
      </w:r>
      <w:r w:rsidRPr="000A1C8E">
        <w:rPr>
          <w:rFonts w:cs="Tahoma"/>
        </w:rPr>
        <w:t xml:space="preserve">As licenças do Complemento do Windows Intune (Por Dispositivo) devem ser adquiridas de acordo com o mesmo registro da cobertura de Software Assurance ou licença </w:t>
      </w:r>
      <w:r w:rsidR="00552221">
        <w:rPr>
          <w:rFonts w:cs="Tahoma"/>
        </w:rPr>
        <w:t>do Windows VDA correspondentes.</w:t>
      </w:r>
    </w:p>
    <w:p w:rsidR="00552221" w:rsidRPr="000A1C8E" w:rsidRDefault="00552221" w:rsidP="00104195">
      <w:pPr>
        <w:ind w:left="720"/>
        <w:rPr>
          <w:rFonts w:cs="Tahoma"/>
        </w:rPr>
      </w:pPr>
    </w:p>
    <w:p w:rsidR="00104195" w:rsidRPr="000A1C8E" w:rsidRDefault="00104195" w:rsidP="00104195">
      <w:pPr>
        <w:spacing w:after="60"/>
        <w:ind w:left="720"/>
        <w:rPr>
          <w:rFonts w:cs="Tahoma"/>
        </w:rPr>
      </w:pPr>
      <w:r w:rsidRPr="000A1C8E">
        <w:rPr>
          <w:rFonts w:cs="Tahoma"/>
          <w:b/>
        </w:rPr>
        <w:lastRenderedPageBreak/>
        <w:t>Realocação da Licença</w:t>
      </w:r>
    </w:p>
    <w:p w:rsidR="00104195" w:rsidRPr="000A1C8E" w:rsidRDefault="00104195" w:rsidP="00104195">
      <w:pPr>
        <w:ind w:left="720"/>
        <w:rPr>
          <w:rFonts w:cs="Tahoma"/>
        </w:rPr>
      </w:pPr>
      <w:r w:rsidRPr="000A1C8E">
        <w:rPr>
          <w:rFonts w:cs="Tahoma"/>
        </w:rPr>
        <w:t>Os clientes poderão ceder licenças do Complemento do Windows Intune (Por Dispositivo), mas não a curto prazo (ou seja, não antes de 90 dias depois da última cessão).</w:t>
      </w:r>
      <w:r w:rsidR="00DC6D8B" w:rsidRPr="000A1C8E">
        <w:rPr>
          <w:rFonts w:cs="Tahoma"/>
        </w:rPr>
        <w:t xml:space="preserve"> </w:t>
      </w:r>
      <w:r w:rsidRPr="000A1C8E">
        <w:rPr>
          <w:rFonts w:cs="Tahoma"/>
        </w:rPr>
        <w:t>Eles poderão transferir uma licença do Complemento do Windows Intune (Por Dispositivo) mais cedo se desativarem o dispositivo licenciado existente em decorrência de uma falha de hardware permanente.</w:t>
      </w:r>
      <w:r w:rsidR="00DC6D8B" w:rsidRPr="000A1C8E">
        <w:rPr>
          <w:rFonts w:cs="Tahoma"/>
        </w:rPr>
        <w:t xml:space="preserve"> </w:t>
      </w:r>
      <w:r w:rsidRPr="000A1C8E">
        <w:rPr>
          <w:rFonts w:cs="Tahoma"/>
        </w:rPr>
        <w:t xml:space="preserve">O dispositivo para o qual a licença do Complemento do Windows Intune (Por Dispositivo) for cedida deverá ter um Software Assurance do Windows ativo ou uma licença ativa do Windows VDA adquirida de acordo com o mesmo registro da licença do Complemento do Windows Intune (Por Dispositivo). </w:t>
      </w:r>
    </w:p>
    <w:p w:rsidR="00023FE7" w:rsidRPr="000A1C8E" w:rsidRDefault="00113665">
      <w:pPr>
        <w:pStyle w:val="Heading2"/>
        <w:ind w:left="0"/>
        <w:rPr>
          <w:rFonts w:ascii="Tahoma" w:hAnsi="Tahoma" w:cs="Tahoma"/>
        </w:rPr>
      </w:pPr>
      <w:r w:rsidRPr="000A1C8E">
        <w:rPr>
          <w:rFonts w:ascii="Tahoma" w:hAnsi="Tahoma" w:cs="Tahoma"/>
          <w:sz w:val="28"/>
        </w:rPr>
        <w:br w:type="page"/>
      </w:r>
      <w:bookmarkStart w:id="1156" w:name="_Toc336338287"/>
      <w:bookmarkStart w:id="1157" w:name="_Toc361829377"/>
      <w:r w:rsidRPr="000A1C8E">
        <w:rPr>
          <w:rFonts w:ascii="Tahoma" w:hAnsi="Tahoma" w:cs="Tahoma"/>
          <w:sz w:val="28"/>
        </w:rPr>
        <w:lastRenderedPageBreak/>
        <w:t>Pool de Servidores</w:t>
      </w:r>
      <w:bookmarkEnd w:id="1156"/>
      <w:bookmarkEnd w:id="1157"/>
    </w:p>
    <w:p w:rsidR="00023FE7" w:rsidRPr="000A1C8E" w:rsidRDefault="00023FE7">
      <w:pPr>
        <w:pStyle w:val="EndnoteText"/>
        <w:rPr>
          <w:rFonts w:ascii="Tahoma" w:hAnsi="Tahoma" w:cs="Tahoma"/>
        </w:rPr>
      </w:pPr>
    </w:p>
    <w:p w:rsidR="003C75C8" w:rsidRPr="000A1C8E" w:rsidRDefault="003C75C8" w:rsidP="003C75C8">
      <w:pPr>
        <w:pStyle w:val="EndnoteText"/>
        <w:rPr>
          <w:rFonts w:ascii="Tahoma" w:hAnsi="Tahoma" w:cs="Tahoma"/>
        </w:rPr>
      </w:pPr>
      <w:bookmarkStart w:id="1158" w:name="Srv_25BingMapsandAddons"/>
    </w:p>
    <w:p w:rsidR="004640EC" w:rsidRPr="000A1C8E" w:rsidRDefault="00A560B6" w:rsidP="00EF5E27">
      <w:pPr>
        <w:pStyle w:val="Heading2"/>
        <w:ind w:left="245" w:hanging="245"/>
        <w:rPr>
          <w:rFonts w:ascii="Tahoma" w:hAnsi="Tahoma" w:cs="Tahoma"/>
        </w:rPr>
      </w:pPr>
      <w:bookmarkStart w:id="1159" w:name="_34_Bing_Maps"/>
      <w:bookmarkStart w:id="1160" w:name="_35_Complemento_de"/>
      <w:bookmarkStart w:id="1161" w:name="Srv_27BingMapsSvrandContentPack"/>
      <w:bookmarkStart w:id="1162" w:name="_Toc336338288"/>
      <w:bookmarkStart w:id="1163" w:name="_Toc361829378"/>
      <w:bookmarkEnd w:id="1159"/>
      <w:bookmarkEnd w:id="1160"/>
      <w:r w:rsidRPr="000A1C8E">
        <w:rPr>
          <w:rFonts w:ascii="Tahoma" w:hAnsi="Tahoma" w:cs="Tahoma"/>
          <w:caps/>
          <w:color w:val="EE6000"/>
          <w:sz w:val="22"/>
          <w:vertAlign w:val="superscript"/>
        </w:rPr>
        <w:t>35</w:t>
      </w:r>
      <w:r w:rsidRPr="000A1C8E">
        <w:rPr>
          <w:rFonts w:ascii="Tahoma" w:hAnsi="Tahoma" w:cs="Tahoma"/>
          <w:color w:val="EE6000"/>
          <w:sz w:val="22"/>
        </w:rPr>
        <w:t xml:space="preserve"> Complemento de Uso do Site Público dos Bing Maps e SL Complementar de Uso do Site Interno do Bing Maps</w:t>
      </w:r>
      <w:bookmarkEnd w:id="1161"/>
      <w:bookmarkEnd w:id="1162"/>
      <w:bookmarkEnd w:id="1163"/>
    </w:p>
    <w:p w:rsidR="004668D9" w:rsidRPr="000A1C8E" w:rsidRDefault="004668D9" w:rsidP="004640EC">
      <w:pPr>
        <w:pStyle w:val="NormalWeb"/>
        <w:spacing w:before="0" w:beforeAutospacing="0" w:after="0" w:afterAutospacing="0"/>
        <w:ind w:left="720"/>
        <w:rPr>
          <w:rFonts w:ascii="Tahoma" w:hAnsi="Tahoma" w:cs="Tahoma"/>
        </w:rPr>
      </w:pPr>
    </w:p>
    <w:p w:rsidR="004640EC" w:rsidRPr="000A1C8E" w:rsidRDefault="004640EC" w:rsidP="004640EC">
      <w:pPr>
        <w:pStyle w:val="NormalWeb"/>
        <w:spacing w:before="0" w:beforeAutospacing="0" w:after="0" w:afterAutospacing="0"/>
        <w:ind w:left="720"/>
        <w:rPr>
          <w:rFonts w:ascii="Tahoma" w:hAnsi="Tahoma" w:cs="Tahoma"/>
        </w:rPr>
      </w:pPr>
      <w:r w:rsidRPr="000A1C8E">
        <w:rPr>
          <w:rFonts w:ascii="Tahoma" w:hAnsi="Tahoma" w:cs="Tahoma"/>
          <w:sz w:val="18"/>
          <w:szCs w:val="18"/>
        </w:rPr>
        <w:t>Cada oferta de SL Complementar de Uso de Site Público do Bing Maps e SL Complementar de Uso de Site Interno do Bing Maps é composta de uma variedade de Transações Faturáveis (definidas neste documento).</w:t>
      </w:r>
      <w:r w:rsidR="00DC6D8B" w:rsidRPr="000A1C8E">
        <w:rPr>
          <w:rFonts w:ascii="Tahoma" w:hAnsi="Tahoma" w:cs="Tahoma"/>
          <w:sz w:val="18"/>
          <w:szCs w:val="18"/>
        </w:rPr>
        <w:t xml:space="preserve"> </w:t>
      </w:r>
      <w:r w:rsidRPr="000A1C8E">
        <w:rPr>
          <w:rFonts w:ascii="Tahoma" w:hAnsi="Tahoma" w:cs="Tahoma"/>
          <w:sz w:val="18"/>
          <w:szCs w:val="18"/>
        </w:rPr>
        <w:t xml:space="preserve">“Transações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rsidR="004640EC" w:rsidRPr="000A1C8E" w:rsidRDefault="004640EC" w:rsidP="004640EC">
      <w:pPr>
        <w:ind w:left="720"/>
        <w:rPr>
          <w:rFonts w:cs="Tahoma"/>
        </w:rPr>
      </w:pPr>
    </w:p>
    <w:p w:rsidR="004640EC" w:rsidRPr="000A1C8E" w:rsidRDefault="004640EC" w:rsidP="003E231B">
      <w:pPr>
        <w:ind w:left="720"/>
        <w:rPr>
          <w:rFonts w:cs="Tahoma"/>
          <w:spacing w:val="-2"/>
        </w:rPr>
      </w:pPr>
      <w:r w:rsidRPr="000A1C8E">
        <w:rPr>
          <w:rFonts w:cs="Tahoma"/>
          <w:spacing w:val="-2"/>
          <w:szCs w:val="18"/>
        </w:rPr>
        <w:t>Os Clientes podem comprar várias ofertas de SLs Complementares de Uso de Site Público do Bing Maps e SLs Complementares de Uso de Site Interno do Bing Maps para comprar Transações mais Faturáveis por mês, com exceção da SL Complementar Ilimitada do Bing Maps que só pode ser comprada uma vez.</w:t>
      </w:r>
      <w:r w:rsidR="00DC6D8B" w:rsidRPr="000A1C8E">
        <w:rPr>
          <w:rFonts w:cs="Tahoma"/>
          <w:spacing w:val="-2"/>
          <w:szCs w:val="18"/>
        </w:rPr>
        <w:t xml:space="preserve"> </w:t>
      </w:r>
      <w:r w:rsidRPr="000A1C8E">
        <w:rPr>
          <w:rFonts w:cs="Tahoma"/>
          <w:spacing w:val="-2"/>
          <w:szCs w:val="18"/>
        </w:rPr>
        <w:t>As Transações Faturáveis mensais não utilizadas poderão ser transferidas mensalmente até a data do término do registro.</w:t>
      </w:r>
      <w:r w:rsidR="00DC6D8B" w:rsidRPr="000A1C8E">
        <w:rPr>
          <w:rFonts w:cs="Tahoma"/>
          <w:spacing w:val="-2"/>
          <w:szCs w:val="18"/>
        </w:rPr>
        <w:t xml:space="preserve"> </w:t>
      </w:r>
      <w:r w:rsidRPr="000A1C8E">
        <w:rPr>
          <w:rFonts w:cs="Tahoma"/>
          <w:spacing w:val="-2"/>
          <w:szCs w:val="18"/>
        </w:rPr>
        <w:t>Na</w:t>
      </w:r>
      <w:r w:rsidR="003E231B" w:rsidRPr="000A1C8E">
        <w:rPr>
          <w:rFonts w:cs="Tahoma"/>
          <w:spacing w:val="-2"/>
          <w:szCs w:val="18"/>
        </w:rPr>
        <w:t> </w:t>
      </w:r>
      <w:r w:rsidRPr="000A1C8E">
        <w:rPr>
          <w:rFonts w:cs="Tahoma"/>
          <w:spacing w:val="-2"/>
          <w:szCs w:val="18"/>
        </w:rPr>
        <w:t>data do término do registro, todas as Transações Faturáveis não utilizadas compradas serão perdidas. Os Clientes poderão exceder o número de Transações Faturáveis compradas em um mês, contanto que o número total de Transações Faturáveis usadas não exceda o número total de Transações Faturáveis compradas depois do prazo do registro.</w:t>
      </w:r>
      <w:r w:rsidR="00DC6D8B" w:rsidRPr="000A1C8E">
        <w:rPr>
          <w:rFonts w:cs="Tahoma"/>
          <w:spacing w:val="-2"/>
          <w:szCs w:val="18"/>
        </w:rPr>
        <w:t xml:space="preserve"> </w:t>
      </w:r>
      <w:r w:rsidRPr="000A1C8E">
        <w:rPr>
          <w:rFonts w:cs="Tahoma"/>
          <w:spacing w:val="-2"/>
          <w:szCs w:val="18"/>
        </w:rPr>
        <w:t>Se um cliente exceder o número total de Transações Faturáveis compradas, em 30 dias do envio da notificação da Microsoft, o cliente deverá comprar ofertas adicionais de SL Complementar de Uso</w:t>
      </w:r>
      <w:r w:rsidR="003E231B" w:rsidRPr="000A1C8E">
        <w:rPr>
          <w:rFonts w:cs="Tahoma"/>
          <w:spacing w:val="-2"/>
          <w:szCs w:val="18"/>
        </w:rPr>
        <w:t> </w:t>
      </w:r>
      <w:r w:rsidRPr="000A1C8E">
        <w:rPr>
          <w:rFonts w:cs="Tahoma"/>
          <w:spacing w:val="-2"/>
          <w:szCs w:val="18"/>
        </w:rPr>
        <w:t>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4640EC" w:rsidRPr="000A1C8E" w:rsidRDefault="004640EC" w:rsidP="004640EC">
      <w:pPr>
        <w:ind w:left="720"/>
        <w:rPr>
          <w:rFonts w:cs="Tahoma"/>
        </w:rPr>
      </w:pPr>
    </w:p>
    <w:p w:rsidR="004640EC" w:rsidRPr="000A1C8E" w:rsidRDefault="004640EC" w:rsidP="004640EC">
      <w:pPr>
        <w:spacing w:after="60"/>
        <w:ind w:left="720"/>
        <w:rPr>
          <w:rFonts w:cs="Tahoma"/>
        </w:rPr>
      </w:pPr>
      <w:r w:rsidRPr="000A1C8E">
        <w:rPr>
          <w:rFonts w:cs="Tahoma"/>
          <w:b/>
          <w:color w:val="000000" w:themeColor="text1"/>
          <w:szCs w:val="18"/>
        </w:rPr>
        <w:t>SL Complementar Ilimitada do Bing Maps</w:t>
      </w:r>
    </w:p>
    <w:p w:rsidR="004640EC" w:rsidRPr="000A1C8E" w:rsidRDefault="004640EC" w:rsidP="004640EC">
      <w:pPr>
        <w:pStyle w:val="NormalWeb"/>
        <w:spacing w:before="0" w:beforeAutospacing="0" w:after="0" w:afterAutospacing="0"/>
        <w:ind w:left="720"/>
        <w:rPr>
          <w:rFonts w:ascii="Tahoma" w:hAnsi="Tahoma" w:cs="Tahoma"/>
        </w:rPr>
      </w:pPr>
      <w:r w:rsidRPr="000A1C8E">
        <w:rPr>
          <w:rFonts w:ascii="Tahoma" w:hAnsi="Tahoma" w:cs="Tahoma"/>
          <w:sz w:val="18"/>
          <w:szCs w:val="18"/>
        </w:rPr>
        <w:t>A oferta de SL Complementar Ilimitada do Bing Maps tem uma cobertura de uso de 400 milhões de Transações Faturáveis por ano.</w:t>
      </w:r>
      <w:r w:rsidR="00DC6D8B" w:rsidRPr="000A1C8E">
        <w:rPr>
          <w:rFonts w:ascii="Tahoma" w:hAnsi="Tahoma" w:cs="Tahoma"/>
          <w:sz w:val="18"/>
          <w:szCs w:val="18"/>
        </w:rPr>
        <w:t xml:space="preserve"> </w:t>
      </w:r>
      <w:r w:rsidRPr="000A1C8E">
        <w:rPr>
          <w:rFonts w:ascii="Tahoma" w:hAnsi="Tahoma" w:cs="Tahoma"/>
          <w:sz w:val="18"/>
          <w:szCs w:val="18"/>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4640EC" w:rsidRPr="000A1C8E" w:rsidRDefault="004640EC" w:rsidP="004640EC">
      <w:pPr>
        <w:pStyle w:val="NormalWeb"/>
        <w:spacing w:before="0" w:beforeAutospacing="0" w:after="0" w:afterAutospacing="0"/>
        <w:ind w:left="720"/>
        <w:rPr>
          <w:rFonts w:ascii="Tahoma" w:hAnsi="Tahoma" w:cs="Tahoma"/>
        </w:rPr>
      </w:pPr>
    </w:p>
    <w:p w:rsidR="004640EC" w:rsidRPr="000A1C8E" w:rsidRDefault="004640EC" w:rsidP="004640EC">
      <w:pPr>
        <w:spacing w:after="60"/>
        <w:ind w:left="720"/>
        <w:rPr>
          <w:rFonts w:cs="Tahoma"/>
        </w:rPr>
      </w:pPr>
      <w:r w:rsidRPr="000A1C8E">
        <w:rPr>
          <w:rFonts w:cs="Tahoma"/>
          <w:b/>
          <w:color w:val="000000" w:themeColor="text1"/>
          <w:szCs w:val="18"/>
        </w:rPr>
        <w:t>Suporte ao Cliente do Bing Maps</w:t>
      </w:r>
    </w:p>
    <w:p w:rsidR="004640EC" w:rsidRPr="000A1C8E" w:rsidRDefault="004640EC" w:rsidP="004640EC">
      <w:pPr>
        <w:pStyle w:val="NormalWeb"/>
        <w:spacing w:before="0" w:beforeAutospacing="0" w:after="0" w:afterAutospacing="0"/>
        <w:ind w:left="720"/>
        <w:rPr>
          <w:rFonts w:ascii="Tahoma" w:hAnsi="Tahoma" w:cs="Tahoma"/>
        </w:rPr>
      </w:pPr>
      <w:r w:rsidRPr="000A1C8E">
        <w:rPr>
          <w:rFonts w:ascii="Tahoma" w:hAnsi="Tahoma" w:cs="Tahoma"/>
          <w:sz w:val="18"/>
          <w:szCs w:val="18"/>
        </w:rPr>
        <w:t>O Suporte ao Cliente do Bing Maps está disponível para todos os clientes que comprem o Bing Maps da seguinte forma.</w:t>
      </w:r>
    </w:p>
    <w:p w:rsidR="004640EC" w:rsidRPr="000A1C8E" w:rsidRDefault="004640EC" w:rsidP="004640EC">
      <w:pPr>
        <w:pStyle w:val="NormalWeb"/>
        <w:spacing w:before="0" w:beforeAutospacing="0" w:after="0" w:afterAutospacing="0"/>
        <w:ind w:left="720"/>
        <w:rPr>
          <w:rFonts w:ascii="Tahoma" w:hAnsi="Tahoma" w:cs="Tahoma"/>
        </w:rPr>
      </w:pPr>
    </w:p>
    <w:p w:rsidR="004640EC" w:rsidRPr="000A1C8E" w:rsidRDefault="004640EC" w:rsidP="004640EC">
      <w:pPr>
        <w:spacing w:after="60"/>
        <w:ind w:left="720"/>
        <w:rPr>
          <w:rFonts w:cs="Tahoma"/>
        </w:rPr>
      </w:pPr>
      <w:r w:rsidRPr="000A1C8E">
        <w:rPr>
          <w:rFonts w:cs="Tahoma"/>
          <w:b/>
          <w:bCs/>
          <w:color w:val="000000"/>
          <w:szCs w:val="18"/>
        </w:rPr>
        <w:t>O Suporte ao Cliente do Bing Maps Inclui:</w:t>
      </w:r>
    </w:p>
    <w:p w:rsidR="004640EC" w:rsidRPr="000A1C8E" w:rsidRDefault="004640EC" w:rsidP="006B21CE">
      <w:pPr>
        <w:ind w:left="720"/>
        <w:rPr>
          <w:rFonts w:cs="Tahoma"/>
        </w:rPr>
      </w:pPr>
      <w:r w:rsidRPr="000A1C8E">
        <w:rPr>
          <w:rFonts w:cs="Tahoma"/>
          <w:color w:val="000000"/>
          <w:szCs w:val="18"/>
        </w:rPr>
        <w:t>Acesso direto à Equipe de Suporte Técnico do Bing Maps por email, telefone e Web durante o horário comercial, das 8 às 2 da manhã GMT, de segunda a sexta-feira, exceto em feriados públicos americanos.</w:t>
      </w:r>
      <w:r w:rsidR="00DC6D8B" w:rsidRPr="000A1C8E">
        <w:rPr>
          <w:rFonts w:cs="Tahoma"/>
          <w:color w:val="000000"/>
          <w:szCs w:val="18"/>
        </w:rPr>
        <w:t xml:space="preserve"> </w:t>
      </w:r>
      <w:r w:rsidRPr="000A1C8E">
        <w:rPr>
          <w:rFonts w:cs="Tahoma"/>
          <w:color w:val="000000"/>
          <w:szCs w:val="18"/>
        </w:rPr>
        <w:t>O</w:t>
      </w:r>
      <w:r w:rsidR="003E231B" w:rsidRPr="000A1C8E">
        <w:rPr>
          <w:rFonts w:cs="Tahoma"/>
          <w:color w:val="000000"/>
          <w:szCs w:val="18"/>
        </w:rPr>
        <w:t> </w:t>
      </w:r>
      <w:r w:rsidRPr="000A1C8E">
        <w:rPr>
          <w:rFonts w:cs="Tahoma"/>
          <w:color w:val="000000"/>
          <w:szCs w:val="18"/>
        </w:rPr>
        <w:t xml:space="preserve">cliente também horas nas quais não é fornecido acesso de emergência (das 2 às 8 da manhã GMT) à Equipe de Suporte para problemas relacionados a serviços de emergência (apenas pelo número de </w:t>
      </w:r>
      <w:r w:rsidR="006B21CE">
        <w:rPr>
          <w:rFonts w:cs="Tahoma"/>
          <w:color w:val="000000"/>
          <w:szCs w:val="18"/>
        </w:rPr>
        <w:t>telephone </w:t>
      </w:r>
      <w:r w:rsidRPr="000A1C8E">
        <w:rPr>
          <w:rFonts w:cs="Tahoma"/>
          <w:color w:val="000000"/>
          <w:szCs w:val="18"/>
        </w:rPr>
        <w:t>fornecido abaixo).</w:t>
      </w:r>
      <w:r w:rsidR="00DC6D8B" w:rsidRPr="000A1C8E">
        <w:rPr>
          <w:rFonts w:cs="Tahoma"/>
          <w:color w:val="000000"/>
          <w:szCs w:val="18"/>
        </w:rPr>
        <w:t xml:space="preserve"> </w:t>
      </w:r>
      <w:r w:rsidRPr="000A1C8E">
        <w:rPr>
          <w:rFonts w:cs="Tahoma"/>
          <w:color w:val="000000"/>
          <w:szCs w:val="18"/>
        </w:rPr>
        <w:t>Todos os outros problemas relacionados durante as horas sem acesso serão adiados para horas comerciais normais.</w:t>
      </w:r>
      <w:r w:rsidR="00DC6D8B" w:rsidRPr="000A1C8E">
        <w:rPr>
          <w:rFonts w:cs="Tahoma"/>
          <w:color w:val="000000"/>
          <w:szCs w:val="18"/>
        </w:rPr>
        <w:t xml:space="preserve"> </w:t>
      </w:r>
      <w:r w:rsidRPr="000A1C8E">
        <w:rPr>
          <w:rFonts w:cs="Tahoma"/>
          <w:color w:val="000000"/>
          <w:szCs w:val="18"/>
        </w:rPr>
        <w:t>A Equipe de Suporte pode ser contatada pelos seguintes métodos ou sucessores deste:</w:t>
      </w:r>
    </w:p>
    <w:p w:rsidR="004640EC" w:rsidRPr="000A1C8E" w:rsidRDefault="004640EC" w:rsidP="004640EC">
      <w:pPr>
        <w:ind w:left="720"/>
        <w:rPr>
          <w:rFonts w:cs="Tahoma"/>
        </w:rPr>
      </w:pPr>
    </w:p>
    <w:p w:rsidR="003E231B" w:rsidRPr="000A1C8E" w:rsidRDefault="003E231B" w:rsidP="004640EC">
      <w:pPr>
        <w:ind w:left="720"/>
        <w:rPr>
          <w:rFonts w:cs="Tahoma"/>
        </w:rPr>
      </w:pPr>
    </w:p>
    <w:p w:rsidR="003E231B" w:rsidRPr="000A1C8E" w:rsidRDefault="003E231B" w:rsidP="004640EC">
      <w:pPr>
        <w:ind w:left="720"/>
        <w:rPr>
          <w:rFonts w:cs="Tahoma"/>
        </w:rPr>
      </w:pPr>
    </w:p>
    <w:p w:rsidR="003E231B" w:rsidRPr="000A1C8E" w:rsidRDefault="003E231B" w:rsidP="004640EC">
      <w:pPr>
        <w:ind w:left="720"/>
        <w:rPr>
          <w:rFonts w:cs="Tahoma"/>
        </w:rPr>
      </w:pPr>
    </w:p>
    <w:p w:rsidR="004640EC" w:rsidRPr="000A1C8E" w:rsidRDefault="004640EC" w:rsidP="004640EC">
      <w:pPr>
        <w:ind w:left="720"/>
        <w:rPr>
          <w:rFonts w:cs="Tahoma"/>
        </w:rPr>
      </w:pPr>
      <w:r w:rsidRPr="000A1C8E">
        <w:rPr>
          <w:rFonts w:cs="Tahoma"/>
          <w:color w:val="000000"/>
          <w:szCs w:val="18"/>
        </w:rPr>
        <w:lastRenderedPageBreak/>
        <w:t>Email:</w:t>
      </w:r>
    </w:p>
    <w:p w:rsidR="004640EC" w:rsidRPr="000A1C8E" w:rsidRDefault="006C57E7" w:rsidP="004640EC">
      <w:pPr>
        <w:ind w:left="720"/>
        <w:rPr>
          <w:rFonts w:cs="Tahoma"/>
        </w:rPr>
      </w:pPr>
      <w:hyperlink r:id="rId48" w:history="1">
        <w:r w:rsidR="003D47E7" w:rsidRPr="000A1C8E">
          <w:rPr>
            <w:rStyle w:val="Hyperlink"/>
            <w:rFonts w:cs="Tahoma"/>
            <w:szCs w:val="18"/>
          </w:rPr>
          <w:t>bmesupp@microsoft.com</w:t>
        </w:r>
      </w:hyperlink>
    </w:p>
    <w:p w:rsidR="004640EC" w:rsidRPr="000A1C8E" w:rsidRDefault="004640EC" w:rsidP="004640EC">
      <w:pPr>
        <w:ind w:left="720"/>
        <w:rPr>
          <w:rFonts w:cs="Tahoma"/>
        </w:rPr>
      </w:pPr>
    </w:p>
    <w:p w:rsidR="004640EC" w:rsidRPr="000A1C8E" w:rsidRDefault="004640EC" w:rsidP="004640EC">
      <w:pPr>
        <w:ind w:left="720"/>
        <w:rPr>
          <w:rFonts w:cs="Tahoma"/>
        </w:rPr>
      </w:pPr>
      <w:r w:rsidRPr="000A1C8E">
        <w:rPr>
          <w:rFonts w:cs="Tahoma"/>
          <w:color w:val="000000"/>
          <w:szCs w:val="18"/>
        </w:rPr>
        <w:t>Telefone:</w:t>
      </w:r>
    </w:p>
    <w:p w:rsidR="004640EC" w:rsidRPr="000A1C8E" w:rsidRDefault="004640EC" w:rsidP="004640EC">
      <w:pPr>
        <w:ind w:left="720"/>
        <w:rPr>
          <w:rFonts w:cs="Tahoma"/>
        </w:rPr>
      </w:pPr>
      <w:r w:rsidRPr="000A1C8E">
        <w:rPr>
          <w:rFonts w:cs="Tahoma"/>
          <w:color w:val="000000"/>
          <w:szCs w:val="18"/>
        </w:rPr>
        <w:t>+1 (800) 552-8872 (se estiver nos Estados Unidos e Canadá)</w:t>
      </w:r>
    </w:p>
    <w:p w:rsidR="004640EC" w:rsidRPr="000A1C8E" w:rsidRDefault="004640EC" w:rsidP="004640EC">
      <w:pPr>
        <w:ind w:left="720"/>
        <w:rPr>
          <w:rFonts w:cs="Tahoma"/>
        </w:rPr>
      </w:pPr>
      <w:r w:rsidRPr="000A1C8E">
        <w:rPr>
          <w:rFonts w:cs="Tahoma"/>
          <w:color w:val="000000"/>
          <w:szCs w:val="18"/>
        </w:rPr>
        <w:t>+1 (425) 705-2737 (se estiver fora dos Estados Unidos e Canadá)</w:t>
      </w:r>
    </w:p>
    <w:p w:rsidR="004640EC" w:rsidRPr="000A1C8E" w:rsidRDefault="004640EC" w:rsidP="004640EC">
      <w:pPr>
        <w:ind w:left="720"/>
        <w:rPr>
          <w:rFonts w:cs="Tahoma"/>
        </w:rPr>
      </w:pPr>
    </w:p>
    <w:p w:rsidR="004640EC" w:rsidRPr="000A1C8E" w:rsidRDefault="004640EC" w:rsidP="004640EC">
      <w:pPr>
        <w:ind w:left="720"/>
        <w:rPr>
          <w:rFonts w:cs="Tahoma"/>
        </w:rPr>
      </w:pPr>
      <w:r w:rsidRPr="000A1C8E">
        <w:rPr>
          <w:rFonts w:cs="Tahoma"/>
          <w:color w:val="000000"/>
          <w:szCs w:val="18"/>
        </w:rPr>
        <w:t>Formulário da Web</w:t>
      </w:r>
    </w:p>
    <w:p w:rsidR="004640EC" w:rsidRPr="000A1C8E" w:rsidRDefault="006C57E7" w:rsidP="004640EC">
      <w:pPr>
        <w:ind w:left="720"/>
        <w:rPr>
          <w:rFonts w:cs="Tahoma"/>
        </w:rPr>
      </w:pPr>
      <w:hyperlink r:id="rId49" w:history="1">
        <w:r w:rsidR="003D47E7" w:rsidRPr="000A1C8E">
          <w:rPr>
            <w:rStyle w:val="Hyperlink"/>
            <w:rFonts w:cs="Tahoma"/>
            <w:szCs w:val="18"/>
          </w:rPr>
          <w:t>https://support.microsoft.com/oas/default.aspx?prid=13766&amp;st=1</w:t>
        </w:r>
      </w:hyperlink>
    </w:p>
    <w:p w:rsidR="004640EC" w:rsidRPr="000A1C8E" w:rsidRDefault="004640EC" w:rsidP="004640EC">
      <w:pPr>
        <w:ind w:left="720"/>
        <w:rPr>
          <w:rFonts w:cs="Tahoma"/>
        </w:rPr>
      </w:pPr>
    </w:p>
    <w:p w:rsidR="004640EC" w:rsidRPr="000A1C8E" w:rsidRDefault="004640EC" w:rsidP="004640EC">
      <w:pPr>
        <w:ind w:left="720"/>
        <w:rPr>
          <w:rFonts w:cs="Tahoma"/>
        </w:rPr>
      </w:pPr>
      <w:r w:rsidRPr="000A1C8E">
        <w:rPr>
          <w:rFonts w:cs="Tahoma"/>
          <w:b/>
          <w:bCs/>
          <w:color w:val="000000"/>
          <w:szCs w:val="18"/>
        </w:rPr>
        <w:t>Prioridade</w:t>
      </w:r>
      <w:r w:rsidRPr="000A1C8E">
        <w:rPr>
          <w:rFonts w:cs="Tahoma"/>
          <w:color w:val="000000"/>
          <w:szCs w:val="18"/>
        </w:rPr>
        <w:t>.</w:t>
      </w:r>
      <w:r w:rsidR="00DC6D8B" w:rsidRPr="000A1C8E">
        <w:rPr>
          <w:rFonts w:cs="Tahoma"/>
          <w:color w:val="000000"/>
          <w:szCs w:val="18"/>
        </w:rPr>
        <w:t xml:space="preserve"> </w:t>
      </w:r>
      <w:r w:rsidRPr="000A1C8E">
        <w:rPr>
          <w:rFonts w:cs="Tahoma"/>
          <w:color w:val="000000"/>
          <w:szCs w:val="18"/>
        </w:rPr>
        <w:t>Todas as solicitações de suporte ao cliente do Bing Maps para a Equipe de Suporte serão designadas como Gravidade Nível A, B, C ou D, conforme descrito nos gráficos de Níveis de Gravidade e Meta do Tempo de Resposta abaixo.</w:t>
      </w:r>
      <w:r w:rsidR="00DC6D8B" w:rsidRPr="000A1C8E">
        <w:rPr>
          <w:rFonts w:cs="Tahoma"/>
          <w:color w:val="000000"/>
          <w:szCs w:val="18"/>
        </w:rPr>
        <w:t xml:space="preserve"> </w:t>
      </w:r>
      <w:r w:rsidRPr="000A1C8E">
        <w:rPr>
          <w:rFonts w:cs="Tahoma"/>
          <w:color w:val="000000"/>
          <w:szCs w:val="18"/>
        </w:rPr>
        <w:t>Um Engenheiro de Suporte responderá de acordo com os Tempos-alvo de Resposta indicados no gráfico abaixo.</w:t>
      </w:r>
      <w:r w:rsidR="00DC6D8B" w:rsidRPr="000A1C8E">
        <w:rPr>
          <w:rFonts w:cs="Tahoma"/>
          <w:color w:val="000000"/>
          <w:szCs w:val="18"/>
        </w:rPr>
        <w:t xml:space="preserve"> </w:t>
      </w:r>
      <w:r w:rsidRPr="000A1C8E">
        <w:rPr>
          <w:rFonts w:cs="Tahoma"/>
          <w:color w:val="000000"/>
          <w:szCs w:val="18"/>
        </w:rPr>
        <w:t>O Engenheiro de Suporte determinará a designação do nível de gravidade final de acordo com a Descrição dos Problemas de Serviço do gráfico abaixo.</w:t>
      </w:r>
    </w:p>
    <w:p w:rsidR="004640EC" w:rsidRPr="000A1C8E" w:rsidRDefault="004640EC" w:rsidP="004640EC">
      <w:pPr>
        <w:ind w:left="720"/>
        <w:rPr>
          <w:rFonts w:cs="Tahoma"/>
        </w:rPr>
      </w:pPr>
      <w:r w:rsidRPr="000A1C8E">
        <w:rPr>
          <w:rFonts w:cs="Tahoma"/>
          <w:b/>
          <w:bCs/>
          <w:color w:val="000000"/>
          <w:szCs w:val="18"/>
        </w:rPr>
        <w:t xml:space="preserve">Níveis de Gravidade de Horário Comercial Normal e Meta do Tempo de Resposta: </w:t>
      </w:r>
    </w:p>
    <w:p w:rsidR="004640EC" w:rsidRPr="000A1C8E" w:rsidRDefault="004640EC" w:rsidP="004640EC">
      <w:pPr>
        <w:ind w:left="720"/>
        <w:rPr>
          <w:rFonts w:cs="Tahoma"/>
        </w:rPr>
      </w:pPr>
    </w:p>
    <w:p w:rsidR="004640EC" w:rsidRPr="000A1C8E"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0A1C8E"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b/>
                <w:bCs/>
                <w:color w:val="000000"/>
                <w:szCs w:val="18"/>
              </w:rPr>
              <w:t>Nível de Gravidade do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A1C8E" w:rsidRDefault="004640EC" w:rsidP="00552221">
            <w:pPr>
              <w:rPr>
                <w:rFonts w:cs="Tahoma"/>
                <w:color w:val="000000"/>
                <w:szCs w:val="18"/>
              </w:rPr>
            </w:pPr>
            <w:r w:rsidRPr="000A1C8E">
              <w:rPr>
                <w:rFonts w:cs="Tahoma"/>
                <w:b/>
                <w:bCs/>
                <w:color w:val="000000"/>
                <w:szCs w:val="18"/>
              </w:rPr>
              <w:t>Meta do Tempo de</w:t>
            </w:r>
            <w:r w:rsidR="00552221">
              <w:rPr>
                <w:rFonts w:cs="Tahoma"/>
                <w:b/>
                <w:bCs/>
                <w:color w:val="000000"/>
                <w:szCs w:val="18"/>
              </w:rPr>
              <w:t> </w:t>
            </w:r>
            <w:r w:rsidRPr="000A1C8E">
              <w:rPr>
                <w:rFonts w:cs="Tahoma"/>
                <w:b/>
                <w:bCs/>
                <w:color w:val="000000"/>
                <w:szCs w:val="18"/>
              </w:rPr>
              <w:t>Resposta</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b/>
                <w:bCs/>
                <w:color w:val="000000"/>
                <w:szCs w:val="18"/>
              </w:rPr>
              <w:t>Descrição dos Problemas de Serviço</w:t>
            </w:r>
          </w:p>
        </w:tc>
      </w:tr>
      <w:tr w:rsidR="004640EC" w:rsidRPr="000A1C8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Gravidade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1 Hora Comercial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O cliente está relatando uma paralisação dos Serviços ou outro problema crítico nos aplicativos de produção.</w:t>
            </w:r>
          </w:p>
        </w:tc>
      </w:tr>
      <w:tr w:rsidR="004640EC" w:rsidRPr="000A1C8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Gravidade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4 Horas Comerciais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O cliente está relatando um problema importante que está causando um problema significativo nos aplicativos de produção.</w:t>
            </w:r>
          </w:p>
        </w:tc>
      </w:tr>
      <w:tr w:rsidR="004640EC" w:rsidRPr="000A1C8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Gravidade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1 Dia Útil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O cliente está relatando problemas não críticos (como problemas em produtos ou de desenvolvimento em geral, etc.).</w:t>
            </w:r>
          </w:p>
        </w:tc>
      </w:tr>
      <w:tr w:rsidR="004640EC" w:rsidRPr="000A1C8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Gravidade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3 Dias Úteis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O cliente está fornecendo feedback sobre um problema de mapeamento, instruções de direção ou código geográfico.</w:t>
            </w:r>
          </w:p>
        </w:tc>
      </w:tr>
    </w:tbl>
    <w:p w:rsidR="004640EC" w:rsidRPr="000A1C8E" w:rsidRDefault="004640EC" w:rsidP="004640EC">
      <w:pPr>
        <w:ind w:left="720"/>
        <w:rPr>
          <w:rFonts w:cs="Tahoma"/>
        </w:rPr>
      </w:pPr>
    </w:p>
    <w:p w:rsidR="004640EC" w:rsidRPr="000A1C8E" w:rsidRDefault="004640EC" w:rsidP="004640EC">
      <w:pPr>
        <w:ind w:left="720"/>
        <w:rPr>
          <w:rFonts w:cs="Tahoma"/>
        </w:rPr>
      </w:pPr>
      <w:r w:rsidRPr="000A1C8E">
        <w:rPr>
          <w:rFonts w:cs="Tahoma"/>
          <w:b/>
          <w:bCs/>
          <w:color w:val="000000"/>
          <w:szCs w:val="18"/>
        </w:rPr>
        <w:t xml:space="preserve">Entre em Contato com as Informações por 24 horas por dia, 7 dias por semana, com o Suporte de Emergência de Paralisação de Clientes: </w:t>
      </w:r>
    </w:p>
    <w:p w:rsidR="004640EC" w:rsidRPr="000A1C8E" w:rsidRDefault="004640EC" w:rsidP="004640EC">
      <w:pPr>
        <w:ind w:left="720"/>
        <w:rPr>
          <w:rFonts w:cs="Tahoma"/>
        </w:rPr>
      </w:pPr>
    </w:p>
    <w:p w:rsidR="004640EC" w:rsidRPr="000A1C8E" w:rsidRDefault="004640EC" w:rsidP="004640EC">
      <w:pPr>
        <w:ind w:left="720"/>
        <w:rPr>
          <w:rFonts w:cs="Tahoma"/>
        </w:rPr>
      </w:pPr>
      <w:r w:rsidRPr="000A1C8E">
        <w:rPr>
          <w:rFonts w:cs="Tahoma"/>
          <w:szCs w:val="18"/>
        </w:rPr>
        <w:t>Telefone:</w:t>
      </w:r>
    </w:p>
    <w:p w:rsidR="004640EC" w:rsidRPr="000A1C8E" w:rsidRDefault="004640EC" w:rsidP="004640EC">
      <w:pPr>
        <w:ind w:left="720"/>
        <w:rPr>
          <w:rFonts w:cs="Tahoma"/>
        </w:rPr>
      </w:pPr>
      <w:r w:rsidRPr="000A1C8E">
        <w:rPr>
          <w:rFonts w:cs="Tahoma"/>
          <w:color w:val="000000"/>
          <w:szCs w:val="18"/>
        </w:rPr>
        <w:t xml:space="preserve">+1 (800) 552-8872 (se estiver nos Estados Unidos e Canadá) </w:t>
      </w:r>
    </w:p>
    <w:p w:rsidR="004640EC" w:rsidRPr="000A1C8E" w:rsidRDefault="004640EC" w:rsidP="004640EC">
      <w:pPr>
        <w:ind w:left="720"/>
        <w:rPr>
          <w:rFonts w:cs="Tahoma"/>
        </w:rPr>
      </w:pPr>
      <w:r w:rsidRPr="000A1C8E">
        <w:rPr>
          <w:rFonts w:cs="Tahoma"/>
          <w:color w:val="000000"/>
          <w:szCs w:val="18"/>
        </w:rPr>
        <w:t xml:space="preserve">+1 (425) 705-2737 (se estiver fora dos Estados Unidos e Canadá) </w:t>
      </w:r>
    </w:p>
    <w:p w:rsidR="004640EC" w:rsidRPr="000A1C8E" w:rsidRDefault="004640EC" w:rsidP="004640EC">
      <w:pPr>
        <w:ind w:left="720"/>
        <w:rPr>
          <w:rFonts w:cs="Tahoma"/>
        </w:rPr>
      </w:pPr>
    </w:p>
    <w:p w:rsidR="004640EC" w:rsidRPr="000A1C8E" w:rsidRDefault="004640EC" w:rsidP="003E231B">
      <w:pPr>
        <w:ind w:left="720"/>
        <w:rPr>
          <w:rFonts w:cs="Tahoma"/>
        </w:rPr>
      </w:pPr>
      <w:r w:rsidRPr="000A1C8E">
        <w:rPr>
          <w:rFonts w:cs="Tahoma"/>
          <w:color w:val="000000"/>
          <w:szCs w:val="18"/>
        </w:rPr>
        <w:t>Notificação Importante: o suporte de emergência de 24 horas por dia, 7 dias por semana, só está disponível</w:t>
      </w:r>
      <w:r w:rsidR="003E231B" w:rsidRPr="000A1C8E">
        <w:rPr>
          <w:rFonts w:cs="Tahoma"/>
          <w:color w:val="000000"/>
          <w:szCs w:val="18"/>
        </w:rPr>
        <w:t> </w:t>
      </w:r>
      <w:r w:rsidRPr="000A1C8E">
        <w:rPr>
          <w:rFonts w:cs="Tahoma"/>
          <w:color w:val="000000"/>
          <w:szCs w:val="18"/>
        </w:rPr>
        <w:t>para problemas que se enquadrem no Nível A de Gravidade (uma paralisação de Serviços ou degradação de Serviços que afetam os aplicativos de produção do Cliente). A Microsoft responderá a todos os problemas de horas sem acesso que não se enquadrem no Nível A de Gravidade no próximo dia útil, com base na Meta de Tempo de Resposta destacada acima. Além disso, note que os problemas enviados por email (</w:t>
      </w:r>
      <w:hyperlink r:id="rId50" w:history="1">
        <w:r w:rsidRPr="000A1C8E">
          <w:rPr>
            <w:rStyle w:val="Hyperlink"/>
            <w:rFonts w:cs="Tahoma"/>
            <w:szCs w:val="18"/>
          </w:rPr>
          <w:t>bmesupp@microsoft.com</w:t>
        </w:r>
      </w:hyperlink>
      <w:r w:rsidRPr="000A1C8E">
        <w:rPr>
          <w:rFonts w:cs="Tahoma"/>
          <w:color w:val="000000"/>
          <w:szCs w:val="18"/>
        </w:rPr>
        <w:t xml:space="preserve">) ou Formulário da Web não são monitorados fora das horas comerciais normais da Equipe de Suporte ao Cliente do Bing Maps. </w:t>
      </w:r>
    </w:p>
    <w:p w:rsidR="004640EC" w:rsidRPr="000A1C8E" w:rsidRDefault="004640EC" w:rsidP="004640EC">
      <w:pPr>
        <w:ind w:left="720"/>
        <w:rPr>
          <w:rFonts w:cs="Tahoma"/>
        </w:rPr>
      </w:pPr>
    </w:p>
    <w:p w:rsidR="004640EC" w:rsidRPr="000A1C8E" w:rsidRDefault="004640EC" w:rsidP="004640EC">
      <w:pPr>
        <w:ind w:left="720"/>
        <w:rPr>
          <w:rFonts w:cs="Tahoma"/>
        </w:rPr>
      </w:pPr>
      <w:r w:rsidRPr="000A1C8E">
        <w:rPr>
          <w:rFonts w:cs="Tahoma"/>
          <w:b/>
          <w:bCs/>
          <w:color w:val="000000"/>
          <w:szCs w:val="18"/>
        </w:rPr>
        <w:t>Níveis de Gravidade de Horário de Emergência sem Acesso e Meta do Tempo de Resposta:</w:t>
      </w:r>
    </w:p>
    <w:p w:rsidR="004640EC" w:rsidRPr="000A1C8E"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0A1C8E"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b/>
                <w:bCs/>
                <w:color w:val="000000"/>
                <w:szCs w:val="18"/>
              </w:rPr>
              <w:t>Nível de Gravidade do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b/>
                <w:bCs/>
                <w:color w:val="000000"/>
                <w:szCs w:val="18"/>
              </w:rPr>
              <w:t>Meta do Tempo de Resposta</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b/>
                <w:bCs/>
                <w:color w:val="000000"/>
                <w:szCs w:val="18"/>
              </w:rPr>
              <w:t>Descrição dos Problemas de Serviço</w:t>
            </w:r>
          </w:p>
        </w:tc>
      </w:tr>
      <w:tr w:rsidR="004640EC" w:rsidRPr="000A1C8E"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Gravidade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1 Hora Comercial</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A1C8E" w:rsidRDefault="004640EC" w:rsidP="00136585">
            <w:pPr>
              <w:rPr>
                <w:rFonts w:cs="Tahoma"/>
                <w:color w:val="000000"/>
                <w:szCs w:val="18"/>
              </w:rPr>
            </w:pPr>
            <w:r w:rsidRPr="000A1C8E">
              <w:rPr>
                <w:rFonts w:cs="Tahoma"/>
                <w:color w:val="000000"/>
                <w:szCs w:val="18"/>
              </w:rPr>
              <w:t>O cliente está relatando uma paralisação dos Serviços ou outro problema crítico nos aplicativos de produção.</w:t>
            </w:r>
          </w:p>
        </w:tc>
      </w:tr>
    </w:tbl>
    <w:p w:rsidR="004640EC" w:rsidRPr="000A1C8E" w:rsidRDefault="004640EC" w:rsidP="004640EC">
      <w:pPr>
        <w:ind w:left="720"/>
        <w:rPr>
          <w:rFonts w:cs="Tahoma"/>
        </w:rPr>
      </w:pPr>
    </w:p>
    <w:p w:rsidR="00466E9E" w:rsidRPr="000A1C8E" w:rsidRDefault="00466E9E" w:rsidP="004640EC">
      <w:pPr>
        <w:ind w:left="720"/>
        <w:rPr>
          <w:rFonts w:cs="Tahoma"/>
        </w:rPr>
      </w:pPr>
    </w:p>
    <w:p w:rsidR="00466E9E" w:rsidRPr="000A1C8E" w:rsidRDefault="00466E9E" w:rsidP="004640EC">
      <w:pPr>
        <w:ind w:left="720"/>
        <w:rPr>
          <w:rFonts w:cs="Tahoma"/>
        </w:rPr>
      </w:pPr>
    </w:p>
    <w:p w:rsidR="00466E9E" w:rsidRPr="000A1C8E" w:rsidRDefault="00466E9E" w:rsidP="004640EC">
      <w:pPr>
        <w:ind w:left="720"/>
        <w:rPr>
          <w:rFonts w:cs="Tahoma"/>
        </w:rPr>
      </w:pPr>
    </w:p>
    <w:bookmarkEnd w:id="1158"/>
    <w:p w:rsidR="00AD481C" w:rsidRPr="000A1C8E" w:rsidRDefault="00AD481C" w:rsidP="00AD481C">
      <w:pPr>
        <w:ind w:left="720"/>
        <w:rPr>
          <w:rFonts w:cs="Tahoma"/>
        </w:rPr>
      </w:pPr>
      <w:r w:rsidRPr="000A1C8E">
        <w:rPr>
          <w:rFonts w:cs="Tahoma"/>
          <w:b/>
          <w:bCs/>
          <w:color w:val="000000"/>
          <w:szCs w:val="18"/>
        </w:rPr>
        <w:lastRenderedPageBreak/>
        <w:t>Como acessar o Serviço Bing Maps:</w:t>
      </w:r>
    </w:p>
    <w:p w:rsidR="00AD481C" w:rsidRPr="000A1C8E" w:rsidRDefault="00AD481C" w:rsidP="00AD481C">
      <w:pPr>
        <w:ind w:left="720"/>
        <w:rPr>
          <w:rFonts w:cs="Tahoma"/>
        </w:rPr>
      </w:pPr>
    </w:p>
    <w:p w:rsidR="00AD481C" w:rsidRPr="000A1C8E" w:rsidRDefault="00AD481C" w:rsidP="00AD481C">
      <w:pPr>
        <w:ind w:left="720"/>
        <w:rPr>
          <w:rFonts w:cs="Tahoma"/>
        </w:rPr>
      </w:pPr>
      <w:r w:rsidRPr="000A1C8E">
        <w:rPr>
          <w:rFonts w:cs="Tahoma"/>
          <w:color w:val="000000"/>
          <w:szCs w:val="18"/>
        </w:rPr>
        <w:t xml:space="preserve">O serviço Bing Maps pode ser provisionado no Centro de Contas do Bing Maps: </w:t>
      </w:r>
      <w:hyperlink r:id="rId51" w:history="1">
        <w:r w:rsidRPr="000A1C8E">
          <w:rPr>
            <w:rFonts w:cs="Tahoma"/>
            <w:color w:val="000000"/>
            <w:szCs w:val="18"/>
          </w:rPr>
          <w:t>https://www.bingmapsportal.com/</w:t>
        </w:r>
      </w:hyperlink>
      <w:r w:rsidRPr="000A1C8E">
        <w:rPr>
          <w:rFonts w:cs="Tahoma"/>
          <w:color w:val="000000"/>
          <w:szCs w:val="18"/>
        </w:rPr>
        <w:t>.</w:t>
      </w:r>
    </w:p>
    <w:p w:rsidR="00AD481C" w:rsidRPr="00552221" w:rsidRDefault="00AD481C" w:rsidP="00AD481C">
      <w:pPr>
        <w:pStyle w:val="EndnoteText"/>
        <w:ind w:left="0"/>
        <w:rPr>
          <w:rFonts w:ascii="Tahoma" w:hAnsi="Tahoma" w:cs="Tahoma"/>
          <w:sz w:val="18"/>
          <w:szCs w:val="18"/>
        </w:rPr>
      </w:pPr>
    </w:p>
    <w:p w:rsidR="00AD481C" w:rsidRPr="00552221" w:rsidRDefault="00AD481C" w:rsidP="00466E9E">
      <w:pPr>
        <w:pStyle w:val="NormalWeb"/>
        <w:spacing w:before="0" w:beforeAutospacing="0" w:after="0" w:afterAutospacing="0"/>
        <w:ind w:left="720"/>
        <w:rPr>
          <w:rFonts w:ascii="Tahoma" w:hAnsi="Tahoma" w:cs="Tahoma"/>
          <w:sz w:val="18"/>
          <w:szCs w:val="18"/>
        </w:rPr>
      </w:pPr>
      <w:r w:rsidRPr="00552221">
        <w:rPr>
          <w:rFonts w:ascii="Tahoma" w:hAnsi="Tahoma" w:cs="Tahoma"/>
          <w:sz w:val="18"/>
          <w:szCs w:val="18"/>
        </w:rPr>
        <w:t>Você deve criar uma ID de Conta separada para cada oferta, bem como os cenários nos quais a oferta é</w:t>
      </w:r>
      <w:r w:rsidR="00466E9E" w:rsidRPr="00552221">
        <w:rPr>
          <w:rFonts w:ascii="Tahoma" w:hAnsi="Tahoma" w:cs="Tahoma"/>
          <w:sz w:val="18"/>
          <w:szCs w:val="18"/>
        </w:rPr>
        <w:t> </w:t>
      </w:r>
      <w:r w:rsidRPr="00552221">
        <w:rPr>
          <w:rFonts w:ascii="Tahoma" w:hAnsi="Tahoma" w:cs="Tahoma"/>
          <w:sz w:val="18"/>
          <w:szCs w:val="18"/>
        </w:rPr>
        <w:t>a</w:t>
      </w:r>
      <w:r w:rsidR="00466E9E" w:rsidRPr="00552221">
        <w:rPr>
          <w:rFonts w:ascii="Tahoma" w:hAnsi="Tahoma" w:cs="Tahoma"/>
          <w:sz w:val="18"/>
          <w:szCs w:val="18"/>
        </w:rPr>
        <w:t> </w:t>
      </w:r>
      <w:r w:rsidRPr="00552221">
        <w:rPr>
          <w:rFonts w:ascii="Tahoma" w:hAnsi="Tahoma" w:cs="Tahoma"/>
          <w:sz w:val="18"/>
          <w:szCs w:val="18"/>
        </w:rPr>
        <w:t xml:space="preserve">mesma, mas com períodos de cobertura diferentes. </w:t>
      </w:r>
    </w:p>
    <w:p w:rsidR="00AD481C" w:rsidRPr="00552221" w:rsidRDefault="00AD481C" w:rsidP="00AD481C">
      <w:pPr>
        <w:pStyle w:val="NormalWeb"/>
        <w:spacing w:before="0" w:beforeAutospacing="0" w:after="0" w:afterAutospacing="0"/>
        <w:ind w:left="720"/>
        <w:rPr>
          <w:rFonts w:ascii="Tahoma" w:hAnsi="Tahoma" w:cs="Tahoma"/>
          <w:sz w:val="18"/>
          <w:szCs w:val="18"/>
        </w:rPr>
      </w:pPr>
    </w:p>
    <w:p w:rsidR="00AD481C" w:rsidRPr="000A1C8E" w:rsidRDefault="00AD481C" w:rsidP="003C3A72">
      <w:pPr>
        <w:numPr>
          <w:ilvl w:val="0"/>
          <w:numId w:val="53"/>
        </w:numPr>
        <w:spacing w:after="60"/>
        <w:ind w:left="1440"/>
        <w:rPr>
          <w:rFonts w:cs="Tahoma"/>
        </w:rPr>
      </w:pPr>
      <w:r w:rsidRPr="000A1C8E">
        <w:rPr>
          <w:rFonts w:eastAsia="Calibri" w:cs="Tahoma"/>
          <w:b/>
          <w:color w:val="000000"/>
          <w:szCs w:val="18"/>
        </w:rPr>
        <w:t xml:space="preserve">Cenário 1: </w:t>
      </w:r>
      <w:r w:rsidRPr="000A1C8E">
        <w:rPr>
          <w:rFonts w:eastAsia="Calibri" w:cs="Tahoma"/>
          <w:color w:val="000000"/>
          <w:szCs w:val="18"/>
        </w:rPr>
        <w:t>Você solicitou o Bing Maps Known Users sob um registro com cobertura coextensiva. Isso só exige uma ID de Conta do Bing Maps.</w:t>
      </w:r>
    </w:p>
    <w:p w:rsidR="00AD481C" w:rsidRPr="000A1C8E" w:rsidRDefault="00AD481C" w:rsidP="003C3A72">
      <w:pPr>
        <w:numPr>
          <w:ilvl w:val="0"/>
          <w:numId w:val="53"/>
        </w:numPr>
        <w:spacing w:after="60"/>
        <w:ind w:left="1440"/>
        <w:rPr>
          <w:rFonts w:cs="Tahoma"/>
        </w:rPr>
      </w:pPr>
      <w:r w:rsidRPr="000A1C8E">
        <w:rPr>
          <w:rFonts w:eastAsia="Calibri" w:cs="Tahoma"/>
          <w:b/>
          <w:color w:val="000000"/>
          <w:szCs w:val="18"/>
        </w:rPr>
        <w:t xml:space="preserve">Cenário 2: </w:t>
      </w:r>
      <w:r w:rsidRPr="000A1C8E">
        <w:rPr>
          <w:rFonts w:eastAsia="Calibri" w:cs="Tahoma"/>
          <w:color w:val="000000"/>
          <w:szCs w:val="18"/>
        </w:rPr>
        <w:t xml:space="preserve">Você solicitou o Gerenciamento de Ativos Móveis do Bing Maps sob um registro com períodos de cobertura diferentes (um para 12 meses e o outro para 36 meses). Isso exigiria duas IDs de Conta do Bing Maps; uma para cada oferta de produto com o período de cobertura único. </w:t>
      </w:r>
    </w:p>
    <w:p w:rsidR="00AD481C" w:rsidRPr="000A1C8E" w:rsidRDefault="00AD481C" w:rsidP="003C3A72">
      <w:pPr>
        <w:numPr>
          <w:ilvl w:val="0"/>
          <w:numId w:val="53"/>
        </w:numPr>
        <w:spacing w:after="60"/>
        <w:ind w:left="1440"/>
        <w:rPr>
          <w:rFonts w:cs="Tahoma"/>
        </w:rPr>
      </w:pPr>
      <w:r w:rsidRPr="000A1C8E">
        <w:rPr>
          <w:rFonts w:eastAsia="Calibri" w:cs="Tahoma"/>
          <w:b/>
          <w:color w:val="000000"/>
          <w:szCs w:val="18"/>
        </w:rPr>
        <w:t xml:space="preserve">Cenário 3: </w:t>
      </w:r>
      <w:r w:rsidRPr="000A1C8E">
        <w:rPr>
          <w:rFonts w:eastAsia="Calibri" w:cs="Tahoma"/>
          <w:color w:val="000000"/>
          <w:szCs w:val="18"/>
        </w:rPr>
        <w:t>Você solicitou o Gerenciamento de Ativos Móveis do Bing Maps e Bing Maps Light Known User sob o mesmo registro com cobertura coextensiva. Isso exigiria duas IDs de Conta do Bing Maps para cobrir cada oferta (uma para o Gerenciamento de Ativos Móveis e uma para o Light Known User).</w:t>
      </w:r>
      <w:r w:rsidRPr="000A1C8E">
        <w:rPr>
          <w:rFonts w:eastAsia="Calibri" w:cs="Tahoma"/>
          <w:b/>
          <w:color w:val="000000"/>
          <w:szCs w:val="18"/>
        </w:rPr>
        <w:t xml:space="preserve"> </w:t>
      </w:r>
    </w:p>
    <w:p w:rsidR="00E03856" w:rsidRPr="00552221" w:rsidRDefault="00E03856" w:rsidP="00676723">
      <w:pPr>
        <w:pStyle w:val="EndnoteText"/>
        <w:ind w:left="0"/>
        <w:rPr>
          <w:rFonts w:ascii="Tahoma" w:hAnsi="Tahoma" w:cs="Tahoma"/>
          <w:sz w:val="18"/>
          <w:szCs w:val="18"/>
        </w:rPr>
      </w:pPr>
    </w:p>
    <w:p w:rsidR="00552221" w:rsidRPr="00552221" w:rsidRDefault="00552221" w:rsidP="00676723">
      <w:pPr>
        <w:pStyle w:val="EndnoteText"/>
        <w:ind w:left="0"/>
        <w:rPr>
          <w:rFonts w:ascii="Tahoma" w:hAnsi="Tahoma" w:cs="Tahoma"/>
          <w:sz w:val="18"/>
          <w:szCs w:val="18"/>
        </w:rPr>
      </w:pPr>
    </w:p>
    <w:p w:rsidR="008233B3" w:rsidRPr="000A1C8E" w:rsidRDefault="00A560B6" w:rsidP="008233B3">
      <w:pPr>
        <w:pStyle w:val="Heading3"/>
        <w:rPr>
          <w:rFonts w:ascii="Tahoma" w:hAnsi="Tahoma" w:cs="Tahoma"/>
        </w:rPr>
      </w:pPr>
      <w:bookmarkStart w:id="1164" w:name="_29_BizTalk®_Server"/>
      <w:bookmarkStart w:id="1165" w:name="_32_BizTalk_Server®"/>
      <w:bookmarkStart w:id="1166" w:name="_35_BizTalk_Server®"/>
      <w:bookmarkStart w:id="1167" w:name="_Toc361829379"/>
      <w:bookmarkEnd w:id="1164"/>
      <w:bookmarkEnd w:id="1165"/>
      <w:bookmarkEnd w:id="1166"/>
      <w:r w:rsidRPr="000A1C8E">
        <w:rPr>
          <w:rFonts w:ascii="Tahoma" w:hAnsi="Tahoma" w:cs="Tahoma"/>
          <w:caps/>
          <w:color w:val="F66400"/>
          <w:sz w:val="22"/>
          <w:vertAlign w:val="superscript"/>
        </w:rPr>
        <w:t xml:space="preserve">36 </w:t>
      </w:r>
      <w:r w:rsidRPr="000A1C8E">
        <w:rPr>
          <w:rFonts w:ascii="Tahoma" w:hAnsi="Tahoma" w:cs="Tahoma"/>
          <w:color w:val="F66400"/>
          <w:sz w:val="22"/>
        </w:rPr>
        <w:t>BizTalk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2013 Branch</w:t>
      </w:r>
      <w:bookmarkEnd w:id="1167"/>
    </w:p>
    <w:p w:rsidR="008233B3" w:rsidRPr="000A1C8E" w:rsidRDefault="008233B3" w:rsidP="008233B3">
      <w:pPr>
        <w:rPr>
          <w:rFonts w:cs="Tahoma"/>
        </w:rPr>
      </w:pPr>
    </w:p>
    <w:p w:rsidR="008233B3" w:rsidRPr="000A1C8E" w:rsidRDefault="008233B3" w:rsidP="008233B3">
      <w:pPr>
        <w:spacing w:after="60"/>
        <w:ind w:left="720"/>
        <w:rPr>
          <w:rFonts w:cs="Tahoma"/>
        </w:rPr>
      </w:pPr>
      <w:r w:rsidRPr="000A1C8E">
        <w:rPr>
          <w:rFonts w:eastAsia="Calibri" w:cs="Tahoma"/>
          <w:b/>
          <w:color w:val="000000"/>
          <w:szCs w:val="18"/>
        </w:rPr>
        <w:t>Outorgas de Licença Associadas à Alteração no Modelo de Licenciamento</w:t>
      </w:r>
    </w:p>
    <w:p w:rsidR="008233B3" w:rsidRPr="000A1C8E" w:rsidRDefault="008233B3" w:rsidP="008233B3">
      <w:pPr>
        <w:ind w:left="720"/>
        <w:rPr>
          <w:rFonts w:cs="Tahoma"/>
        </w:rPr>
      </w:pPr>
      <w:r w:rsidRPr="000A1C8E">
        <w:rPr>
          <w:rFonts w:eastAsia="Calibri" w:cs="Tahoma"/>
          <w:color w:val="000000"/>
          <w:szCs w:val="18"/>
        </w:rPr>
        <w:t>O BizTalk Server 2010 será a última versão do BizTalk Server licenciada sob o modelo de licenciamento por processador.</w:t>
      </w:r>
      <w:r w:rsidR="00DC6D8B" w:rsidRPr="000A1C8E">
        <w:rPr>
          <w:rFonts w:eastAsia="Calibri" w:cs="Tahoma"/>
          <w:color w:val="000000"/>
          <w:szCs w:val="18"/>
        </w:rPr>
        <w:t xml:space="preserve"> </w:t>
      </w:r>
      <w:r w:rsidRPr="000A1C8E">
        <w:rPr>
          <w:rFonts w:eastAsia="Calibri" w:cs="Tahoma"/>
          <w:color w:val="000000"/>
          <w:szCs w:val="18"/>
        </w:rPr>
        <w:t xml:space="preserve">Como uma exceção, aos clientes de Licenciamento por Volume com Software Assurance ativo para licenças do processador do BizTalk Server 2010 Branch a partir da publicação desta Lista de Produtos (“licenças qualificadas”) são concedidas as seguintes opções. </w:t>
      </w:r>
    </w:p>
    <w:p w:rsidR="008233B3" w:rsidRPr="000A1C8E" w:rsidRDefault="008233B3" w:rsidP="008233B3">
      <w:pPr>
        <w:ind w:left="720"/>
        <w:rPr>
          <w:rFonts w:cs="Tahoma"/>
        </w:rPr>
      </w:pPr>
    </w:p>
    <w:p w:rsidR="008233B3" w:rsidRPr="000A1C8E" w:rsidRDefault="008233B3" w:rsidP="008233B3">
      <w:pPr>
        <w:spacing w:after="60"/>
        <w:ind w:left="720"/>
        <w:rPr>
          <w:rFonts w:cs="Tahoma"/>
        </w:rPr>
      </w:pPr>
      <w:r w:rsidRPr="000A1C8E">
        <w:rPr>
          <w:rFonts w:eastAsia="Calibri" w:cs="Tahoma"/>
          <w:b/>
          <w:color w:val="000000"/>
          <w:szCs w:val="18"/>
        </w:rPr>
        <w:t>Prazo Atual</w:t>
      </w:r>
    </w:p>
    <w:p w:rsidR="008233B3" w:rsidRPr="000A1C8E" w:rsidRDefault="008233B3" w:rsidP="008233B3">
      <w:pPr>
        <w:ind w:left="720"/>
        <w:rPr>
          <w:rFonts w:cs="Tahoma"/>
        </w:rPr>
      </w:pPr>
      <w:r w:rsidRPr="000A1C8E">
        <w:rPr>
          <w:rFonts w:eastAsia="Calibri" w:cs="Tahoma"/>
          <w:color w:val="000000"/>
          <w:szCs w:val="18"/>
        </w:rPr>
        <w:t xml:space="preserve">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 </w:t>
      </w:r>
    </w:p>
    <w:p w:rsidR="00D57009" w:rsidRPr="000A1C8E" w:rsidRDefault="00D57009">
      <w:pPr>
        <w:rPr>
          <w:rFonts w:cs="Tahoma"/>
        </w:rPr>
      </w:pPr>
    </w:p>
    <w:p w:rsidR="008233B3" w:rsidRPr="000A1C8E" w:rsidRDefault="008233B3" w:rsidP="008233B3">
      <w:pPr>
        <w:spacing w:after="60"/>
        <w:ind w:left="720"/>
        <w:rPr>
          <w:rFonts w:cs="Tahoma"/>
        </w:rPr>
      </w:pPr>
      <w:r w:rsidRPr="000A1C8E">
        <w:rPr>
          <w:rFonts w:eastAsia="Calibri" w:cs="Tahoma"/>
          <w:b/>
          <w:color w:val="000000"/>
          <w:szCs w:val="18"/>
        </w:rPr>
        <w:t>Primeiro Prazo de Renovação</w:t>
      </w:r>
    </w:p>
    <w:p w:rsidR="008233B3" w:rsidRPr="000A1C8E" w:rsidRDefault="008233B3" w:rsidP="008233B3">
      <w:pPr>
        <w:tabs>
          <w:tab w:val="left" w:pos="1800"/>
        </w:tabs>
        <w:spacing w:after="60"/>
        <w:ind w:left="720"/>
        <w:rPr>
          <w:rFonts w:cs="Tahoma"/>
        </w:rPr>
      </w:pPr>
      <w:r w:rsidRPr="000A1C8E">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rsidR="008233B3" w:rsidRPr="000A1C8E" w:rsidRDefault="008233B3" w:rsidP="00346F4B">
      <w:pPr>
        <w:numPr>
          <w:ilvl w:val="3"/>
          <w:numId w:val="93"/>
        </w:numPr>
        <w:tabs>
          <w:tab w:val="left" w:pos="2160"/>
        </w:tabs>
        <w:spacing w:after="60"/>
        <w:ind w:left="2160"/>
        <w:rPr>
          <w:rFonts w:cs="Tahoma"/>
        </w:rPr>
      </w:pPr>
      <w:r w:rsidRPr="000A1C8E">
        <w:rPr>
          <w:rFonts w:eastAsia="Calibri" w:cs="Tahoma"/>
          <w:color w:val="000000"/>
          <w:szCs w:val="18"/>
        </w:rPr>
        <w:t>Quatro OU</w:t>
      </w:r>
    </w:p>
    <w:p w:rsidR="008233B3" w:rsidRPr="000A1C8E" w:rsidRDefault="008233B3" w:rsidP="00E50BD1">
      <w:pPr>
        <w:numPr>
          <w:ilvl w:val="3"/>
          <w:numId w:val="93"/>
        </w:numPr>
        <w:tabs>
          <w:tab w:val="left" w:pos="2160"/>
        </w:tabs>
        <w:spacing w:after="60"/>
        <w:ind w:left="2160"/>
        <w:rPr>
          <w:rFonts w:cs="Tahoma"/>
        </w:rPr>
      </w:pPr>
      <w:r w:rsidRPr="000A1C8E">
        <w:rPr>
          <w:rFonts w:eastAsia="Calibri" w:cs="Tahoma"/>
          <w:color w:val="000000"/>
          <w:szCs w:val="18"/>
        </w:rPr>
        <w:t>o número real de núcleos por processador físico multiplicado pelo fator do núcleo apropriado.</w:t>
      </w:r>
      <w:r w:rsidR="00DC6D8B" w:rsidRPr="000A1C8E">
        <w:rPr>
          <w:rFonts w:eastAsia="Calibri" w:cs="Tahoma"/>
          <w:color w:val="000000"/>
          <w:szCs w:val="18"/>
        </w:rPr>
        <w:t xml:space="preserve"> </w:t>
      </w:r>
      <w:r w:rsidRPr="000A1C8E">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w:t>
      </w:r>
      <w:r w:rsidR="00E50BD1">
        <w:rPr>
          <w:rFonts w:eastAsia="Calibri" w:cs="Tahoma"/>
          <w:color w:val="000000"/>
          <w:szCs w:val="18"/>
        </w:rPr>
        <w:t>(</w:t>
      </w:r>
      <w:r w:rsidRPr="000A1C8E">
        <w:rPr>
          <w:rFonts w:eastAsia="Calibri" w:cs="Tahoma"/>
          <w:color w:val="000000"/>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0A1C8E" w:rsidRDefault="008233B3" w:rsidP="008233B3">
      <w:pPr>
        <w:tabs>
          <w:tab w:val="left" w:pos="1800"/>
        </w:tabs>
        <w:ind w:left="1080"/>
        <w:rPr>
          <w:rFonts w:cs="Tahoma"/>
        </w:rPr>
      </w:pPr>
    </w:p>
    <w:p w:rsidR="008233B3" w:rsidRPr="000A1C8E" w:rsidRDefault="008233B3" w:rsidP="008233B3">
      <w:pPr>
        <w:spacing w:after="60"/>
        <w:ind w:left="720"/>
        <w:rPr>
          <w:rFonts w:cs="Tahoma"/>
        </w:rPr>
      </w:pPr>
      <w:r w:rsidRPr="000A1C8E">
        <w:rPr>
          <w:rFonts w:eastAsia="Calibri" w:cs="Tahoma"/>
          <w:color w:val="000000"/>
          <w:szCs w:val="18"/>
        </w:rPr>
        <w:t xml:space="preserve">As licenças do processador dos clientes não são mais válidas na aquisição do Software Assurance para as licenças principais sob esta oferta. </w:t>
      </w:r>
      <w:r w:rsidRPr="000A1C8E">
        <w:rPr>
          <w:rFonts w:eastAsia="Calibri" w:cs="Tahoma"/>
          <w:szCs w:val="18"/>
        </w:rPr>
        <w:t>A opção de adquirir o Software Assurance para licenças principais do BizTalk Server não é aplicável à renovação de cobertura sob os programas de assinatura.</w:t>
      </w:r>
      <w:r w:rsidR="00DC6D8B" w:rsidRPr="000A1C8E">
        <w:rPr>
          <w:rFonts w:eastAsia="Calibri" w:cs="Tahoma"/>
          <w:szCs w:val="18"/>
        </w:rPr>
        <w:t xml:space="preserve"> </w:t>
      </w:r>
    </w:p>
    <w:p w:rsidR="008233B3" w:rsidRPr="000A1C8E" w:rsidRDefault="008233B3" w:rsidP="008233B3">
      <w:pPr>
        <w:ind w:left="1440"/>
        <w:rPr>
          <w:rFonts w:cs="Tahoma"/>
        </w:rPr>
      </w:pPr>
    </w:p>
    <w:p w:rsidR="00466E9E" w:rsidRPr="000A1C8E" w:rsidRDefault="00466E9E" w:rsidP="008233B3">
      <w:pPr>
        <w:ind w:left="1440"/>
        <w:rPr>
          <w:rFonts w:cs="Tahoma"/>
        </w:rPr>
      </w:pPr>
    </w:p>
    <w:p w:rsidR="00466E9E" w:rsidRPr="000A1C8E" w:rsidRDefault="00466E9E" w:rsidP="008233B3">
      <w:pPr>
        <w:ind w:left="1440"/>
        <w:rPr>
          <w:rFonts w:cs="Tahoma"/>
        </w:rPr>
      </w:pPr>
    </w:p>
    <w:p w:rsidR="00466E9E" w:rsidRPr="000A1C8E" w:rsidRDefault="00466E9E" w:rsidP="008233B3">
      <w:pPr>
        <w:ind w:left="1440"/>
        <w:rPr>
          <w:rFonts w:cs="Tahoma"/>
        </w:rPr>
      </w:pPr>
    </w:p>
    <w:p w:rsidR="00466E9E" w:rsidRPr="000A1C8E" w:rsidRDefault="00466E9E" w:rsidP="008233B3">
      <w:pPr>
        <w:ind w:left="1440"/>
        <w:rPr>
          <w:rFonts w:cs="Tahoma"/>
        </w:rPr>
      </w:pPr>
    </w:p>
    <w:p w:rsidR="008233B3" w:rsidRPr="000A1C8E" w:rsidRDefault="008233B3" w:rsidP="008233B3">
      <w:pPr>
        <w:tabs>
          <w:tab w:val="left" w:pos="1440"/>
        </w:tabs>
        <w:spacing w:after="60"/>
        <w:ind w:left="720"/>
        <w:rPr>
          <w:rFonts w:cs="Tahoma"/>
        </w:rPr>
      </w:pPr>
      <w:r w:rsidRPr="000A1C8E">
        <w:rPr>
          <w:rFonts w:eastAsia="Calibri" w:cs="Tahoma"/>
          <w:b/>
          <w:color w:val="000000"/>
          <w:szCs w:val="18"/>
        </w:rPr>
        <w:lastRenderedPageBreak/>
        <w:t>Para os clientes com cobertura de Software Assurance que optaram pela não renovação</w:t>
      </w:r>
    </w:p>
    <w:p w:rsidR="008233B3" w:rsidRPr="000A1C8E" w:rsidRDefault="008233B3" w:rsidP="008233B3">
      <w:pPr>
        <w:tabs>
          <w:tab w:val="left" w:pos="1440"/>
        </w:tabs>
        <w:ind w:left="720"/>
        <w:rPr>
          <w:rFonts w:cs="Tahoma"/>
        </w:rPr>
      </w:pPr>
      <w:r w:rsidRPr="000A1C8E">
        <w:rPr>
          <w:rFonts w:cs="Tahoma"/>
        </w:rPr>
        <w:t xml:space="preserve">Os clientes </w:t>
      </w:r>
      <w:r w:rsidRPr="000A1C8E">
        <w:rPr>
          <w:rFonts w:eastAsia="Calibri" w:cs="Tahoma"/>
          <w:color w:val="000000"/>
          <w:szCs w:val="18"/>
        </w:rPr>
        <w:t xml:space="preserve">Enterprise Subscription </w:t>
      </w:r>
      <w:r w:rsidRPr="000A1C8E">
        <w:rPr>
          <w:rFonts w:cs="Tahoma"/>
          <w:bCs/>
          <w:color w:val="000000"/>
          <w:szCs w:val="18"/>
        </w:rPr>
        <w:t xml:space="preserve">e Open Value Subscription </w:t>
      </w:r>
      <w:r w:rsidRPr="000A1C8E">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rsidR="008233B3" w:rsidRPr="000A1C8E" w:rsidRDefault="008233B3" w:rsidP="008233B3">
      <w:pPr>
        <w:tabs>
          <w:tab w:val="left" w:pos="1440"/>
        </w:tabs>
        <w:ind w:left="720"/>
        <w:rPr>
          <w:rFonts w:cs="Tahoma"/>
        </w:rPr>
      </w:pPr>
    </w:p>
    <w:p w:rsidR="008233B3" w:rsidRPr="000A1C8E" w:rsidRDefault="008233B3" w:rsidP="00346F4B">
      <w:pPr>
        <w:numPr>
          <w:ilvl w:val="0"/>
          <w:numId w:val="53"/>
        </w:numPr>
        <w:spacing w:after="60"/>
        <w:ind w:left="1440"/>
        <w:rPr>
          <w:rFonts w:cs="Tahoma"/>
        </w:rPr>
      </w:pPr>
      <w:r w:rsidRPr="000A1C8E">
        <w:rPr>
          <w:rFonts w:eastAsia="Calibri" w:cs="Tahoma"/>
          <w:b/>
          <w:color w:val="000000"/>
          <w:szCs w:val="18"/>
        </w:rPr>
        <w:t>BizTalk Server 2010 Branch:</w:t>
      </w:r>
      <w:r w:rsidRPr="000A1C8E">
        <w:rPr>
          <w:rFonts w:eastAsia="Calibri" w:cs="Tahoma"/>
          <w:color w:val="000000"/>
          <w:szCs w:val="18"/>
        </w:rPr>
        <w:t xml:space="preserve"> O uso contínuo desta versão do software está sujeito aos direitos de uso do produto de licença do processador do BizTalk Server 2010 Branch; no entanto, os clientes não têm mais Mobilidade de Licenças por meio de Software Assurance.</w:t>
      </w:r>
    </w:p>
    <w:p w:rsidR="008233B3" w:rsidRPr="000A1C8E" w:rsidRDefault="00AF7294" w:rsidP="00346F4B">
      <w:pPr>
        <w:numPr>
          <w:ilvl w:val="0"/>
          <w:numId w:val="53"/>
        </w:numPr>
        <w:tabs>
          <w:tab w:val="left" w:pos="1800"/>
        </w:tabs>
        <w:spacing w:after="60"/>
        <w:ind w:left="1440"/>
        <w:rPr>
          <w:rFonts w:cs="Tahoma"/>
        </w:rPr>
      </w:pPr>
      <w:r w:rsidRPr="000A1C8E">
        <w:rPr>
          <w:rFonts w:eastAsia="Calibri" w:cs="Tahoma"/>
          <w:b/>
          <w:color w:val="000000"/>
          <w:szCs w:val="18"/>
        </w:rPr>
        <w:t xml:space="preserve">Última versão do BizTalk Server Branch: </w:t>
      </w:r>
      <w:r w:rsidRPr="000A1C8E">
        <w:rPr>
          <w:rFonts w:eastAsia="Calibri" w:cs="Tahoma"/>
          <w:color w:val="000000"/>
          <w:szCs w:val="18"/>
        </w:rPr>
        <w:t xml:space="preserve">O uso desta versão do software está sujeito aos direitos de uso do produto de licença do processador do BizTalk Server 2010 Branch, no entanto: </w:t>
      </w:r>
    </w:p>
    <w:p w:rsidR="008233B3" w:rsidRPr="000A1C8E" w:rsidRDefault="008233B3" w:rsidP="00346F4B">
      <w:pPr>
        <w:numPr>
          <w:ilvl w:val="1"/>
          <w:numId w:val="53"/>
        </w:numPr>
        <w:tabs>
          <w:tab w:val="left" w:pos="2160"/>
        </w:tabs>
        <w:spacing w:after="60"/>
        <w:ind w:left="2160"/>
        <w:rPr>
          <w:rFonts w:cs="Tahoma"/>
        </w:rPr>
      </w:pPr>
      <w:r w:rsidRPr="000A1C8E">
        <w:rPr>
          <w:rFonts w:eastAsia="Calibri" w:cs="Tahoma"/>
          <w:color w:val="000000"/>
          <w:szCs w:val="18"/>
        </w:rPr>
        <w:t xml:space="preserve">os clientes não têm mais Mobilidade de Licença nos Farms de Servidores nem Mobilidade de Licença por meio de Software Assurance e </w:t>
      </w:r>
    </w:p>
    <w:p w:rsidR="008233B3" w:rsidRPr="000A1C8E" w:rsidRDefault="008233B3" w:rsidP="00346F4B">
      <w:pPr>
        <w:numPr>
          <w:ilvl w:val="1"/>
          <w:numId w:val="53"/>
        </w:numPr>
        <w:tabs>
          <w:tab w:val="left" w:pos="2160"/>
          <w:tab w:val="left" w:pos="2970"/>
        </w:tabs>
        <w:spacing w:after="60"/>
        <w:ind w:left="2160"/>
        <w:rPr>
          <w:rFonts w:cs="Tahoma"/>
        </w:rPr>
      </w:pPr>
      <w:r w:rsidRPr="000A1C8E">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rsidR="008233B3" w:rsidRPr="000A1C8E" w:rsidRDefault="008233B3" w:rsidP="00346F4B">
      <w:pPr>
        <w:numPr>
          <w:ilvl w:val="2"/>
          <w:numId w:val="53"/>
        </w:numPr>
        <w:tabs>
          <w:tab w:val="left" w:pos="2520"/>
        </w:tabs>
        <w:spacing w:after="60"/>
        <w:ind w:left="2520"/>
        <w:rPr>
          <w:rFonts w:cs="Tahoma"/>
        </w:rPr>
      </w:pPr>
      <w:r w:rsidRPr="000A1C8E">
        <w:rPr>
          <w:rFonts w:eastAsia="Calibri" w:cs="Tahoma"/>
          <w:color w:val="000000"/>
          <w:szCs w:val="18"/>
        </w:rPr>
        <w:t xml:space="preserve">Para cada licença qualificada atribuída ao servidor, a equivalência de licença principal é maior do que: </w:t>
      </w:r>
    </w:p>
    <w:p w:rsidR="008233B3" w:rsidRPr="000A1C8E" w:rsidRDefault="008233B3" w:rsidP="00346F4B">
      <w:pPr>
        <w:numPr>
          <w:ilvl w:val="4"/>
          <w:numId w:val="126"/>
        </w:numPr>
        <w:tabs>
          <w:tab w:val="left" w:pos="2880"/>
        </w:tabs>
        <w:spacing w:after="60"/>
        <w:ind w:left="2880"/>
        <w:rPr>
          <w:rFonts w:cs="Tahoma"/>
        </w:rPr>
      </w:pPr>
      <w:r w:rsidRPr="000A1C8E">
        <w:rPr>
          <w:rFonts w:eastAsia="Calibri" w:cs="Tahoma"/>
          <w:color w:val="000000"/>
          <w:szCs w:val="18"/>
        </w:rPr>
        <w:t xml:space="preserve">quatro núcleos por licença de processador OU </w:t>
      </w:r>
    </w:p>
    <w:p w:rsidR="008233B3" w:rsidRPr="000A1C8E" w:rsidRDefault="008233B3" w:rsidP="00250AD6">
      <w:pPr>
        <w:numPr>
          <w:ilvl w:val="4"/>
          <w:numId w:val="126"/>
        </w:numPr>
        <w:tabs>
          <w:tab w:val="left" w:pos="2880"/>
        </w:tabs>
        <w:spacing w:after="60"/>
        <w:ind w:left="2880"/>
        <w:rPr>
          <w:rFonts w:cs="Tahoma"/>
        </w:rPr>
      </w:pPr>
      <w:r w:rsidRPr="000A1C8E">
        <w:rPr>
          <w:rFonts w:eastAsia="Calibri" w:cs="Tahoma"/>
          <w:color w:val="000000"/>
          <w:szCs w:val="18"/>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250AD6">
        <w:rPr>
          <w:rFonts w:eastAsia="Calibri" w:cs="Tahoma"/>
          <w:color w:val="000000"/>
          <w:szCs w:val="18"/>
        </w:rPr>
        <w:t>(</w:t>
      </w:r>
      <w:r w:rsidRPr="000A1C8E">
        <w:rPr>
          <w:rFonts w:eastAsia="Calibri" w:cs="Tahoma"/>
          <w:color w:val="000000"/>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0A1C8E" w:rsidRDefault="008233B3" w:rsidP="00346F4B">
      <w:pPr>
        <w:numPr>
          <w:ilvl w:val="1"/>
          <w:numId w:val="128"/>
        </w:numPr>
        <w:tabs>
          <w:tab w:val="left" w:pos="1800"/>
        </w:tabs>
        <w:spacing w:after="60"/>
        <w:rPr>
          <w:rFonts w:cs="Tahoma"/>
        </w:rPr>
      </w:pPr>
      <w:r w:rsidRPr="000A1C8E">
        <w:rPr>
          <w:rFonts w:eastAsia="Calibri" w:cs="Tahoma"/>
          <w:color w:val="000000"/>
          <w:szCs w:val="18"/>
        </w:rPr>
        <w:t xml:space="preserve">Os Clientes </w:t>
      </w:r>
      <w:r w:rsidRPr="000A1C8E">
        <w:rPr>
          <w:rFonts w:eastAsia="Calibri" w:cs="Tahoma"/>
          <w:szCs w:val="18"/>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8233B3" w:rsidRPr="000A1C8E" w:rsidRDefault="008233B3" w:rsidP="00346F4B">
      <w:pPr>
        <w:numPr>
          <w:ilvl w:val="1"/>
          <w:numId w:val="128"/>
        </w:numPr>
        <w:tabs>
          <w:tab w:val="left" w:pos="1800"/>
          <w:tab w:val="left" w:pos="2970"/>
        </w:tabs>
        <w:spacing w:after="60"/>
        <w:rPr>
          <w:rFonts w:cs="Tahoma"/>
        </w:rPr>
      </w:pPr>
      <w:r w:rsidRPr="000A1C8E">
        <w:rPr>
          <w:rFonts w:eastAsia="Calibri" w:cs="Tahoma"/>
          <w:color w:val="000000"/>
          <w:szCs w:val="18"/>
        </w:rPr>
        <w:t>A equivalência de licença principal dos clientes não implica que eles podem atribuir uma única licença de processador a núcleos por dois ou mais processadores.</w:t>
      </w:r>
    </w:p>
    <w:p w:rsidR="008233B3" w:rsidRPr="000A1C8E" w:rsidRDefault="008233B3" w:rsidP="00552221">
      <w:pPr>
        <w:rPr>
          <w:rFonts w:cs="Tahoma"/>
        </w:rPr>
      </w:pPr>
    </w:p>
    <w:p w:rsidR="008233B3" w:rsidRPr="000A1C8E" w:rsidRDefault="008233B3" w:rsidP="008233B3">
      <w:pPr>
        <w:rPr>
          <w:rFonts w:cs="Tahoma"/>
        </w:rPr>
      </w:pPr>
    </w:p>
    <w:p w:rsidR="008233B3" w:rsidRPr="000A1C8E" w:rsidRDefault="00A560B6" w:rsidP="008233B3">
      <w:pPr>
        <w:pStyle w:val="Heading3"/>
        <w:rPr>
          <w:rFonts w:ascii="Tahoma" w:hAnsi="Tahoma" w:cs="Tahoma"/>
        </w:rPr>
      </w:pPr>
      <w:bookmarkStart w:id="1168" w:name="_36_BizTalk_Server®"/>
      <w:bookmarkStart w:id="1169" w:name="_Toc361829380"/>
      <w:bookmarkStart w:id="1170" w:name="_Toc343596567"/>
      <w:bookmarkEnd w:id="1168"/>
      <w:r w:rsidRPr="000A1C8E">
        <w:rPr>
          <w:rFonts w:ascii="Tahoma" w:hAnsi="Tahoma" w:cs="Tahoma"/>
          <w:caps/>
          <w:color w:val="F66400"/>
          <w:sz w:val="22"/>
          <w:vertAlign w:val="superscript"/>
        </w:rPr>
        <w:t xml:space="preserve">37 </w:t>
      </w:r>
      <w:r w:rsidRPr="000A1C8E">
        <w:rPr>
          <w:rFonts w:ascii="Tahoma" w:hAnsi="Tahoma" w:cs="Tahoma"/>
          <w:color w:val="F66400"/>
          <w:sz w:val="22"/>
        </w:rPr>
        <w:t>BizTalk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2013 Enterprise</w:t>
      </w:r>
      <w:bookmarkEnd w:id="1169"/>
      <w:r w:rsidRPr="000A1C8E">
        <w:rPr>
          <w:rFonts w:ascii="Tahoma" w:hAnsi="Tahoma" w:cs="Tahoma"/>
          <w:color w:val="F66400"/>
          <w:sz w:val="22"/>
        </w:rPr>
        <w:t xml:space="preserve"> </w:t>
      </w:r>
      <w:bookmarkEnd w:id="1170"/>
    </w:p>
    <w:p w:rsidR="008233B3" w:rsidRPr="000A1C8E" w:rsidRDefault="008233B3" w:rsidP="008233B3">
      <w:pPr>
        <w:ind w:left="720"/>
        <w:rPr>
          <w:rFonts w:cs="Tahoma"/>
        </w:rPr>
      </w:pPr>
    </w:p>
    <w:p w:rsidR="008233B3" w:rsidRPr="000A1C8E" w:rsidRDefault="008233B3" w:rsidP="008233B3">
      <w:pPr>
        <w:spacing w:after="60"/>
        <w:ind w:left="720"/>
        <w:rPr>
          <w:rFonts w:cs="Tahoma"/>
        </w:rPr>
      </w:pPr>
      <w:r w:rsidRPr="000A1C8E">
        <w:rPr>
          <w:rFonts w:eastAsia="Calibri" w:cs="Tahoma"/>
          <w:b/>
          <w:color w:val="000000"/>
          <w:szCs w:val="18"/>
        </w:rPr>
        <w:t>Outorgas de Licença Associadas à Alteração no Modelo de Licenciamento</w:t>
      </w:r>
    </w:p>
    <w:p w:rsidR="008233B3" w:rsidRPr="000A1C8E" w:rsidRDefault="008233B3" w:rsidP="008233B3">
      <w:pPr>
        <w:ind w:left="720"/>
        <w:rPr>
          <w:rFonts w:cs="Tahoma"/>
        </w:rPr>
      </w:pPr>
      <w:r w:rsidRPr="000A1C8E">
        <w:rPr>
          <w:rFonts w:eastAsia="Calibri" w:cs="Tahoma"/>
          <w:color w:val="000000"/>
          <w:szCs w:val="18"/>
        </w:rPr>
        <w:t>O BizTalk Server 2010 será a última versão do BizTalk Server licenciada sob o modelo de licenciamento por processador.</w:t>
      </w:r>
      <w:r w:rsidR="00DC6D8B" w:rsidRPr="000A1C8E">
        <w:rPr>
          <w:rFonts w:eastAsia="Calibri" w:cs="Tahoma"/>
          <w:color w:val="000000"/>
          <w:szCs w:val="18"/>
        </w:rPr>
        <w:t xml:space="preserve"> </w:t>
      </w:r>
      <w:r w:rsidRPr="000A1C8E">
        <w:rPr>
          <w:rFonts w:eastAsia="Calibri" w:cs="Tahoma"/>
          <w:color w:val="000000"/>
          <w:szCs w:val="18"/>
        </w:rPr>
        <w:t>Como uma exceção, aos clientes de Licenciamento por Volume com Software Assurance ativo para licenças do processador do BizTalk Server 2010 Enterprise a partir da publicação desta Lista de Produtos (“licenças qualificadas”) são concedidas as seguintes opções</w:t>
      </w:r>
      <w:r w:rsidRPr="000A1C8E">
        <w:rPr>
          <w:rFonts w:cs="Tahoma"/>
          <w:bCs/>
          <w:color w:val="000000"/>
          <w:szCs w:val="18"/>
        </w:rPr>
        <w:t>.</w:t>
      </w:r>
    </w:p>
    <w:p w:rsidR="008233B3" w:rsidRPr="000A1C8E" w:rsidRDefault="008233B3" w:rsidP="008233B3">
      <w:pPr>
        <w:ind w:left="720"/>
        <w:rPr>
          <w:rFonts w:cs="Tahoma"/>
        </w:rPr>
      </w:pPr>
    </w:p>
    <w:p w:rsidR="008233B3" w:rsidRPr="000A1C8E" w:rsidRDefault="008233B3" w:rsidP="008233B3">
      <w:pPr>
        <w:spacing w:after="60"/>
        <w:ind w:left="720"/>
        <w:rPr>
          <w:rFonts w:cs="Tahoma"/>
        </w:rPr>
      </w:pPr>
      <w:r w:rsidRPr="000A1C8E">
        <w:rPr>
          <w:rFonts w:eastAsia="Calibri" w:cs="Tahoma"/>
          <w:b/>
          <w:color w:val="000000"/>
          <w:szCs w:val="18"/>
        </w:rPr>
        <w:t>Prazo Atual</w:t>
      </w:r>
    </w:p>
    <w:p w:rsidR="008233B3" w:rsidRPr="000A1C8E" w:rsidRDefault="008233B3" w:rsidP="008233B3">
      <w:pPr>
        <w:ind w:left="720"/>
        <w:rPr>
          <w:rFonts w:cs="Tahoma"/>
          <w:spacing w:val="-2"/>
        </w:rPr>
      </w:pPr>
      <w:r w:rsidRPr="000A1C8E">
        <w:rPr>
          <w:rFonts w:eastAsia="Calibri" w:cs="Tahoma"/>
          <w:color w:val="000000"/>
          <w:spacing w:val="-2"/>
          <w:szCs w:val="18"/>
        </w:rPr>
        <w:t xml:space="preserve">Durante o prazo atual da sua cobertura de Software Assurance, os clientes (incluindo aqueles sob contratos de assinatura) poderão, sob qualquer licença qualificada, atualizar e usar a última versão do BizTalk Server Enterprise em vez do BizTalk Server 2010 Enterprise sujeito aos direitos de uso do produto de licença do processador do BizTalk Server 2010 Enterprise (conforme os Direitos de Uso do Produto de janeiro de 2013). </w:t>
      </w:r>
    </w:p>
    <w:p w:rsidR="008233B3" w:rsidRPr="000A1C8E" w:rsidRDefault="008233B3" w:rsidP="008233B3">
      <w:pPr>
        <w:ind w:left="720"/>
        <w:rPr>
          <w:rFonts w:cs="Tahoma"/>
        </w:rPr>
      </w:pPr>
    </w:p>
    <w:p w:rsidR="00466E9E" w:rsidRPr="000A1C8E" w:rsidRDefault="00466E9E" w:rsidP="008233B3">
      <w:pPr>
        <w:ind w:left="720"/>
        <w:rPr>
          <w:rFonts w:cs="Tahoma"/>
        </w:rPr>
      </w:pPr>
    </w:p>
    <w:p w:rsidR="00466E9E" w:rsidRPr="000A1C8E" w:rsidRDefault="00466E9E" w:rsidP="008233B3">
      <w:pPr>
        <w:ind w:left="720"/>
        <w:rPr>
          <w:rFonts w:cs="Tahoma"/>
        </w:rPr>
      </w:pPr>
    </w:p>
    <w:p w:rsidR="00466E9E" w:rsidRPr="000A1C8E" w:rsidRDefault="00466E9E" w:rsidP="008233B3">
      <w:pPr>
        <w:ind w:left="720"/>
        <w:rPr>
          <w:rFonts w:cs="Tahoma"/>
        </w:rPr>
      </w:pPr>
    </w:p>
    <w:p w:rsidR="00466E9E" w:rsidRPr="000A1C8E" w:rsidRDefault="00466E9E" w:rsidP="008233B3">
      <w:pPr>
        <w:ind w:left="720"/>
        <w:rPr>
          <w:rFonts w:cs="Tahoma"/>
        </w:rPr>
      </w:pPr>
    </w:p>
    <w:p w:rsidR="00466E9E" w:rsidRPr="000A1C8E" w:rsidRDefault="00466E9E" w:rsidP="008233B3">
      <w:pPr>
        <w:ind w:left="720"/>
        <w:rPr>
          <w:rFonts w:cs="Tahoma"/>
        </w:rPr>
      </w:pPr>
    </w:p>
    <w:p w:rsidR="008233B3" w:rsidRPr="000A1C8E" w:rsidRDefault="008233B3" w:rsidP="008233B3">
      <w:pPr>
        <w:spacing w:after="60"/>
        <w:ind w:left="720"/>
        <w:rPr>
          <w:rFonts w:cs="Tahoma"/>
        </w:rPr>
      </w:pPr>
      <w:r w:rsidRPr="000A1C8E">
        <w:rPr>
          <w:rFonts w:eastAsia="Calibri" w:cs="Tahoma"/>
          <w:b/>
          <w:color w:val="000000"/>
          <w:szCs w:val="18"/>
        </w:rPr>
        <w:lastRenderedPageBreak/>
        <w:t>Primeiro Prazo de Renovação</w:t>
      </w:r>
    </w:p>
    <w:p w:rsidR="008233B3" w:rsidRPr="000A1C8E" w:rsidRDefault="008233B3" w:rsidP="008233B3">
      <w:pPr>
        <w:tabs>
          <w:tab w:val="left" w:pos="1800"/>
        </w:tabs>
        <w:spacing w:after="60"/>
        <w:ind w:left="720"/>
        <w:rPr>
          <w:rFonts w:cs="Tahoma"/>
        </w:rPr>
      </w:pPr>
      <w:r w:rsidRPr="000A1C8E">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rsidR="008233B3" w:rsidRPr="000A1C8E" w:rsidRDefault="008233B3" w:rsidP="00346F4B">
      <w:pPr>
        <w:numPr>
          <w:ilvl w:val="3"/>
          <w:numId w:val="93"/>
        </w:numPr>
        <w:tabs>
          <w:tab w:val="left" w:pos="2160"/>
        </w:tabs>
        <w:spacing w:after="60"/>
        <w:ind w:left="2160"/>
        <w:rPr>
          <w:rFonts w:cs="Tahoma"/>
        </w:rPr>
      </w:pPr>
      <w:r w:rsidRPr="000A1C8E">
        <w:rPr>
          <w:rFonts w:eastAsia="Calibri" w:cs="Tahoma"/>
          <w:color w:val="000000"/>
          <w:szCs w:val="18"/>
        </w:rPr>
        <w:t>Quatro OU</w:t>
      </w:r>
    </w:p>
    <w:p w:rsidR="008233B3" w:rsidRPr="000A1C8E" w:rsidRDefault="008233B3" w:rsidP="00865968">
      <w:pPr>
        <w:numPr>
          <w:ilvl w:val="3"/>
          <w:numId w:val="93"/>
        </w:numPr>
        <w:tabs>
          <w:tab w:val="left" w:pos="2160"/>
        </w:tabs>
        <w:spacing w:after="60"/>
        <w:ind w:left="2160"/>
        <w:rPr>
          <w:rFonts w:cs="Tahoma"/>
        </w:rPr>
      </w:pPr>
      <w:r w:rsidRPr="000A1C8E">
        <w:rPr>
          <w:rFonts w:eastAsia="Calibri" w:cs="Tahoma"/>
          <w:color w:val="000000"/>
          <w:szCs w:val="18"/>
        </w:rPr>
        <w:t>o número real de núcleos por processador físico multiplicado pelo fator do núcleo apropriado.</w:t>
      </w:r>
      <w:r w:rsidR="00DC6D8B" w:rsidRPr="000A1C8E">
        <w:rPr>
          <w:rFonts w:eastAsia="Calibri" w:cs="Tahoma"/>
          <w:color w:val="000000"/>
          <w:szCs w:val="18"/>
        </w:rPr>
        <w:t xml:space="preserve"> </w:t>
      </w:r>
      <w:r w:rsidRPr="000A1C8E">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w:t>
      </w:r>
      <w:r w:rsidR="00865968">
        <w:rPr>
          <w:rFonts w:eastAsia="Calibri" w:cs="Tahoma"/>
          <w:color w:val="000000"/>
          <w:szCs w:val="18"/>
        </w:rPr>
        <w:t>(</w:t>
      </w:r>
      <w:r w:rsidRPr="000A1C8E">
        <w:rPr>
          <w:rFonts w:eastAsia="Calibri" w:cs="Tahoma"/>
          <w:color w:val="000000"/>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0A1C8E" w:rsidRDefault="008233B3" w:rsidP="00552221">
      <w:pPr>
        <w:tabs>
          <w:tab w:val="left" w:pos="1800"/>
        </w:tabs>
        <w:rPr>
          <w:rFonts w:cs="Tahoma"/>
        </w:rPr>
      </w:pPr>
    </w:p>
    <w:p w:rsidR="008233B3" w:rsidRPr="000A1C8E" w:rsidRDefault="008233B3" w:rsidP="008233B3">
      <w:pPr>
        <w:spacing w:after="60"/>
        <w:ind w:left="720"/>
        <w:rPr>
          <w:rFonts w:cs="Tahoma"/>
        </w:rPr>
      </w:pPr>
      <w:r w:rsidRPr="000A1C8E">
        <w:rPr>
          <w:rFonts w:eastAsia="Calibri" w:cs="Tahoma"/>
          <w:color w:val="000000"/>
          <w:szCs w:val="18"/>
        </w:rPr>
        <w:t xml:space="preserve">As licenças do processador dos clientes não são mais válidas na aquisição do Software Assurance para as licenças principais sob esta oferta. </w:t>
      </w:r>
      <w:r w:rsidRPr="000A1C8E">
        <w:rPr>
          <w:rFonts w:eastAsia="Calibri" w:cs="Tahoma"/>
          <w:szCs w:val="18"/>
        </w:rPr>
        <w:t>A opção de adquirir o Software Assurance para licenças principais do BizTalk Server não é aplicável à renovação de cobertura sob os programas de assinatura.</w:t>
      </w:r>
      <w:r w:rsidR="00DC6D8B" w:rsidRPr="000A1C8E">
        <w:rPr>
          <w:rFonts w:eastAsia="Calibri" w:cs="Tahoma"/>
          <w:szCs w:val="18"/>
        </w:rPr>
        <w:t xml:space="preserve"> </w:t>
      </w:r>
    </w:p>
    <w:p w:rsidR="008233B3" w:rsidRPr="000A1C8E" w:rsidRDefault="008233B3" w:rsidP="00552221">
      <w:pPr>
        <w:rPr>
          <w:rFonts w:cs="Tahoma"/>
        </w:rPr>
      </w:pPr>
    </w:p>
    <w:p w:rsidR="008233B3" w:rsidRPr="000A1C8E" w:rsidRDefault="008233B3" w:rsidP="008233B3">
      <w:pPr>
        <w:tabs>
          <w:tab w:val="left" w:pos="1440"/>
        </w:tabs>
        <w:spacing w:after="60"/>
        <w:ind w:left="720"/>
        <w:rPr>
          <w:rFonts w:cs="Tahoma"/>
        </w:rPr>
      </w:pPr>
      <w:r w:rsidRPr="000A1C8E">
        <w:rPr>
          <w:rFonts w:eastAsia="Calibri" w:cs="Tahoma"/>
          <w:b/>
          <w:color w:val="000000"/>
          <w:szCs w:val="18"/>
        </w:rPr>
        <w:t>Para os clientes com cobertura de Software Assurance que optaram pela não renovação</w:t>
      </w:r>
    </w:p>
    <w:p w:rsidR="008233B3" w:rsidRPr="000A1C8E" w:rsidRDefault="008233B3" w:rsidP="008233B3">
      <w:pPr>
        <w:tabs>
          <w:tab w:val="left" w:pos="1440"/>
        </w:tabs>
        <w:ind w:left="720"/>
        <w:rPr>
          <w:rFonts w:cs="Tahoma"/>
        </w:rPr>
      </w:pPr>
      <w:r w:rsidRPr="000A1C8E">
        <w:rPr>
          <w:rFonts w:cs="Tahoma"/>
        </w:rPr>
        <w:t xml:space="preserve">Os clientes </w:t>
      </w:r>
      <w:r w:rsidRPr="000A1C8E">
        <w:rPr>
          <w:rFonts w:eastAsia="Calibri" w:cs="Tahoma"/>
          <w:color w:val="000000"/>
          <w:szCs w:val="18"/>
        </w:rPr>
        <w:t xml:space="preserve">Enterprise Subscription </w:t>
      </w:r>
      <w:r w:rsidRPr="000A1C8E">
        <w:rPr>
          <w:rFonts w:cs="Tahoma"/>
          <w:bCs/>
          <w:color w:val="000000"/>
          <w:szCs w:val="18"/>
        </w:rPr>
        <w:t xml:space="preserve">e Open Value Subscription </w:t>
      </w:r>
      <w:r w:rsidRPr="000A1C8E">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rsidR="008233B3" w:rsidRPr="000A1C8E" w:rsidRDefault="008233B3" w:rsidP="008233B3">
      <w:pPr>
        <w:tabs>
          <w:tab w:val="left" w:pos="1440"/>
        </w:tabs>
        <w:ind w:left="720"/>
        <w:rPr>
          <w:rFonts w:cs="Tahoma"/>
        </w:rPr>
      </w:pPr>
    </w:p>
    <w:p w:rsidR="008233B3" w:rsidRPr="000A1C8E" w:rsidRDefault="008233B3" w:rsidP="00346F4B">
      <w:pPr>
        <w:numPr>
          <w:ilvl w:val="0"/>
          <w:numId w:val="53"/>
        </w:numPr>
        <w:spacing w:after="60"/>
        <w:ind w:left="1440"/>
        <w:rPr>
          <w:rFonts w:cs="Tahoma"/>
        </w:rPr>
      </w:pPr>
      <w:r w:rsidRPr="000A1C8E">
        <w:rPr>
          <w:rFonts w:eastAsia="Calibri" w:cs="Tahoma"/>
          <w:b/>
          <w:color w:val="000000"/>
          <w:szCs w:val="18"/>
        </w:rPr>
        <w:t>BizTalk Server 2010 Enterprise:</w:t>
      </w:r>
      <w:r w:rsidRPr="000A1C8E">
        <w:rPr>
          <w:rFonts w:eastAsia="Calibri" w:cs="Tahoma"/>
          <w:color w:val="000000"/>
          <w:szCs w:val="18"/>
        </w:rPr>
        <w:t xml:space="preserve"> O uso contínuo desta versão do software está sujeito aos direitos de uso do produto de licença do processador do BizTalk Server 2010 Enterprise; no entanto, os clientes não têm mais Mobilidade de Licenças por meio de Software Assurance.</w:t>
      </w:r>
    </w:p>
    <w:p w:rsidR="008233B3" w:rsidRPr="000A1C8E" w:rsidRDefault="00F3254C" w:rsidP="00346F4B">
      <w:pPr>
        <w:numPr>
          <w:ilvl w:val="0"/>
          <w:numId w:val="53"/>
        </w:numPr>
        <w:tabs>
          <w:tab w:val="left" w:pos="1800"/>
        </w:tabs>
        <w:spacing w:after="60"/>
        <w:ind w:left="1440"/>
        <w:rPr>
          <w:rFonts w:cs="Tahoma"/>
          <w:spacing w:val="-2"/>
        </w:rPr>
      </w:pPr>
      <w:r w:rsidRPr="000A1C8E">
        <w:rPr>
          <w:rFonts w:eastAsia="Calibri" w:cs="Tahoma"/>
          <w:b/>
          <w:color w:val="000000"/>
          <w:spacing w:val="-2"/>
          <w:szCs w:val="18"/>
        </w:rPr>
        <w:t xml:space="preserve">Última versão do BizTalk Server Enterprise: </w:t>
      </w:r>
      <w:r w:rsidRPr="000A1C8E">
        <w:rPr>
          <w:rFonts w:eastAsia="Calibri" w:cs="Tahoma"/>
          <w:color w:val="000000"/>
          <w:spacing w:val="-2"/>
          <w:szCs w:val="18"/>
        </w:rPr>
        <w:t xml:space="preserve">O uso desta versão do software está sujeito aos direitos de uso do produto de licença do processador do BizTalk Server 2010 Enterprise, no entanto: </w:t>
      </w:r>
    </w:p>
    <w:p w:rsidR="008233B3" w:rsidRPr="000A1C8E" w:rsidRDefault="008233B3" w:rsidP="00346F4B">
      <w:pPr>
        <w:numPr>
          <w:ilvl w:val="1"/>
          <w:numId w:val="53"/>
        </w:numPr>
        <w:tabs>
          <w:tab w:val="left" w:pos="2160"/>
        </w:tabs>
        <w:spacing w:after="60"/>
        <w:ind w:left="2160"/>
        <w:rPr>
          <w:rFonts w:cs="Tahoma"/>
        </w:rPr>
      </w:pPr>
      <w:r w:rsidRPr="000A1C8E">
        <w:rPr>
          <w:rFonts w:eastAsia="Calibri" w:cs="Tahoma"/>
          <w:color w:val="000000"/>
          <w:szCs w:val="18"/>
        </w:rPr>
        <w:t xml:space="preserve">os clientes não têm mais Mobilidade de Licença nos Farms de Servidores nem Mobilidade de Licença por meio de Software Assurance e </w:t>
      </w:r>
    </w:p>
    <w:p w:rsidR="008233B3" w:rsidRPr="000A1C8E" w:rsidRDefault="008233B3" w:rsidP="00346F4B">
      <w:pPr>
        <w:numPr>
          <w:ilvl w:val="1"/>
          <w:numId w:val="53"/>
        </w:numPr>
        <w:tabs>
          <w:tab w:val="left" w:pos="2160"/>
          <w:tab w:val="left" w:pos="2970"/>
        </w:tabs>
        <w:spacing w:after="60"/>
        <w:ind w:left="2160"/>
        <w:rPr>
          <w:rFonts w:cs="Tahoma"/>
        </w:rPr>
      </w:pPr>
      <w:r w:rsidRPr="000A1C8E">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rsidR="008233B3" w:rsidRPr="000A1C8E" w:rsidRDefault="008233B3" w:rsidP="00346F4B">
      <w:pPr>
        <w:numPr>
          <w:ilvl w:val="2"/>
          <w:numId w:val="53"/>
        </w:numPr>
        <w:tabs>
          <w:tab w:val="left" w:pos="2520"/>
        </w:tabs>
        <w:spacing w:after="60"/>
        <w:ind w:left="2520"/>
        <w:rPr>
          <w:rFonts w:cs="Tahoma"/>
        </w:rPr>
      </w:pPr>
      <w:r w:rsidRPr="000A1C8E">
        <w:rPr>
          <w:rFonts w:eastAsia="Calibri" w:cs="Tahoma"/>
          <w:color w:val="000000"/>
          <w:szCs w:val="18"/>
        </w:rPr>
        <w:t xml:space="preserve">Para cada licença qualificada atribuída ao servidor, a equivalência de licença principal é maior do que: </w:t>
      </w:r>
    </w:p>
    <w:p w:rsidR="008233B3" w:rsidRPr="000A1C8E" w:rsidRDefault="008233B3" w:rsidP="00346F4B">
      <w:pPr>
        <w:numPr>
          <w:ilvl w:val="4"/>
          <w:numId w:val="126"/>
        </w:numPr>
        <w:tabs>
          <w:tab w:val="left" w:pos="2880"/>
        </w:tabs>
        <w:spacing w:after="60"/>
        <w:ind w:left="2880"/>
        <w:rPr>
          <w:rFonts w:cs="Tahoma"/>
        </w:rPr>
      </w:pPr>
      <w:r w:rsidRPr="000A1C8E">
        <w:rPr>
          <w:rFonts w:eastAsia="Calibri" w:cs="Tahoma"/>
          <w:color w:val="000000"/>
          <w:szCs w:val="18"/>
        </w:rPr>
        <w:t xml:space="preserve">quatro núcleos por licença de processador OU </w:t>
      </w:r>
    </w:p>
    <w:p w:rsidR="008233B3" w:rsidRPr="000A1C8E" w:rsidRDefault="008233B3" w:rsidP="00AD41C2">
      <w:pPr>
        <w:numPr>
          <w:ilvl w:val="4"/>
          <w:numId w:val="126"/>
        </w:numPr>
        <w:tabs>
          <w:tab w:val="left" w:pos="2880"/>
        </w:tabs>
        <w:spacing w:after="60"/>
        <w:ind w:left="2880"/>
        <w:rPr>
          <w:rFonts w:cs="Tahoma"/>
        </w:rPr>
      </w:pPr>
      <w:r w:rsidRPr="000A1C8E">
        <w:rPr>
          <w:rFonts w:eastAsia="Calibri" w:cs="Tahoma"/>
          <w:color w:val="000000"/>
          <w:szCs w:val="18"/>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AD41C2">
        <w:rPr>
          <w:rFonts w:eastAsia="Calibri" w:cs="Tahoma"/>
          <w:color w:val="000000"/>
          <w:szCs w:val="18"/>
        </w:rPr>
        <w:t>(</w:t>
      </w:r>
      <w:r w:rsidRPr="000A1C8E">
        <w:rPr>
          <w:rFonts w:eastAsia="Calibri" w:cs="Tahoma"/>
          <w:color w:val="000000"/>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0A1C8E" w:rsidRDefault="008233B3" w:rsidP="00346F4B">
      <w:pPr>
        <w:numPr>
          <w:ilvl w:val="1"/>
          <w:numId w:val="127"/>
        </w:numPr>
        <w:tabs>
          <w:tab w:val="left" w:pos="1800"/>
        </w:tabs>
        <w:spacing w:after="60"/>
        <w:rPr>
          <w:rFonts w:cs="Tahoma"/>
        </w:rPr>
      </w:pPr>
      <w:r w:rsidRPr="000A1C8E">
        <w:rPr>
          <w:rFonts w:eastAsia="Calibri" w:cs="Tahoma"/>
          <w:color w:val="000000"/>
          <w:szCs w:val="18"/>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8233B3" w:rsidRPr="000A1C8E" w:rsidRDefault="008233B3" w:rsidP="00346F4B">
      <w:pPr>
        <w:numPr>
          <w:ilvl w:val="1"/>
          <w:numId w:val="127"/>
        </w:numPr>
        <w:tabs>
          <w:tab w:val="left" w:pos="1800"/>
          <w:tab w:val="left" w:pos="2970"/>
        </w:tabs>
        <w:spacing w:after="60"/>
        <w:rPr>
          <w:rFonts w:cs="Tahoma"/>
        </w:rPr>
      </w:pPr>
      <w:r w:rsidRPr="000A1C8E">
        <w:rPr>
          <w:rFonts w:eastAsia="Calibri" w:cs="Tahoma"/>
          <w:color w:val="000000"/>
          <w:szCs w:val="18"/>
        </w:rPr>
        <w:t>A equivalência de licença principal dos clientes não implica que eles podem atribuir uma única licença de processador a núcleos por dois ou mais processadores.</w:t>
      </w:r>
    </w:p>
    <w:p w:rsidR="008233B3" w:rsidRPr="000A1C8E" w:rsidRDefault="008233B3" w:rsidP="008233B3">
      <w:pPr>
        <w:tabs>
          <w:tab w:val="left" w:pos="720"/>
        </w:tabs>
        <w:ind w:left="720"/>
        <w:rPr>
          <w:rFonts w:cs="Tahoma"/>
        </w:rPr>
      </w:pPr>
    </w:p>
    <w:p w:rsidR="008233B3" w:rsidRPr="000A1C8E" w:rsidRDefault="008233B3" w:rsidP="008233B3">
      <w:pPr>
        <w:ind w:left="720"/>
        <w:rPr>
          <w:rFonts w:cs="Tahoma"/>
        </w:rPr>
      </w:pPr>
    </w:p>
    <w:p w:rsidR="008233B3" w:rsidRPr="000A1C8E" w:rsidRDefault="00A560B6" w:rsidP="008233B3">
      <w:pPr>
        <w:pStyle w:val="Heading3"/>
        <w:rPr>
          <w:rFonts w:ascii="Tahoma" w:hAnsi="Tahoma" w:cs="Tahoma"/>
        </w:rPr>
      </w:pPr>
      <w:bookmarkStart w:id="1171" w:name="_37_BizTalk_Server®"/>
      <w:bookmarkStart w:id="1172" w:name="_38_BizTalk_Server®"/>
      <w:bookmarkStart w:id="1173" w:name="_Toc361829381"/>
      <w:bookmarkStart w:id="1174" w:name="_Toc343596569"/>
      <w:bookmarkEnd w:id="1171"/>
      <w:bookmarkEnd w:id="1172"/>
      <w:r w:rsidRPr="000A1C8E">
        <w:rPr>
          <w:rFonts w:ascii="Tahoma" w:hAnsi="Tahoma" w:cs="Tahoma"/>
          <w:caps/>
          <w:color w:val="F66400"/>
          <w:sz w:val="22"/>
          <w:vertAlign w:val="superscript"/>
        </w:rPr>
        <w:lastRenderedPageBreak/>
        <w:t>38</w:t>
      </w:r>
      <w:r w:rsidRPr="000A1C8E">
        <w:rPr>
          <w:rFonts w:ascii="Tahoma" w:hAnsi="Tahoma" w:cs="Tahoma"/>
          <w:color w:val="F66400"/>
          <w:sz w:val="22"/>
        </w:rPr>
        <w:t xml:space="preserve"> BizTalk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2013 Standard</w:t>
      </w:r>
      <w:bookmarkEnd w:id="1173"/>
      <w:r w:rsidRPr="000A1C8E">
        <w:rPr>
          <w:rFonts w:ascii="Tahoma" w:eastAsia="Calibri" w:hAnsi="Tahoma" w:cs="Tahoma"/>
          <w:color w:val="F66400"/>
          <w:sz w:val="22"/>
          <w:szCs w:val="18"/>
        </w:rPr>
        <w:t xml:space="preserve"> </w:t>
      </w:r>
      <w:bookmarkEnd w:id="1174"/>
    </w:p>
    <w:p w:rsidR="008233B3" w:rsidRPr="000A1C8E" w:rsidRDefault="008233B3" w:rsidP="008233B3">
      <w:pPr>
        <w:rPr>
          <w:rFonts w:cs="Tahoma"/>
        </w:rPr>
      </w:pPr>
    </w:p>
    <w:p w:rsidR="008233B3" w:rsidRPr="000A1C8E" w:rsidRDefault="008233B3" w:rsidP="008233B3">
      <w:pPr>
        <w:spacing w:after="60"/>
        <w:ind w:left="720"/>
        <w:rPr>
          <w:rFonts w:cs="Tahoma"/>
        </w:rPr>
      </w:pPr>
      <w:r w:rsidRPr="000A1C8E">
        <w:rPr>
          <w:rFonts w:eastAsia="Calibri" w:cs="Tahoma"/>
          <w:b/>
          <w:color w:val="000000"/>
          <w:szCs w:val="18"/>
        </w:rPr>
        <w:t>Outorgas de Licença Associadas à Alteração no Modelo de Licenciamento</w:t>
      </w:r>
    </w:p>
    <w:p w:rsidR="008233B3" w:rsidRPr="000A1C8E" w:rsidRDefault="008233B3" w:rsidP="008233B3">
      <w:pPr>
        <w:ind w:left="720"/>
        <w:rPr>
          <w:rFonts w:cs="Tahoma"/>
        </w:rPr>
      </w:pPr>
      <w:r w:rsidRPr="000A1C8E">
        <w:rPr>
          <w:rFonts w:eastAsia="Calibri" w:cs="Tahoma"/>
          <w:color w:val="000000"/>
          <w:szCs w:val="18"/>
        </w:rPr>
        <w:t>O BizTalk Server 2010 será a última versão do BizTalk Server licenciada sob o modelo de licenciamento por processador.</w:t>
      </w:r>
      <w:r w:rsidR="00DC6D8B" w:rsidRPr="000A1C8E">
        <w:rPr>
          <w:rFonts w:eastAsia="Calibri" w:cs="Tahoma"/>
          <w:color w:val="000000"/>
          <w:szCs w:val="18"/>
        </w:rPr>
        <w:t xml:space="preserve"> </w:t>
      </w:r>
      <w:r w:rsidRPr="000A1C8E">
        <w:rPr>
          <w:rFonts w:eastAsia="Calibri" w:cs="Tahoma"/>
          <w:color w:val="000000"/>
          <w:szCs w:val="18"/>
        </w:rPr>
        <w:t xml:space="preserve">Como uma exceção, aos clientes de Licenciamento por Volume com Software Assurance ativo para licenças do processador do BizTalk Server 2010 Standard a partir da publicação desta Lista de Produtos (“licenças qualificadas”) são </w:t>
      </w:r>
      <w:r w:rsidR="000A1C8E">
        <w:rPr>
          <w:rFonts w:eastAsia="Calibri" w:cs="Tahoma"/>
          <w:color w:val="000000"/>
          <w:szCs w:val="18"/>
        </w:rPr>
        <w:t>concedidas as seguintes opções.</w:t>
      </w:r>
    </w:p>
    <w:p w:rsidR="008233B3" w:rsidRPr="000A1C8E" w:rsidRDefault="008233B3" w:rsidP="008233B3">
      <w:pPr>
        <w:ind w:left="720"/>
        <w:rPr>
          <w:rFonts w:cs="Tahoma"/>
        </w:rPr>
      </w:pPr>
    </w:p>
    <w:p w:rsidR="008233B3" w:rsidRPr="000A1C8E" w:rsidRDefault="008233B3" w:rsidP="008233B3">
      <w:pPr>
        <w:spacing w:after="60"/>
        <w:ind w:left="720"/>
        <w:rPr>
          <w:rFonts w:cs="Tahoma"/>
        </w:rPr>
      </w:pPr>
      <w:r w:rsidRPr="000A1C8E">
        <w:rPr>
          <w:rFonts w:eastAsia="Calibri" w:cs="Tahoma"/>
          <w:b/>
          <w:color w:val="000000"/>
          <w:szCs w:val="18"/>
        </w:rPr>
        <w:t>Prazo Atual</w:t>
      </w:r>
    </w:p>
    <w:p w:rsidR="008233B3" w:rsidRPr="000A1C8E" w:rsidRDefault="008233B3" w:rsidP="00466E9E">
      <w:pPr>
        <w:ind w:left="720"/>
        <w:rPr>
          <w:rFonts w:cs="Tahoma"/>
        </w:rPr>
      </w:pPr>
      <w:r w:rsidRPr="000A1C8E">
        <w:rPr>
          <w:rFonts w:eastAsia="Calibri" w:cs="Tahoma"/>
          <w:color w:val="000000"/>
          <w:szCs w:val="18"/>
        </w:rPr>
        <w:t>Durante o prazo atual da sua cobertura de Software Assurance a partir de 1º de abril de 2013, os clientes (incluindo aqueles sob contratos de assinatura) poderão, sob qualquer licença qualificada, atualizar e usar a</w:t>
      </w:r>
      <w:r w:rsidR="00466E9E" w:rsidRPr="000A1C8E">
        <w:rPr>
          <w:rFonts w:eastAsia="Calibri" w:cs="Tahoma"/>
          <w:color w:val="000000"/>
          <w:szCs w:val="18"/>
        </w:rPr>
        <w:t> </w:t>
      </w:r>
      <w:r w:rsidRPr="000A1C8E">
        <w:rPr>
          <w:rFonts w:eastAsia="Calibri" w:cs="Tahoma"/>
          <w:color w:val="000000"/>
          <w:szCs w:val="18"/>
        </w:rPr>
        <w:t xml:space="preserve">última versão do BizTalk Server Standard em vez do BizTalk Server 2010 Standard sujeito aos direitos de uso do produto de licença do processador do BizTalk Server 2010 Standard (conforme os Direitos de Uso do Produto de janeiro de 2013). </w:t>
      </w:r>
    </w:p>
    <w:p w:rsidR="008233B3" w:rsidRPr="000A1C8E" w:rsidRDefault="008233B3" w:rsidP="008233B3">
      <w:pPr>
        <w:ind w:left="720"/>
        <w:rPr>
          <w:rFonts w:cs="Tahoma"/>
        </w:rPr>
      </w:pPr>
    </w:p>
    <w:p w:rsidR="008233B3" w:rsidRPr="000A1C8E" w:rsidRDefault="008233B3" w:rsidP="008233B3">
      <w:pPr>
        <w:spacing w:after="60"/>
        <w:ind w:left="720"/>
        <w:rPr>
          <w:rFonts w:cs="Tahoma"/>
        </w:rPr>
      </w:pPr>
      <w:r w:rsidRPr="000A1C8E">
        <w:rPr>
          <w:rFonts w:eastAsia="Calibri" w:cs="Tahoma"/>
          <w:b/>
          <w:color w:val="000000"/>
          <w:szCs w:val="18"/>
        </w:rPr>
        <w:t>Primeiro Prazo de Renovação</w:t>
      </w:r>
    </w:p>
    <w:p w:rsidR="008233B3" w:rsidRPr="000A1C8E" w:rsidRDefault="008233B3" w:rsidP="008233B3">
      <w:pPr>
        <w:tabs>
          <w:tab w:val="left" w:pos="1800"/>
        </w:tabs>
        <w:spacing w:after="60"/>
        <w:ind w:left="720"/>
        <w:rPr>
          <w:rFonts w:cs="Tahoma"/>
        </w:rPr>
      </w:pPr>
      <w:r w:rsidRPr="000A1C8E">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rsidR="008233B3" w:rsidRPr="000A1C8E" w:rsidRDefault="008233B3" w:rsidP="00346F4B">
      <w:pPr>
        <w:numPr>
          <w:ilvl w:val="3"/>
          <w:numId w:val="93"/>
        </w:numPr>
        <w:tabs>
          <w:tab w:val="left" w:pos="2160"/>
        </w:tabs>
        <w:spacing w:after="60"/>
        <w:ind w:left="2160"/>
        <w:rPr>
          <w:rFonts w:cs="Tahoma"/>
        </w:rPr>
      </w:pPr>
      <w:r w:rsidRPr="000A1C8E">
        <w:rPr>
          <w:rFonts w:eastAsia="Calibri" w:cs="Tahoma"/>
          <w:color w:val="000000"/>
          <w:szCs w:val="18"/>
        </w:rPr>
        <w:t>Quatro OU</w:t>
      </w:r>
    </w:p>
    <w:p w:rsidR="008233B3" w:rsidRPr="000A1C8E" w:rsidRDefault="008233B3" w:rsidP="002B6BBB">
      <w:pPr>
        <w:numPr>
          <w:ilvl w:val="3"/>
          <w:numId w:val="93"/>
        </w:numPr>
        <w:tabs>
          <w:tab w:val="left" w:pos="2160"/>
        </w:tabs>
        <w:spacing w:after="60"/>
        <w:ind w:left="2160"/>
        <w:rPr>
          <w:rFonts w:cs="Tahoma"/>
        </w:rPr>
      </w:pPr>
      <w:r w:rsidRPr="000A1C8E">
        <w:rPr>
          <w:rFonts w:eastAsia="Calibri" w:cs="Tahoma"/>
          <w:color w:val="000000"/>
          <w:szCs w:val="18"/>
        </w:rPr>
        <w:t>o número real de núcleos por processador físico multiplicado pelo fator do núcleo apropriado.</w:t>
      </w:r>
      <w:r w:rsidR="00DC6D8B" w:rsidRPr="000A1C8E">
        <w:rPr>
          <w:rFonts w:eastAsia="Calibri" w:cs="Tahoma"/>
          <w:color w:val="000000"/>
          <w:szCs w:val="18"/>
        </w:rPr>
        <w:t xml:space="preserve"> </w:t>
      </w:r>
      <w:r w:rsidRPr="000A1C8E">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w:t>
      </w:r>
      <w:r w:rsidR="002B6BBB">
        <w:rPr>
          <w:rFonts w:eastAsia="Calibri" w:cs="Tahoma"/>
          <w:color w:val="000000"/>
          <w:szCs w:val="18"/>
        </w:rPr>
        <w:t>(</w:t>
      </w:r>
      <w:r w:rsidRPr="000A1C8E">
        <w:rPr>
          <w:rFonts w:eastAsia="Calibri" w:cs="Tahoma"/>
          <w:color w:val="000000"/>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0A1C8E" w:rsidRDefault="008233B3" w:rsidP="008233B3">
      <w:pPr>
        <w:tabs>
          <w:tab w:val="left" w:pos="1800"/>
        </w:tabs>
        <w:ind w:left="1080"/>
        <w:rPr>
          <w:rFonts w:cs="Tahoma"/>
        </w:rPr>
      </w:pPr>
    </w:p>
    <w:p w:rsidR="008233B3" w:rsidRPr="000A1C8E" w:rsidRDefault="008233B3" w:rsidP="008233B3">
      <w:pPr>
        <w:spacing w:after="60"/>
        <w:ind w:left="720"/>
        <w:rPr>
          <w:rFonts w:cs="Tahoma"/>
        </w:rPr>
      </w:pPr>
      <w:r w:rsidRPr="000A1C8E">
        <w:rPr>
          <w:rFonts w:eastAsia="Calibri" w:cs="Tahoma"/>
          <w:color w:val="000000"/>
          <w:szCs w:val="18"/>
        </w:rPr>
        <w:t xml:space="preserve">As licenças do processador dos clientes não são mais válidas na aquisição do Software Assurance para as licenças principais sob esta oferta. </w:t>
      </w:r>
      <w:r w:rsidRPr="000A1C8E">
        <w:rPr>
          <w:rFonts w:eastAsia="Calibri" w:cs="Tahoma"/>
          <w:szCs w:val="18"/>
        </w:rPr>
        <w:t>A opção de adquirir o Software Assurance para licenças principais do BizTalk Server não é aplicável à renovação de cobertura sob os programas de assinatura.</w:t>
      </w:r>
      <w:r w:rsidR="00DC6D8B" w:rsidRPr="000A1C8E">
        <w:rPr>
          <w:rFonts w:eastAsia="Calibri" w:cs="Tahoma"/>
          <w:szCs w:val="18"/>
        </w:rPr>
        <w:t xml:space="preserve"> </w:t>
      </w:r>
    </w:p>
    <w:p w:rsidR="008233B3" w:rsidRPr="000A1C8E" w:rsidRDefault="008233B3" w:rsidP="008233B3">
      <w:pPr>
        <w:ind w:left="1440"/>
        <w:rPr>
          <w:rFonts w:cs="Tahoma"/>
        </w:rPr>
      </w:pPr>
    </w:p>
    <w:p w:rsidR="008233B3" w:rsidRPr="000A1C8E" w:rsidRDefault="008233B3" w:rsidP="008233B3">
      <w:pPr>
        <w:tabs>
          <w:tab w:val="left" w:pos="1440"/>
        </w:tabs>
        <w:spacing w:after="60"/>
        <w:ind w:left="720"/>
        <w:rPr>
          <w:rFonts w:cs="Tahoma"/>
        </w:rPr>
      </w:pPr>
      <w:r w:rsidRPr="000A1C8E">
        <w:rPr>
          <w:rFonts w:eastAsia="Calibri" w:cs="Tahoma"/>
          <w:b/>
          <w:color w:val="000000"/>
          <w:szCs w:val="18"/>
        </w:rPr>
        <w:t>Para os clientes com cobertura de Software Assurance que optaram pela não renovação</w:t>
      </w:r>
    </w:p>
    <w:p w:rsidR="008233B3" w:rsidRPr="000A1C8E" w:rsidRDefault="008233B3" w:rsidP="008233B3">
      <w:pPr>
        <w:tabs>
          <w:tab w:val="left" w:pos="1440"/>
        </w:tabs>
        <w:ind w:left="720"/>
        <w:rPr>
          <w:rFonts w:cs="Tahoma"/>
        </w:rPr>
      </w:pPr>
      <w:r w:rsidRPr="000A1C8E">
        <w:rPr>
          <w:rFonts w:cs="Tahoma"/>
        </w:rPr>
        <w:t xml:space="preserve">Os clientes </w:t>
      </w:r>
      <w:r w:rsidRPr="000A1C8E">
        <w:rPr>
          <w:rFonts w:eastAsia="Calibri" w:cs="Tahoma"/>
          <w:color w:val="000000"/>
          <w:szCs w:val="18"/>
        </w:rPr>
        <w:t xml:space="preserve">Enterprise Subscription </w:t>
      </w:r>
      <w:r w:rsidRPr="000A1C8E">
        <w:rPr>
          <w:rFonts w:cs="Tahoma"/>
          <w:bCs/>
          <w:color w:val="000000"/>
          <w:szCs w:val="18"/>
        </w:rPr>
        <w:t xml:space="preserve">e Open Value Subscription </w:t>
      </w:r>
      <w:r w:rsidRPr="000A1C8E">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rsidR="008233B3" w:rsidRPr="000A1C8E" w:rsidRDefault="008233B3" w:rsidP="008233B3">
      <w:pPr>
        <w:tabs>
          <w:tab w:val="left" w:pos="1440"/>
        </w:tabs>
        <w:ind w:left="720"/>
        <w:rPr>
          <w:rFonts w:cs="Tahoma"/>
        </w:rPr>
      </w:pPr>
    </w:p>
    <w:p w:rsidR="008233B3" w:rsidRPr="000A1C8E" w:rsidRDefault="008233B3" w:rsidP="00346F4B">
      <w:pPr>
        <w:numPr>
          <w:ilvl w:val="0"/>
          <w:numId w:val="53"/>
        </w:numPr>
        <w:spacing w:after="60"/>
        <w:ind w:left="1440"/>
        <w:rPr>
          <w:rFonts w:cs="Tahoma"/>
        </w:rPr>
      </w:pPr>
      <w:r w:rsidRPr="000A1C8E">
        <w:rPr>
          <w:rFonts w:eastAsia="Calibri" w:cs="Tahoma"/>
          <w:b/>
          <w:color w:val="000000"/>
          <w:szCs w:val="18"/>
        </w:rPr>
        <w:t>BizTalk Server 2010 Standard:</w:t>
      </w:r>
      <w:r w:rsidRPr="000A1C8E">
        <w:rPr>
          <w:rFonts w:eastAsia="Calibri" w:cs="Tahoma"/>
          <w:color w:val="000000"/>
          <w:szCs w:val="18"/>
        </w:rPr>
        <w:t xml:space="preserve"> O uso contínuo desta versão do software está sujeito aos direitos de uso do produto de licença do processador do BizTalk Server 2010 Standard; no entanto, os clientes não têm mais Mobilidade de Licenças por meio de Software Assurance.</w:t>
      </w:r>
    </w:p>
    <w:p w:rsidR="008233B3" w:rsidRPr="000A1C8E" w:rsidRDefault="00F3254C" w:rsidP="00346F4B">
      <w:pPr>
        <w:numPr>
          <w:ilvl w:val="0"/>
          <w:numId w:val="53"/>
        </w:numPr>
        <w:tabs>
          <w:tab w:val="left" w:pos="1800"/>
        </w:tabs>
        <w:spacing w:after="60"/>
        <w:ind w:left="1440"/>
        <w:rPr>
          <w:rFonts w:cs="Tahoma"/>
        </w:rPr>
      </w:pPr>
      <w:r w:rsidRPr="000A1C8E">
        <w:rPr>
          <w:rFonts w:eastAsia="Calibri" w:cs="Tahoma"/>
          <w:b/>
          <w:color w:val="000000"/>
          <w:szCs w:val="18"/>
        </w:rPr>
        <w:t xml:space="preserve">Última versão do BizTalk Server Standard: </w:t>
      </w:r>
      <w:r w:rsidRPr="000A1C8E">
        <w:rPr>
          <w:rFonts w:eastAsia="Calibri" w:cs="Tahoma"/>
          <w:color w:val="000000"/>
          <w:szCs w:val="18"/>
        </w:rPr>
        <w:t xml:space="preserve">O uso desta versão do software está sujeito aos direitos de uso do produto de licença do processador do BizTalk Server 2010 Standard, no entanto: </w:t>
      </w:r>
    </w:p>
    <w:p w:rsidR="008233B3" w:rsidRPr="000A1C8E" w:rsidRDefault="008233B3" w:rsidP="00346F4B">
      <w:pPr>
        <w:numPr>
          <w:ilvl w:val="1"/>
          <w:numId w:val="53"/>
        </w:numPr>
        <w:tabs>
          <w:tab w:val="left" w:pos="2160"/>
        </w:tabs>
        <w:spacing w:after="60"/>
        <w:ind w:left="2160"/>
        <w:rPr>
          <w:rFonts w:cs="Tahoma"/>
        </w:rPr>
      </w:pPr>
      <w:r w:rsidRPr="000A1C8E">
        <w:rPr>
          <w:rFonts w:eastAsia="Calibri" w:cs="Tahoma"/>
          <w:color w:val="000000"/>
          <w:szCs w:val="18"/>
        </w:rPr>
        <w:t xml:space="preserve">os clientes não têm mais Mobilidade de Licença nos Farms de Servidores nem Mobilidade de Licença por meio de Software Assurance e </w:t>
      </w:r>
    </w:p>
    <w:p w:rsidR="008233B3" w:rsidRPr="000A1C8E" w:rsidRDefault="008233B3" w:rsidP="00346F4B">
      <w:pPr>
        <w:numPr>
          <w:ilvl w:val="1"/>
          <w:numId w:val="53"/>
        </w:numPr>
        <w:tabs>
          <w:tab w:val="left" w:pos="2160"/>
          <w:tab w:val="left" w:pos="2970"/>
        </w:tabs>
        <w:spacing w:after="60"/>
        <w:ind w:left="2160"/>
        <w:rPr>
          <w:rFonts w:cs="Tahoma"/>
        </w:rPr>
      </w:pPr>
      <w:r w:rsidRPr="000A1C8E">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rsidR="008233B3" w:rsidRPr="000A1C8E" w:rsidRDefault="008233B3" w:rsidP="00346F4B">
      <w:pPr>
        <w:numPr>
          <w:ilvl w:val="2"/>
          <w:numId w:val="53"/>
        </w:numPr>
        <w:tabs>
          <w:tab w:val="left" w:pos="2520"/>
        </w:tabs>
        <w:spacing w:after="60"/>
        <w:ind w:left="2520"/>
        <w:rPr>
          <w:rFonts w:cs="Tahoma"/>
        </w:rPr>
      </w:pPr>
      <w:r w:rsidRPr="000A1C8E">
        <w:rPr>
          <w:rFonts w:eastAsia="Calibri" w:cs="Tahoma"/>
          <w:color w:val="000000"/>
          <w:szCs w:val="18"/>
        </w:rPr>
        <w:t xml:space="preserve">Para cada licença qualificada atribuída ao servidor, a equivalência de licença principal é maior do que: </w:t>
      </w:r>
    </w:p>
    <w:p w:rsidR="008233B3" w:rsidRPr="000A1C8E" w:rsidRDefault="008233B3" w:rsidP="00346F4B">
      <w:pPr>
        <w:numPr>
          <w:ilvl w:val="4"/>
          <w:numId w:val="126"/>
        </w:numPr>
        <w:tabs>
          <w:tab w:val="left" w:pos="2880"/>
        </w:tabs>
        <w:spacing w:after="60"/>
        <w:ind w:left="2880"/>
        <w:rPr>
          <w:rFonts w:cs="Tahoma"/>
        </w:rPr>
      </w:pPr>
      <w:r w:rsidRPr="000A1C8E">
        <w:rPr>
          <w:rFonts w:eastAsia="Calibri" w:cs="Tahoma"/>
          <w:color w:val="000000"/>
          <w:szCs w:val="18"/>
        </w:rPr>
        <w:t xml:space="preserve">quatro núcleos por licença de processador OU </w:t>
      </w:r>
    </w:p>
    <w:p w:rsidR="00466E9E" w:rsidRPr="000A1C8E" w:rsidRDefault="00466E9E" w:rsidP="00466E9E">
      <w:pPr>
        <w:tabs>
          <w:tab w:val="left" w:pos="2880"/>
        </w:tabs>
        <w:spacing w:after="60"/>
        <w:ind w:left="2880"/>
        <w:rPr>
          <w:rFonts w:cs="Tahoma"/>
        </w:rPr>
      </w:pPr>
    </w:p>
    <w:p w:rsidR="008233B3" w:rsidRPr="000A1C8E" w:rsidRDefault="008233B3" w:rsidP="000251E1">
      <w:pPr>
        <w:numPr>
          <w:ilvl w:val="4"/>
          <w:numId w:val="126"/>
        </w:numPr>
        <w:tabs>
          <w:tab w:val="left" w:pos="2880"/>
        </w:tabs>
        <w:spacing w:after="60"/>
        <w:ind w:left="2880"/>
        <w:rPr>
          <w:rFonts w:cs="Tahoma"/>
        </w:rPr>
      </w:pPr>
      <w:r w:rsidRPr="000A1C8E">
        <w:rPr>
          <w:rFonts w:eastAsia="Calibri" w:cs="Tahoma"/>
          <w:color w:val="000000"/>
          <w:szCs w:val="18"/>
        </w:rPr>
        <w:lastRenderedPageBreak/>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w:t>
      </w:r>
      <w:r w:rsidR="000251E1">
        <w:rPr>
          <w:rFonts w:eastAsia="Calibri" w:cs="Tahoma"/>
          <w:color w:val="000000"/>
          <w:szCs w:val="18"/>
        </w:rPr>
        <w:t>(</w:t>
      </w:r>
      <w:r w:rsidRPr="000A1C8E">
        <w:rPr>
          <w:rFonts w:eastAsia="Calibri" w:cs="Tahoma"/>
          <w:color w:val="000000"/>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0A1C8E" w:rsidRDefault="008233B3" w:rsidP="00346F4B">
      <w:pPr>
        <w:numPr>
          <w:ilvl w:val="1"/>
          <w:numId w:val="128"/>
        </w:numPr>
        <w:tabs>
          <w:tab w:val="left" w:pos="1800"/>
        </w:tabs>
        <w:spacing w:after="60"/>
        <w:rPr>
          <w:rFonts w:cs="Tahoma"/>
        </w:rPr>
      </w:pPr>
      <w:r w:rsidRPr="000A1C8E">
        <w:rPr>
          <w:rFonts w:eastAsia="Calibri" w:cs="Tahoma"/>
          <w:color w:val="000000"/>
          <w:szCs w:val="18"/>
        </w:rPr>
        <w:t xml:space="preserve">Os Clientes </w:t>
      </w:r>
      <w:r w:rsidRPr="000A1C8E">
        <w:rPr>
          <w:rFonts w:eastAsia="Calibri" w:cs="Tahoma"/>
          <w:szCs w:val="18"/>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8233B3" w:rsidRPr="000A1C8E" w:rsidRDefault="008233B3" w:rsidP="00346F4B">
      <w:pPr>
        <w:numPr>
          <w:ilvl w:val="1"/>
          <w:numId w:val="128"/>
        </w:numPr>
        <w:tabs>
          <w:tab w:val="left" w:pos="1800"/>
          <w:tab w:val="left" w:pos="2970"/>
        </w:tabs>
        <w:spacing w:after="60"/>
        <w:rPr>
          <w:rFonts w:cs="Tahoma"/>
        </w:rPr>
      </w:pPr>
      <w:r w:rsidRPr="000A1C8E">
        <w:rPr>
          <w:rFonts w:eastAsia="Calibri" w:cs="Tahoma"/>
          <w:color w:val="000000"/>
          <w:szCs w:val="18"/>
        </w:rPr>
        <w:t>A equivalência de licença principal dos clientes não implica que eles podem atribuir uma única licença de processador a núcleos por dois ou mais processadores.</w:t>
      </w:r>
    </w:p>
    <w:p w:rsidR="003540FA" w:rsidRPr="000A1C8E" w:rsidRDefault="003540FA" w:rsidP="00A66BD2">
      <w:pPr>
        <w:ind w:left="540"/>
        <w:rPr>
          <w:rFonts w:cs="Tahoma"/>
        </w:rPr>
      </w:pPr>
    </w:p>
    <w:p w:rsidR="00676723" w:rsidRPr="000A1C8E" w:rsidRDefault="00676723" w:rsidP="00A66BD2">
      <w:pPr>
        <w:ind w:left="540"/>
        <w:rPr>
          <w:rFonts w:cs="Tahoma"/>
        </w:rPr>
      </w:pPr>
    </w:p>
    <w:p w:rsidR="007B48BC" w:rsidRPr="000A1C8E" w:rsidRDefault="00A560B6" w:rsidP="000773D2">
      <w:pPr>
        <w:pStyle w:val="Heading3"/>
        <w:ind w:left="270" w:hanging="270"/>
        <w:rPr>
          <w:rFonts w:ascii="Tahoma" w:hAnsi="Tahoma" w:cs="Tahoma"/>
        </w:rPr>
      </w:pPr>
      <w:bookmarkStart w:id="1175" w:name="_38_Business_Intelligence"/>
      <w:bookmarkStart w:id="1176" w:name="_39_Business_Intelligence"/>
      <w:bookmarkStart w:id="1177" w:name="_Toc336338293"/>
      <w:bookmarkStart w:id="1178" w:name="_Toc361829382"/>
      <w:bookmarkStart w:id="1179" w:name="Srv_35BusinessIntellApp2012"/>
      <w:bookmarkStart w:id="1180" w:name="Srv_35CoreCALBridgeWinIntune"/>
      <w:bookmarkEnd w:id="1175"/>
      <w:bookmarkEnd w:id="1176"/>
      <w:r w:rsidRPr="000A1C8E">
        <w:rPr>
          <w:rFonts w:ascii="Tahoma" w:hAnsi="Tahoma" w:cs="Tahoma"/>
          <w:caps/>
          <w:color w:val="F66400"/>
          <w:sz w:val="22"/>
          <w:vertAlign w:val="superscript"/>
        </w:rPr>
        <w:t xml:space="preserve">39 </w:t>
      </w:r>
      <w:r w:rsidRPr="000A1C8E">
        <w:rPr>
          <w:rFonts w:ascii="Tahoma" w:hAnsi="Tahoma" w:cs="Tahoma"/>
          <w:color w:val="F66400"/>
          <w:sz w:val="22"/>
        </w:rPr>
        <w:t>Business Intelligence Appliance 2012</w:t>
      </w:r>
      <w:bookmarkEnd w:id="1177"/>
      <w:bookmarkEnd w:id="1178"/>
      <w:r w:rsidRPr="000A1C8E">
        <w:rPr>
          <w:rFonts w:ascii="Tahoma" w:hAnsi="Tahoma" w:cs="Tahoma"/>
          <w:caps/>
          <w:color w:val="F66400"/>
          <w:sz w:val="22"/>
          <w:vertAlign w:val="superscript"/>
        </w:rPr>
        <w:t xml:space="preserve"> </w:t>
      </w:r>
    </w:p>
    <w:bookmarkEnd w:id="1179"/>
    <w:p w:rsidR="007B48BC" w:rsidRPr="000A1C8E" w:rsidRDefault="007B48BC" w:rsidP="007B48BC">
      <w:pPr>
        <w:rPr>
          <w:rFonts w:cs="Tahoma"/>
        </w:rPr>
      </w:pPr>
    </w:p>
    <w:p w:rsidR="00E03856" w:rsidRPr="00552221" w:rsidRDefault="00E50460" w:rsidP="00552221">
      <w:pPr>
        <w:ind w:left="720"/>
        <w:rPr>
          <w:rFonts w:cs="Tahoma"/>
        </w:rPr>
      </w:pPr>
      <w:r w:rsidRPr="00552221">
        <w:rPr>
          <w:rFonts w:cs="Tahoma"/>
          <w:szCs w:val="18"/>
        </w:rPr>
        <w:t>O software Business Intelligence Appliance 2012, que incorpora o SQL Server 2008 R2 e SharePoint Server 2010, está disponível somente nas configurações de hardware e software aprovadas pela Microsoft.</w:t>
      </w:r>
      <w:r w:rsidR="00DC6D8B" w:rsidRPr="00552221">
        <w:rPr>
          <w:rFonts w:cs="Tahoma"/>
          <w:szCs w:val="18"/>
        </w:rPr>
        <w:t xml:space="preserve"> </w:t>
      </w:r>
      <w:r w:rsidRPr="00552221">
        <w:rPr>
          <w:rFonts w:cs="Tahoma"/>
          <w:szCs w:val="18"/>
        </w:rPr>
        <w:t>Não</w:t>
      </w:r>
      <w:r w:rsidR="00552221">
        <w:rPr>
          <w:rFonts w:cs="Tahoma"/>
          <w:szCs w:val="18"/>
        </w:rPr>
        <w:t> </w:t>
      </w:r>
      <w:r w:rsidRPr="00552221">
        <w:rPr>
          <w:rFonts w:cs="Tahoma"/>
          <w:szCs w:val="18"/>
        </w:rPr>
        <w:t>há</w:t>
      </w:r>
      <w:r w:rsidR="00552221">
        <w:rPr>
          <w:rFonts w:cs="Tahoma"/>
          <w:szCs w:val="18"/>
        </w:rPr>
        <w:t> </w:t>
      </w:r>
      <w:r w:rsidRPr="00552221">
        <w:rPr>
          <w:rFonts w:cs="Tahoma"/>
          <w:szCs w:val="18"/>
        </w:rPr>
        <w:t>suporte para o uso do software em outras configurações e, nesse caso, o desempenho poderá afetado.</w:t>
      </w:r>
      <w:r w:rsidR="00DC6D8B" w:rsidRPr="00552221">
        <w:rPr>
          <w:rFonts w:cs="Tahoma"/>
          <w:szCs w:val="18"/>
        </w:rPr>
        <w:t xml:space="preserve"> </w:t>
      </w:r>
      <w:r w:rsidRPr="00552221">
        <w:rPr>
          <w:rFonts w:cs="Tahoma"/>
          <w:szCs w:val="18"/>
        </w:rPr>
        <w:t>Para obter mais informações, visite o site</w:t>
      </w:r>
      <w:r w:rsidRPr="00552221">
        <w:rPr>
          <w:rFonts w:cs="Tahoma"/>
          <w:color w:val="1F497D"/>
          <w:szCs w:val="18"/>
        </w:rPr>
        <w:t xml:space="preserve"> </w:t>
      </w:r>
      <w:r w:rsidR="00552221">
        <w:rPr>
          <w:rFonts w:cs="Tahoma"/>
          <w:color w:val="1F497D"/>
          <w:szCs w:val="18"/>
        </w:rPr>
        <w:br/>
      </w:r>
      <w:hyperlink r:id="rId52" w:tooltip="http://www.microsoft.com/sqlserver/en/us/get-sql-server/how-to-buy.aspx" w:history="1">
        <w:r w:rsidRPr="00552221">
          <w:rPr>
            <w:rStyle w:val="Hyperlink"/>
            <w:rFonts w:cs="Tahoma"/>
            <w:szCs w:val="18"/>
          </w:rPr>
          <w:t>http://www.microsoft.com/sqlserver/en/us/get-sql-server/how-to-buy.aspx</w:t>
        </w:r>
      </w:hyperlink>
      <w:r w:rsidRPr="00552221">
        <w:rPr>
          <w:rFonts w:cs="Tahoma"/>
          <w:szCs w:val="18"/>
        </w:rPr>
        <w:t>.</w:t>
      </w:r>
      <w:r w:rsidR="00DC6D8B" w:rsidRPr="00552221">
        <w:rPr>
          <w:rFonts w:cs="Tahoma"/>
          <w:szCs w:val="18"/>
        </w:rPr>
        <w:t xml:space="preserve"> </w:t>
      </w:r>
    </w:p>
    <w:p w:rsidR="00A66BD2" w:rsidRPr="000A1C8E" w:rsidRDefault="00A66BD2" w:rsidP="00A66BD2">
      <w:pPr>
        <w:rPr>
          <w:rFonts w:cs="Tahoma"/>
        </w:rPr>
      </w:pPr>
    </w:p>
    <w:p w:rsidR="00A66BD2" w:rsidRPr="000A1C8E" w:rsidRDefault="00A66BD2" w:rsidP="00A66BD2">
      <w:pPr>
        <w:rPr>
          <w:rFonts w:cs="Tahoma"/>
        </w:rPr>
      </w:pPr>
    </w:p>
    <w:p w:rsidR="003540FA" w:rsidRPr="000A1C8E" w:rsidRDefault="00A560B6" w:rsidP="000773D2">
      <w:pPr>
        <w:pStyle w:val="Heading3"/>
        <w:ind w:left="270" w:hanging="270"/>
        <w:rPr>
          <w:rFonts w:ascii="Tahoma" w:hAnsi="Tahoma" w:cs="Tahoma"/>
        </w:rPr>
      </w:pPr>
      <w:bookmarkStart w:id="1181" w:name="_39_Core_CAL"/>
      <w:bookmarkStart w:id="1182" w:name="_40_Bridge_do"/>
      <w:bookmarkStart w:id="1183" w:name="_Toc336338294"/>
      <w:bookmarkStart w:id="1184" w:name="_Toc361829383"/>
      <w:bookmarkEnd w:id="1181"/>
      <w:bookmarkEnd w:id="1182"/>
      <w:r w:rsidRPr="000A1C8E">
        <w:rPr>
          <w:rFonts w:ascii="Tahoma" w:hAnsi="Tahoma" w:cs="Tahoma"/>
          <w:caps/>
          <w:color w:val="F66400"/>
          <w:sz w:val="22"/>
          <w:vertAlign w:val="superscript"/>
        </w:rPr>
        <w:t>40</w:t>
      </w:r>
      <w:r w:rsidRPr="000A1C8E">
        <w:rPr>
          <w:rFonts w:ascii="Tahoma" w:hAnsi="Tahoma" w:cs="Tahoma"/>
          <w:color w:val="F66400"/>
          <w:sz w:val="22"/>
        </w:rPr>
        <w:t xml:space="preserve"> Bridge </w:t>
      </w:r>
      <w:r w:rsidRPr="000A1C8E">
        <w:rPr>
          <w:rFonts w:ascii="Tahoma" w:hAnsi="Tahoma" w:cs="Tahoma"/>
          <w:color w:val="FF6600"/>
          <w:sz w:val="22"/>
        </w:rPr>
        <w:t>do Pacote de CALs Principais para Office 365, Bridge do Pacote de CALs Principais para Office 365 e Windows Intune e Bridge do Pacote de CALs Principais para Windows Intune</w:t>
      </w:r>
      <w:bookmarkEnd w:id="1183"/>
      <w:bookmarkEnd w:id="1184"/>
    </w:p>
    <w:bookmarkEnd w:id="1180"/>
    <w:p w:rsidR="003540FA" w:rsidRPr="000A1C8E" w:rsidRDefault="003540FA" w:rsidP="00A66BD2">
      <w:pPr>
        <w:ind w:left="540"/>
        <w:rPr>
          <w:rFonts w:cs="Tahoma"/>
        </w:rPr>
      </w:pPr>
    </w:p>
    <w:p w:rsidR="00A66BD2" w:rsidRPr="000A1C8E" w:rsidRDefault="000773D2" w:rsidP="00A66BD2">
      <w:pPr>
        <w:spacing w:after="60"/>
        <w:ind w:left="720"/>
        <w:rPr>
          <w:rFonts w:cs="Tahoma"/>
        </w:rPr>
      </w:pPr>
      <w:r w:rsidRPr="000A1C8E">
        <w:rPr>
          <w:rFonts w:cs="Tahoma"/>
          <w:b/>
          <w:szCs w:val="18"/>
        </w:rPr>
        <w:t>Definição</w:t>
      </w:r>
    </w:p>
    <w:p w:rsidR="000773D2" w:rsidRPr="000A1C8E" w:rsidRDefault="00A66BD2" w:rsidP="00A66BD2">
      <w:pPr>
        <w:ind w:left="720"/>
        <w:rPr>
          <w:rFonts w:cs="Tahoma"/>
        </w:rPr>
      </w:pPr>
      <w:r w:rsidRPr="000A1C8E">
        <w:rPr>
          <w:rFonts w:cs="Tahoma"/>
          <w:b/>
          <w:szCs w:val="18"/>
        </w:rPr>
        <w:t>“</w:t>
      </w:r>
      <w:r w:rsidRPr="000A1C8E">
        <w:rPr>
          <w:rFonts w:cs="Tahoma"/>
          <w:szCs w:val="18"/>
        </w:rPr>
        <w:t>Transição” significa a conversão de uma Licença com o Software Assurance atual para ou de uma licença de assinatura.</w:t>
      </w:r>
      <w:r w:rsidR="00DC6D8B" w:rsidRPr="000A1C8E">
        <w:rPr>
          <w:rFonts w:cs="Tahoma"/>
          <w:szCs w:val="18"/>
        </w:rPr>
        <w:t xml:space="preserve"> </w:t>
      </w:r>
    </w:p>
    <w:p w:rsidR="00A66BD2" w:rsidRPr="000A1C8E" w:rsidRDefault="00A66BD2" w:rsidP="00A66BD2">
      <w:pPr>
        <w:ind w:left="720"/>
        <w:rPr>
          <w:rFonts w:cs="Tahoma"/>
        </w:rPr>
      </w:pPr>
    </w:p>
    <w:p w:rsidR="00A66BD2" w:rsidRPr="000A1C8E" w:rsidRDefault="000773D2" w:rsidP="00A66BD2">
      <w:pPr>
        <w:spacing w:after="60"/>
        <w:ind w:left="720"/>
        <w:rPr>
          <w:rFonts w:cs="Tahoma"/>
        </w:rPr>
      </w:pPr>
      <w:r w:rsidRPr="000A1C8E">
        <w:rPr>
          <w:rFonts w:cs="Tahoma"/>
          <w:b/>
          <w:szCs w:val="18"/>
        </w:rPr>
        <w:t xml:space="preserve">Direitos de Uso Aplicáveis </w:t>
      </w:r>
    </w:p>
    <w:p w:rsidR="000773D2" w:rsidRPr="000A1C8E" w:rsidRDefault="000773D2" w:rsidP="00A66BD2">
      <w:pPr>
        <w:spacing w:line="276" w:lineRule="auto"/>
        <w:ind w:left="720"/>
        <w:rPr>
          <w:rFonts w:cs="Tahoma"/>
        </w:rPr>
      </w:pPr>
      <w:r w:rsidRPr="000A1C8E">
        <w:rPr>
          <w:rFonts w:eastAsia="Calibri" w:cs="Tahoma"/>
          <w:szCs w:val="18"/>
        </w:rPr>
        <w:t>O Bridge do Pacote de CALs é independente da versão e os Direitos de Uso de Produto são determinados pelo status da cobertura do Software Assurance sobre ele.</w:t>
      </w:r>
      <w:r w:rsidR="00DC6D8B" w:rsidRPr="000A1C8E">
        <w:rPr>
          <w:rFonts w:eastAsia="Calibri" w:cs="Tahoma"/>
          <w:szCs w:val="18"/>
        </w:rPr>
        <w:t xml:space="preserve"> </w:t>
      </w:r>
      <w:r w:rsidRPr="000A1C8E">
        <w:rPr>
          <w:rFonts w:eastAsia="Calibri" w:cs="Tahoma"/>
          <w:szCs w:val="18"/>
        </w:rPr>
        <w:t>Se a cobertura for interrompida, os direitos de acesso sob as Licenças perpétuas serão determinados com base nos Direitos de Uso de Produto em vigor antes da interrupção.</w:t>
      </w:r>
      <w:r w:rsidR="00DC6D8B" w:rsidRPr="000A1C8E">
        <w:rPr>
          <w:rFonts w:eastAsia="Calibri" w:cs="Tahoma"/>
          <w:szCs w:val="18"/>
        </w:rPr>
        <w:t xml:space="preserve"> </w:t>
      </w:r>
      <w:r w:rsidRPr="000A1C8E">
        <w:rPr>
          <w:rFonts w:eastAsia="Calibri" w:cs="Tahoma"/>
          <w:szCs w:val="18"/>
        </w:rPr>
        <w:t>A Licença para um Bridge do Pacote de CALs é uma licença individual que deverá ser cedida a um único usuário ou dispositivo.</w:t>
      </w:r>
    </w:p>
    <w:p w:rsidR="00A66BD2" w:rsidRPr="000A1C8E" w:rsidRDefault="00A66BD2" w:rsidP="00A66BD2">
      <w:pPr>
        <w:spacing w:line="276" w:lineRule="auto"/>
        <w:ind w:left="720"/>
        <w:rPr>
          <w:rFonts w:cs="Tahoma"/>
        </w:rPr>
      </w:pPr>
    </w:p>
    <w:p w:rsidR="00A66BD2" w:rsidRPr="000A1C8E" w:rsidRDefault="000773D2" w:rsidP="00A66BD2">
      <w:pPr>
        <w:spacing w:after="60"/>
        <w:ind w:left="720"/>
        <w:rPr>
          <w:rFonts w:cs="Tahoma"/>
        </w:rPr>
      </w:pPr>
      <w:r w:rsidRPr="000A1C8E">
        <w:rPr>
          <w:rFonts w:cs="Tahoma"/>
          <w:b/>
          <w:szCs w:val="18"/>
        </w:rPr>
        <w:t>Exigências</w:t>
      </w:r>
    </w:p>
    <w:p w:rsidR="000773D2" w:rsidRPr="000A1C8E" w:rsidRDefault="000773D2" w:rsidP="00A66BD2">
      <w:pPr>
        <w:spacing w:line="276" w:lineRule="auto"/>
        <w:ind w:left="720"/>
        <w:rPr>
          <w:rFonts w:cs="Tahoma"/>
        </w:rPr>
      </w:pPr>
      <w:r w:rsidRPr="000A1C8E">
        <w:rPr>
          <w:rFonts w:eastAsia="Calibri" w:cs="Tahoma"/>
          <w:szCs w:val="18"/>
        </w:rPr>
        <w:t>Um Bridge do Pacote de CALs poderá ser solicitado durante a Transição de um Pacote de CALs para uma combinação de Produto e Serviço Online comparáveis.</w:t>
      </w:r>
      <w:r w:rsidR="00DC6D8B" w:rsidRPr="000A1C8E">
        <w:rPr>
          <w:rFonts w:eastAsia="Calibri" w:cs="Tahoma"/>
          <w:szCs w:val="18"/>
        </w:rPr>
        <w:t xml:space="preserve"> </w:t>
      </w:r>
      <w:r w:rsidRPr="000A1C8E">
        <w:rPr>
          <w:rFonts w:eastAsia="Calibri" w:cs="Tahoma"/>
          <w:szCs w:val="18"/>
        </w:rPr>
        <w:t>Quando uma Transição requerer um Brigde do Pacote de CALs e a Licença qualificada tiver sido paga integralmente pelo Cliente, não será necessário comprar nenhuma Licença do Bridge do Pacote de CALs.</w:t>
      </w:r>
      <w:r w:rsidR="00DC6D8B" w:rsidRPr="000A1C8E">
        <w:rPr>
          <w:rFonts w:eastAsia="Calibri" w:cs="Tahoma"/>
          <w:szCs w:val="18"/>
        </w:rPr>
        <w:t xml:space="preserve"> </w:t>
      </w:r>
      <w:r w:rsidRPr="000A1C8E">
        <w:rPr>
          <w:rFonts w:eastAsia="Calibri" w:cs="Tahoma"/>
          <w:szCs w:val="18"/>
        </w:rPr>
        <w:t>Em vez disso, o Software Assurance poderá ser comprado para o Bridge do Pacote de CALs no aniversário do Registro em que a Transição entrar em vigor.</w:t>
      </w:r>
      <w:r w:rsidR="00DC6D8B" w:rsidRPr="000A1C8E">
        <w:rPr>
          <w:rFonts w:eastAsia="Calibri" w:cs="Tahoma"/>
          <w:szCs w:val="18"/>
        </w:rPr>
        <w:t xml:space="preserve"> </w:t>
      </w:r>
      <w:r w:rsidRPr="000A1C8E">
        <w:rPr>
          <w:rFonts w:eastAsia="Calibri" w:cs="Tahoma"/>
          <w:szCs w:val="18"/>
        </w:rPr>
        <w:t>Nessas circunstâncias, a relação de Transição poderá ser de um Bridge do Pacote de CALs com Software Assurance para um Pacote de CALs com Software Assurance e para a mesma Licença de usuário ou dispositivo como o Pacote de CALs qualificado.</w:t>
      </w:r>
      <w:r w:rsidR="00DC6D8B" w:rsidRPr="000A1C8E">
        <w:rPr>
          <w:rFonts w:eastAsia="Calibri" w:cs="Tahoma"/>
          <w:szCs w:val="18"/>
        </w:rPr>
        <w:t xml:space="preserve"> </w:t>
      </w:r>
    </w:p>
    <w:p w:rsidR="00A66BD2" w:rsidRPr="000A1C8E" w:rsidRDefault="00A66BD2" w:rsidP="00A66BD2">
      <w:pPr>
        <w:spacing w:line="276" w:lineRule="auto"/>
        <w:ind w:left="720"/>
        <w:rPr>
          <w:rFonts w:cs="Tahoma"/>
        </w:rPr>
      </w:pPr>
    </w:p>
    <w:p w:rsidR="000773D2" w:rsidRPr="000A1C8E" w:rsidRDefault="000773D2" w:rsidP="00A66BD2">
      <w:pPr>
        <w:spacing w:line="276" w:lineRule="auto"/>
        <w:ind w:left="720"/>
        <w:rPr>
          <w:rFonts w:cs="Tahoma"/>
        </w:rPr>
      </w:pPr>
      <w:r w:rsidRPr="000A1C8E">
        <w:rPr>
          <w:rFonts w:eastAsia="Calibri" w:cs="Tahoma"/>
          <w:szCs w:val="18"/>
        </w:rPr>
        <w:t>Um Bridge do Pacote de CALs é um Produto Enterprise e pode ser licenciado em conjunto com o Serviço Online qualificado para atender os requisitos para toda a empresa desse Bridge do Pacote de CALs ou do Pacote de CALs pai.</w:t>
      </w:r>
    </w:p>
    <w:tbl>
      <w:tblPr>
        <w:tblW w:w="4462" w:type="pct"/>
        <w:tblInd w:w="730" w:type="dxa"/>
        <w:tblCellMar>
          <w:left w:w="0" w:type="dxa"/>
          <w:right w:w="0" w:type="dxa"/>
        </w:tblCellMar>
        <w:tblLook w:val="04A0" w:firstRow="1" w:lastRow="0" w:firstColumn="1" w:lastColumn="0" w:noHBand="0" w:noVBand="1"/>
      </w:tblPr>
      <w:tblGrid>
        <w:gridCol w:w="2779"/>
        <w:gridCol w:w="2329"/>
        <w:gridCol w:w="3227"/>
      </w:tblGrid>
      <w:tr w:rsidR="005A36EF" w:rsidRPr="000A1C8E" w:rsidTr="00466E9E">
        <w:trPr>
          <w:tblHead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0A1C8E" w:rsidRDefault="000773D2" w:rsidP="000773D2">
            <w:pPr>
              <w:spacing w:before="80" w:after="200" w:line="276" w:lineRule="auto"/>
              <w:jc w:val="center"/>
              <w:rPr>
                <w:rFonts w:eastAsia="Calibri" w:cs="Tahoma"/>
                <w:b/>
                <w:bCs/>
                <w:color w:val="000000"/>
                <w:szCs w:val="18"/>
                <w:lang w:eastAsia="ja-JP"/>
              </w:rPr>
            </w:pPr>
            <w:r w:rsidRPr="000A1C8E">
              <w:rPr>
                <w:rFonts w:eastAsia="Calibri" w:cs="Tahoma"/>
                <w:b/>
                <w:bCs/>
                <w:szCs w:val="18"/>
              </w:rPr>
              <w:lastRenderedPageBreak/>
              <w:t>Bridge do Pacote de CALs</w:t>
            </w:r>
          </w:p>
        </w:tc>
        <w:tc>
          <w:tcPr>
            <w:tcW w:w="1397" w:type="pct"/>
            <w:tcBorders>
              <w:top w:val="single" w:sz="8" w:space="0" w:color="auto"/>
              <w:left w:val="nil"/>
              <w:bottom w:val="single" w:sz="8" w:space="0" w:color="auto"/>
              <w:right w:val="single" w:sz="8" w:space="0" w:color="auto"/>
            </w:tcBorders>
            <w:shd w:val="clear" w:color="auto" w:fill="FABF8F"/>
            <w:vAlign w:val="center"/>
            <w:hideMark/>
          </w:tcPr>
          <w:p w:rsidR="000773D2" w:rsidRPr="000A1C8E" w:rsidRDefault="000773D2" w:rsidP="000773D2">
            <w:pPr>
              <w:spacing w:before="80" w:after="200" w:line="276" w:lineRule="auto"/>
              <w:jc w:val="center"/>
              <w:rPr>
                <w:rFonts w:eastAsia="Calibri" w:cs="Tahoma"/>
                <w:b/>
                <w:bCs/>
                <w:color w:val="000000"/>
                <w:szCs w:val="18"/>
                <w:lang w:eastAsia="ja-JP"/>
              </w:rPr>
            </w:pPr>
            <w:r w:rsidRPr="000A1C8E">
              <w:rPr>
                <w:rFonts w:eastAsia="Calibri" w:cs="Tahoma"/>
                <w:b/>
                <w:bCs/>
                <w:szCs w:val="18"/>
              </w:rPr>
              <w:t>Pacote de CALs Pai</w:t>
            </w:r>
          </w:p>
        </w:tc>
        <w:tc>
          <w:tcPr>
            <w:tcW w:w="1936" w:type="pct"/>
            <w:tcBorders>
              <w:top w:val="single" w:sz="8" w:space="0" w:color="auto"/>
              <w:left w:val="nil"/>
              <w:bottom w:val="single" w:sz="8" w:space="0" w:color="auto"/>
              <w:right w:val="single" w:sz="8" w:space="0" w:color="auto"/>
            </w:tcBorders>
            <w:shd w:val="clear" w:color="auto" w:fill="FABF8F"/>
            <w:hideMark/>
          </w:tcPr>
          <w:p w:rsidR="000773D2" w:rsidRPr="000A1C8E" w:rsidRDefault="000773D2" w:rsidP="005A36EF">
            <w:pPr>
              <w:spacing w:before="80" w:after="200" w:line="276" w:lineRule="auto"/>
              <w:ind w:left="180" w:right="180"/>
              <w:jc w:val="center"/>
              <w:rPr>
                <w:rFonts w:eastAsia="Calibri" w:cs="Tahoma"/>
                <w:b/>
                <w:bCs/>
                <w:color w:val="000000"/>
                <w:szCs w:val="18"/>
                <w:lang w:eastAsia="ja-JP"/>
              </w:rPr>
            </w:pPr>
            <w:r w:rsidRPr="000A1C8E">
              <w:rPr>
                <w:rFonts w:eastAsia="Calibri" w:cs="Tahoma"/>
                <w:b/>
                <w:bCs/>
                <w:szCs w:val="18"/>
              </w:rPr>
              <w:t>Serviços Online Qualificados</w:t>
            </w:r>
          </w:p>
        </w:tc>
      </w:tr>
      <w:tr w:rsidR="005A36EF" w:rsidRPr="000A1C8E" w:rsidTr="00466E9E">
        <w:trPr>
          <w:trHeight w:val="576"/>
        </w:trPr>
        <w:tc>
          <w:tcPr>
            <w:tcW w:w="1667" w:type="pct"/>
            <w:tcBorders>
              <w:top w:val="nil"/>
              <w:left w:val="single" w:sz="8" w:space="0" w:color="auto"/>
              <w:bottom w:val="single" w:sz="8" w:space="0" w:color="auto"/>
              <w:right w:val="single" w:sz="8" w:space="0" w:color="auto"/>
            </w:tcBorders>
          </w:tcPr>
          <w:p w:rsidR="000773D2" w:rsidRPr="000A1C8E" w:rsidRDefault="000773D2" w:rsidP="00346F4B">
            <w:pPr>
              <w:numPr>
                <w:ilvl w:val="0"/>
                <w:numId w:val="40"/>
              </w:numPr>
              <w:spacing w:before="120" w:after="200" w:line="276" w:lineRule="auto"/>
              <w:ind w:left="679" w:right="181" w:hanging="450"/>
              <w:rPr>
                <w:rFonts w:eastAsia="Calibri" w:cs="Tahoma"/>
                <w:color w:val="000000"/>
                <w:szCs w:val="18"/>
              </w:rPr>
            </w:pPr>
            <w:r w:rsidRPr="000A1C8E">
              <w:rPr>
                <w:rFonts w:eastAsia="Calibri" w:cs="Tahoma"/>
                <w:color w:val="000000"/>
                <w:szCs w:val="18"/>
              </w:rPr>
              <w:t>Bridge do Pacote de CALs Principais para Office 365</w:t>
            </w:r>
          </w:p>
        </w:tc>
        <w:tc>
          <w:tcPr>
            <w:tcW w:w="1397" w:type="pct"/>
            <w:tcBorders>
              <w:top w:val="nil"/>
              <w:left w:val="nil"/>
              <w:bottom w:val="single" w:sz="8" w:space="0" w:color="auto"/>
              <w:right w:val="single" w:sz="8" w:space="0" w:color="auto"/>
            </w:tcBorders>
          </w:tcPr>
          <w:p w:rsidR="000773D2" w:rsidRPr="000A1C8E" w:rsidRDefault="000773D2" w:rsidP="00346F4B">
            <w:pPr>
              <w:numPr>
                <w:ilvl w:val="0"/>
                <w:numId w:val="41"/>
              </w:numPr>
              <w:spacing w:before="120" w:after="200" w:line="276" w:lineRule="auto"/>
              <w:ind w:left="682" w:hanging="450"/>
              <w:rPr>
                <w:rFonts w:eastAsia="Calibri" w:cs="Tahoma"/>
                <w:color w:val="000000"/>
                <w:szCs w:val="18"/>
              </w:rPr>
            </w:pPr>
            <w:r w:rsidRPr="000A1C8E">
              <w:rPr>
                <w:rFonts w:eastAsia="Calibri" w:cs="Tahoma"/>
                <w:color w:val="000000"/>
                <w:szCs w:val="18"/>
              </w:rPr>
              <w:t>Core CAL Suite</w:t>
            </w:r>
          </w:p>
        </w:tc>
        <w:tc>
          <w:tcPr>
            <w:tcW w:w="1936" w:type="pct"/>
            <w:tcBorders>
              <w:top w:val="nil"/>
              <w:left w:val="nil"/>
              <w:bottom w:val="single" w:sz="8" w:space="0" w:color="auto"/>
              <w:right w:val="single" w:sz="8" w:space="0" w:color="auto"/>
            </w:tcBorders>
          </w:tcPr>
          <w:p w:rsidR="000773D2" w:rsidRPr="000A1C8E" w:rsidRDefault="000773D2" w:rsidP="00346F4B">
            <w:pPr>
              <w:numPr>
                <w:ilvl w:val="0"/>
                <w:numId w:val="42"/>
              </w:numPr>
              <w:spacing w:before="120" w:after="200" w:line="276" w:lineRule="auto"/>
              <w:ind w:left="684" w:right="181" w:hanging="450"/>
              <w:rPr>
                <w:rFonts w:cs="Tahoma"/>
              </w:rPr>
            </w:pPr>
            <w:r w:rsidRPr="000A1C8E">
              <w:rPr>
                <w:rFonts w:eastAsia="Calibri" w:cs="Tahoma"/>
                <w:color w:val="000000"/>
                <w:szCs w:val="18"/>
              </w:rPr>
              <w:t>Office 365 Enterprise E1 ou</w:t>
            </w:r>
          </w:p>
          <w:p w:rsidR="000773D2" w:rsidRPr="000A1C8E" w:rsidRDefault="000773D2" w:rsidP="00346F4B">
            <w:pPr>
              <w:numPr>
                <w:ilvl w:val="0"/>
                <w:numId w:val="42"/>
              </w:numPr>
              <w:spacing w:before="120" w:after="200" w:line="276" w:lineRule="auto"/>
              <w:ind w:left="684" w:right="181" w:hanging="450"/>
              <w:rPr>
                <w:rFonts w:cs="Tahoma"/>
              </w:rPr>
            </w:pPr>
            <w:r w:rsidRPr="000A1C8E">
              <w:rPr>
                <w:rFonts w:eastAsia="Calibri" w:cs="Tahoma"/>
                <w:color w:val="000000"/>
                <w:szCs w:val="18"/>
              </w:rPr>
              <w:t>Office 365 Enterprise E2 ou</w:t>
            </w:r>
          </w:p>
          <w:p w:rsidR="000773D2" w:rsidRPr="000A1C8E" w:rsidRDefault="000773D2" w:rsidP="00346F4B">
            <w:pPr>
              <w:numPr>
                <w:ilvl w:val="0"/>
                <w:numId w:val="42"/>
              </w:numPr>
              <w:spacing w:before="120" w:after="200" w:line="276" w:lineRule="auto"/>
              <w:ind w:left="684" w:right="181" w:hanging="450"/>
              <w:rPr>
                <w:rFonts w:cs="Tahoma"/>
              </w:rPr>
            </w:pPr>
            <w:r w:rsidRPr="000A1C8E">
              <w:rPr>
                <w:rFonts w:eastAsia="Calibri" w:cs="Tahoma"/>
                <w:color w:val="000000"/>
                <w:szCs w:val="18"/>
              </w:rPr>
              <w:t>Office 365 Enterprise E3 ou</w:t>
            </w:r>
          </w:p>
          <w:p w:rsidR="000773D2" w:rsidRPr="000A1C8E" w:rsidRDefault="000773D2" w:rsidP="00346F4B">
            <w:pPr>
              <w:numPr>
                <w:ilvl w:val="0"/>
                <w:numId w:val="42"/>
              </w:numPr>
              <w:spacing w:before="120" w:after="200" w:line="276" w:lineRule="auto"/>
              <w:ind w:left="684" w:right="181" w:hanging="450"/>
              <w:rPr>
                <w:rFonts w:eastAsia="Calibri" w:cs="Tahoma"/>
                <w:color w:val="000000"/>
                <w:szCs w:val="18"/>
              </w:rPr>
            </w:pPr>
            <w:r w:rsidRPr="000A1C8E">
              <w:rPr>
                <w:rFonts w:eastAsia="Calibri" w:cs="Tahoma"/>
                <w:color w:val="000000"/>
                <w:szCs w:val="18"/>
              </w:rPr>
              <w:t>Office 365 Enterprise E4</w:t>
            </w:r>
          </w:p>
        </w:tc>
      </w:tr>
      <w:tr w:rsidR="005A36EF" w:rsidRPr="000A1C8E" w:rsidTr="00466E9E">
        <w:trPr>
          <w:trHeight w:val="576"/>
        </w:trPr>
        <w:tc>
          <w:tcPr>
            <w:tcW w:w="1667" w:type="pct"/>
            <w:tcBorders>
              <w:top w:val="nil"/>
              <w:left w:val="single" w:sz="8" w:space="0" w:color="auto"/>
              <w:bottom w:val="single" w:sz="8" w:space="0" w:color="auto"/>
              <w:right w:val="single" w:sz="8" w:space="0" w:color="auto"/>
            </w:tcBorders>
          </w:tcPr>
          <w:p w:rsidR="000773D2" w:rsidRPr="000A1C8E" w:rsidRDefault="000773D2" w:rsidP="00346F4B">
            <w:pPr>
              <w:numPr>
                <w:ilvl w:val="0"/>
                <w:numId w:val="40"/>
              </w:numPr>
              <w:spacing w:before="120" w:after="200" w:line="276" w:lineRule="auto"/>
              <w:ind w:left="679" w:right="181" w:hanging="450"/>
              <w:rPr>
                <w:rFonts w:eastAsia="Calibri" w:cs="Tahoma"/>
                <w:color w:val="000000"/>
                <w:szCs w:val="18"/>
              </w:rPr>
            </w:pPr>
            <w:r w:rsidRPr="000A1C8E">
              <w:rPr>
                <w:rFonts w:eastAsia="Calibri" w:cs="Tahoma"/>
                <w:color w:val="000000"/>
                <w:szCs w:val="18"/>
              </w:rPr>
              <w:t>Bridge do Pacote de CALs Principais para Office 365 e Windows Intune</w:t>
            </w:r>
          </w:p>
        </w:tc>
        <w:tc>
          <w:tcPr>
            <w:tcW w:w="1397" w:type="pct"/>
            <w:tcBorders>
              <w:top w:val="nil"/>
              <w:left w:val="nil"/>
              <w:bottom w:val="single" w:sz="8" w:space="0" w:color="auto"/>
              <w:right w:val="single" w:sz="8" w:space="0" w:color="auto"/>
            </w:tcBorders>
          </w:tcPr>
          <w:p w:rsidR="000773D2" w:rsidRPr="000A1C8E" w:rsidRDefault="000773D2" w:rsidP="00346F4B">
            <w:pPr>
              <w:numPr>
                <w:ilvl w:val="0"/>
                <w:numId w:val="41"/>
              </w:numPr>
              <w:spacing w:before="120" w:after="200" w:line="276" w:lineRule="auto"/>
              <w:ind w:left="682" w:hanging="450"/>
              <w:rPr>
                <w:rFonts w:eastAsia="Calibri" w:cs="Tahoma"/>
                <w:color w:val="000000"/>
                <w:szCs w:val="18"/>
              </w:rPr>
            </w:pPr>
            <w:r w:rsidRPr="000A1C8E">
              <w:rPr>
                <w:rFonts w:eastAsia="Calibri" w:cs="Tahoma"/>
                <w:color w:val="000000"/>
                <w:szCs w:val="18"/>
              </w:rPr>
              <w:t>Core CAL Suite</w:t>
            </w:r>
          </w:p>
        </w:tc>
        <w:tc>
          <w:tcPr>
            <w:tcW w:w="1936" w:type="pct"/>
            <w:tcBorders>
              <w:top w:val="nil"/>
              <w:left w:val="nil"/>
              <w:bottom w:val="single" w:sz="8" w:space="0" w:color="auto"/>
              <w:right w:val="single" w:sz="8" w:space="0" w:color="auto"/>
            </w:tcBorders>
          </w:tcPr>
          <w:p w:rsidR="000773D2" w:rsidRPr="000A1C8E" w:rsidRDefault="000773D2" w:rsidP="00346F4B">
            <w:pPr>
              <w:numPr>
                <w:ilvl w:val="0"/>
                <w:numId w:val="42"/>
              </w:numPr>
              <w:spacing w:before="120" w:after="200" w:line="276" w:lineRule="auto"/>
              <w:ind w:left="684" w:right="181" w:hanging="450"/>
              <w:rPr>
                <w:rFonts w:cs="Tahoma"/>
              </w:rPr>
            </w:pPr>
            <w:r w:rsidRPr="000A1C8E">
              <w:rPr>
                <w:rFonts w:eastAsia="Calibri" w:cs="Tahoma"/>
                <w:color w:val="000000"/>
                <w:szCs w:val="18"/>
              </w:rPr>
              <w:t>Office 365 Enterprise E1 e</w:t>
            </w:r>
            <w:r w:rsidR="00466E9E" w:rsidRPr="000A1C8E">
              <w:rPr>
                <w:rFonts w:eastAsia="Calibri" w:cs="Tahoma"/>
                <w:color w:val="000000"/>
                <w:szCs w:val="18"/>
              </w:rPr>
              <w:t> </w:t>
            </w:r>
            <w:r w:rsidRPr="000A1C8E">
              <w:rPr>
                <w:rFonts w:eastAsia="Calibri" w:cs="Tahoma"/>
                <w:color w:val="000000"/>
                <w:szCs w:val="18"/>
              </w:rPr>
              <w:t>Windows Intune ou</w:t>
            </w:r>
          </w:p>
          <w:p w:rsidR="000773D2" w:rsidRPr="000A1C8E" w:rsidRDefault="000773D2" w:rsidP="00346F4B">
            <w:pPr>
              <w:numPr>
                <w:ilvl w:val="0"/>
                <w:numId w:val="42"/>
              </w:numPr>
              <w:spacing w:before="120" w:after="200" w:line="276" w:lineRule="auto"/>
              <w:ind w:left="684" w:right="181" w:hanging="450"/>
              <w:rPr>
                <w:rFonts w:cs="Tahoma"/>
              </w:rPr>
            </w:pPr>
            <w:r w:rsidRPr="000A1C8E">
              <w:rPr>
                <w:rFonts w:eastAsia="Calibri" w:cs="Tahoma"/>
                <w:color w:val="000000"/>
                <w:szCs w:val="18"/>
              </w:rPr>
              <w:t>Office 365 Enterprise E2 e</w:t>
            </w:r>
            <w:r w:rsidR="00466E9E" w:rsidRPr="000A1C8E">
              <w:rPr>
                <w:rFonts w:eastAsia="Calibri" w:cs="Tahoma"/>
                <w:color w:val="000000"/>
                <w:szCs w:val="18"/>
              </w:rPr>
              <w:t> </w:t>
            </w:r>
            <w:r w:rsidRPr="000A1C8E">
              <w:rPr>
                <w:rFonts w:eastAsia="Calibri" w:cs="Tahoma"/>
                <w:color w:val="000000"/>
                <w:szCs w:val="18"/>
              </w:rPr>
              <w:t>Windows Intune ou</w:t>
            </w:r>
          </w:p>
          <w:p w:rsidR="000773D2" w:rsidRPr="000A1C8E" w:rsidRDefault="000773D2" w:rsidP="00346F4B">
            <w:pPr>
              <w:numPr>
                <w:ilvl w:val="0"/>
                <w:numId w:val="42"/>
              </w:numPr>
              <w:spacing w:before="120" w:after="200" w:line="276" w:lineRule="auto"/>
              <w:ind w:left="684" w:right="181" w:hanging="450"/>
              <w:rPr>
                <w:rFonts w:cs="Tahoma"/>
              </w:rPr>
            </w:pPr>
            <w:r w:rsidRPr="000A1C8E">
              <w:rPr>
                <w:rFonts w:eastAsia="Calibri" w:cs="Tahoma"/>
                <w:color w:val="000000"/>
                <w:szCs w:val="18"/>
              </w:rPr>
              <w:t>Office 365 Enterprise E3 e</w:t>
            </w:r>
            <w:r w:rsidR="00466E9E" w:rsidRPr="000A1C8E">
              <w:rPr>
                <w:rFonts w:eastAsia="Calibri" w:cs="Tahoma"/>
                <w:color w:val="000000"/>
                <w:szCs w:val="18"/>
              </w:rPr>
              <w:t> </w:t>
            </w:r>
            <w:r w:rsidRPr="000A1C8E">
              <w:rPr>
                <w:rFonts w:eastAsia="Calibri" w:cs="Tahoma"/>
                <w:color w:val="000000"/>
                <w:szCs w:val="18"/>
              </w:rPr>
              <w:t>Windows Intune ou</w:t>
            </w:r>
          </w:p>
          <w:p w:rsidR="000773D2" w:rsidRPr="000A1C8E" w:rsidRDefault="000773D2" w:rsidP="00466E9E">
            <w:pPr>
              <w:numPr>
                <w:ilvl w:val="0"/>
                <w:numId w:val="42"/>
              </w:numPr>
              <w:spacing w:before="120" w:after="200" w:line="276" w:lineRule="auto"/>
              <w:ind w:left="684" w:right="181" w:hanging="450"/>
              <w:rPr>
                <w:rFonts w:eastAsia="Calibri" w:cs="Tahoma"/>
                <w:color w:val="000000"/>
                <w:szCs w:val="18"/>
              </w:rPr>
            </w:pPr>
            <w:r w:rsidRPr="000A1C8E">
              <w:rPr>
                <w:rFonts w:eastAsia="Calibri" w:cs="Tahoma"/>
                <w:color w:val="000000"/>
                <w:szCs w:val="18"/>
              </w:rPr>
              <w:t>Office 365 Enterprise E4</w:t>
            </w:r>
            <w:r w:rsidR="00466E9E" w:rsidRPr="000A1C8E">
              <w:rPr>
                <w:rFonts w:eastAsia="Calibri" w:cs="Tahoma"/>
                <w:color w:val="000000"/>
                <w:szCs w:val="18"/>
              </w:rPr>
              <w:t> </w:t>
            </w:r>
            <w:r w:rsidRPr="000A1C8E">
              <w:rPr>
                <w:rFonts w:eastAsia="Calibri" w:cs="Tahoma"/>
                <w:color w:val="000000"/>
                <w:szCs w:val="18"/>
              </w:rPr>
              <w:t>e</w:t>
            </w:r>
            <w:r w:rsidR="00466E9E" w:rsidRPr="000A1C8E">
              <w:rPr>
                <w:rFonts w:eastAsia="Calibri" w:cs="Tahoma"/>
                <w:color w:val="000000"/>
                <w:szCs w:val="18"/>
              </w:rPr>
              <w:t> </w:t>
            </w:r>
            <w:r w:rsidRPr="000A1C8E">
              <w:rPr>
                <w:rFonts w:eastAsia="Calibri" w:cs="Tahoma"/>
                <w:color w:val="000000"/>
                <w:szCs w:val="18"/>
              </w:rPr>
              <w:t>Windows Intune</w:t>
            </w:r>
          </w:p>
        </w:tc>
      </w:tr>
      <w:tr w:rsidR="00A2083B" w:rsidRPr="000A1C8E" w:rsidTr="00466E9E">
        <w:trPr>
          <w:trHeight w:val="576"/>
        </w:trPr>
        <w:tc>
          <w:tcPr>
            <w:tcW w:w="1667" w:type="pct"/>
            <w:tcBorders>
              <w:top w:val="single" w:sz="8" w:space="0" w:color="auto"/>
              <w:left w:val="single" w:sz="8" w:space="0" w:color="auto"/>
              <w:bottom w:val="single" w:sz="8" w:space="0" w:color="auto"/>
              <w:right w:val="single" w:sz="8" w:space="0" w:color="auto"/>
            </w:tcBorders>
          </w:tcPr>
          <w:p w:rsidR="00A2083B" w:rsidRPr="000A1C8E" w:rsidRDefault="00A2083B" w:rsidP="00346F4B">
            <w:pPr>
              <w:numPr>
                <w:ilvl w:val="0"/>
                <w:numId w:val="40"/>
              </w:numPr>
              <w:spacing w:before="120" w:after="200" w:line="276" w:lineRule="auto"/>
              <w:ind w:left="679" w:right="181" w:hanging="450"/>
              <w:rPr>
                <w:rFonts w:eastAsia="Calibri" w:cs="Tahoma"/>
                <w:color w:val="000000"/>
                <w:szCs w:val="18"/>
              </w:rPr>
            </w:pPr>
            <w:r w:rsidRPr="000A1C8E">
              <w:rPr>
                <w:rFonts w:cs="Tahoma"/>
                <w:color w:val="000000"/>
                <w:szCs w:val="18"/>
              </w:rPr>
              <w:t>Bridge do Pacote de CALs Principais para Windows Intune</w:t>
            </w:r>
          </w:p>
        </w:tc>
        <w:tc>
          <w:tcPr>
            <w:tcW w:w="1397" w:type="pct"/>
            <w:tcBorders>
              <w:top w:val="single" w:sz="8" w:space="0" w:color="auto"/>
              <w:left w:val="nil"/>
              <w:bottom w:val="single" w:sz="8" w:space="0" w:color="auto"/>
              <w:right w:val="single" w:sz="8" w:space="0" w:color="auto"/>
            </w:tcBorders>
          </w:tcPr>
          <w:p w:rsidR="00A2083B" w:rsidRPr="000A1C8E" w:rsidRDefault="00A2083B" w:rsidP="00346F4B">
            <w:pPr>
              <w:numPr>
                <w:ilvl w:val="0"/>
                <w:numId w:val="41"/>
              </w:numPr>
              <w:spacing w:before="120" w:after="200" w:line="276" w:lineRule="auto"/>
              <w:ind w:left="682" w:hanging="450"/>
              <w:rPr>
                <w:rFonts w:eastAsia="Calibri" w:cs="Tahoma"/>
                <w:color w:val="000000"/>
                <w:szCs w:val="18"/>
              </w:rPr>
            </w:pPr>
            <w:r w:rsidRPr="000A1C8E">
              <w:rPr>
                <w:rFonts w:cs="Tahoma"/>
                <w:color w:val="000000"/>
                <w:szCs w:val="18"/>
              </w:rPr>
              <w:t>Core CAL Suite</w:t>
            </w:r>
          </w:p>
        </w:tc>
        <w:tc>
          <w:tcPr>
            <w:tcW w:w="1936" w:type="pct"/>
            <w:tcBorders>
              <w:top w:val="single" w:sz="8" w:space="0" w:color="auto"/>
              <w:left w:val="nil"/>
              <w:bottom w:val="single" w:sz="8" w:space="0" w:color="auto"/>
              <w:right w:val="single" w:sz="8" w:space="0" w:color="auto"/>
            </w:tcBorders>
          </w:tcPr>
          <w:p w:rsidR="00A2083B" w:rsidRPr="000A1C8E" w:rsidRDefault="00A2083B" w:rsidP="00346F4B">
            <w:pPr>
              <w:numPr>
                <w:ilvl w:val="0"/>
                <w:numId w:val="42"/>
              </w:numPr>
              <w:spacing w:before="120" w:after="200" w:line="276" w:lineRule="auto"/>
              <w:ind w:left="684" w:right="181" w:hanging="450"/>
              <w:rPr>
                <w:rFonts w:eastAsia="Calibri" w:cs="Tahoma"/>
                <w:color w:val="000000"/>
                <w:szCs w:val="18"/>
              </w:rPr>
            </w:pPr>
            <w:r w:rsidRPr="000A1C8E">
              <w:rPr>
                <w:rFonts w:cs="Tahoma"/>
                <w:color w:val="000000"/>
                <w:szCs w:val="18"/>
              </w:rPr>
              <w:t>Windows</w:t>
            </w:r>
            <w:r w:rsidRPr="000A1C8E">
              <w:rPr>
                <w:rFonts w:cs="Tahoma"/>
                <w:color w:val="000000"/>
                <w:szCs w:val="18"/>
                <w:vertAlign w:val="superscript"/>
              </w:rPr>
              <w:t xml:space="preserve"> </w:t>
            </w:r>
            <w:r w:rsidRPr="000A1C8E">
              <w:rPr>
                <w:rFonts w:cs="Tahoma"/>
                <w:color w:val="000000"/>
                <w:szCs w:val="18"/>
              </w:rPr>
              <w:t>Intune</w:t>
            </w:r>
          </w:p>
        </w:tc>
      </w:tr>
    </w:tbl>
    <w:p w:rsidR="00A66BD2" w:rsidRPr="000A1C8E" w:rsidRDefault="00A66BD2" w:rsidP="00AF3B19">
      <w:pPr>
        <w:pStyle w:val="Heading3"/>
        <w:rPr>
          <w:rFonts w:ascii="Tahoma" w:hAnsi="Tahoma" w:cs="Tahoma"/>
        </w:rPr>
      </w:pPr>
      <w:bookmarkStart w:id="1185" w:name="_Toc336338295"/>
      <w:bookmarkStart w:id="1186" w:name="Srv_34CoreCALSuite"/>
      <w:bookmarkStart w:id="1187" w:name="Srv_31CoreCALSuite"/>
    </w:p>
    <w:p w:rsidR="00A66BD2" w:rsidRPr="000A1C8E" w:rsidRDefault="00A66BD2" w:rsidP="00AF3B19">
      <w:pPr>
        <w:pStyle w:val="Heading3"/>
        <w:rPr>
          <w:rFonts w:ascii="Tahoma" w:hAnsi="Tahoma" w:cs="Tahoma"/>
        </w:rPr>
      </w:pPr>
    </w:p>
    <w:p w:rsidR="00023FE7" w:rsidRPr="000A1C8E" w:rsidRDefault="00A560B6">
      <w:pPr>
        <w:pStyle w:val="Heading3"/>
        <w:rPr>
          <w:rFonts w:ascii="Tahoma" w:hAnsi="Tahoma" w:cs="Tahoma"/>
        </w:rPr>
      </w:pPr>
      <w:bookmarkStart w:id="1188" w:name="_40_Core_CAL"/>
      <w:bookmarkStart w:id="1189" w:name="_41_Pacote_de"/>
      <w:bookmarkStart w:id="1190" w:name="_Toc361829384"/>
      <w:bookmarkEnd w:id="1188"/>
      <w:bookmarkEnd w:id="1189"/>
      <w:r w:rsidRPr="000A1C8E">
        <w:rPr>
          <w:rFonts w:ascii="Tahoma" w:hAnsi="Tahoma" w:cs="Tahoma"/>
          <w:caps/>
          <w:color w:val="F66400"/>
          <w:sz w:val="22"/>
          <w:vertAlign w:val="superscript"/>
        </w:rPr>
        <w:t>41</w:t>
      </w:r>
      <w:r w:rsidRPr="000A1C8E">
        <w:rPr>
          <w:rFonts w:ascii="Tahoma" w:hAnsi="Tahoma" w:cs="Tahoma"/>
          <w:color w:val="F66400"/>
          <w:sz w:val="22"/>
        </w:rPr>
        <w:t xml:space="preserve"> Pacote de CALs Principais</w:t>
      </w:r>
      <w:bookmarkEnd w:id="1185"/>
      <w:bookmarkEnd w:id="1190"/>
    </w:p>
    <w:bookmarkEnd w:id="1186"/>
    <w:bookmarkEnd w:id="1187"/>
    <w:p w:rsidR="00023FE7" w:rsidRPr="000A1C8E" w:rsidRDefault="00023FE7">
      <w:pPr>
        <w:ind w:firstLine="540"/>
        <w:rPr>
          <w:rFonts w:cs="Tahoma"/>
        </w:rPr>
      </w:pPr>
    </w:p>
    <w:p w:rsidR="000D76F0" w:rsidRPr="000A1C8E" w:rsidRDefault="000D76F0" w:rsidP="001154B5">
      <w:pPr>
        <w:ind w:left="720"/>
        <w:rPr>
          <w:rFonts w:cs="Tahoma"/>
        </w:rPr>
      </w:pPr>
      <w:r w:rsidRPr="000A1C8E">
        <w:rPr>
          <w:rFonts w:cs="Tahoma"/>
          <w:szCs w:val="20"/>
        </w:rPr>
        <w:t>O Core CAL Suite é independente da versão e os direitos de uso de produto são determinados pelo status da cobertura do Software Assurance para o Core CAL Suite.</w:t>
      </w:r>
      <w:r w:rsidR="00DC6D8B" w:rsidRPr="000A1C8E">
        <w:rPr>
          <w:rFonts w:cs="Tahoma"/>
          <w:szCs w:val="20"/>
        </w:rPr>
        <w:t xml:space="preserve"> </w:t>
      </w:r>
      <w:r w:rsidRPr="000A1C8E">
        <w:rPr>
          <w:rFonts w:cs="Tahoma"/>
          <w:szCs w:val="20"/>
        </w:rPr>
        <w:t>Se a cobertura for interrompida, os direitos de acesso sob as licenças perpétuas serão determinados com base nos direitos de uso de produto em vigor antes da interrupção.</w:t>
      </w:r>
      <w:r w:rsidR="00DC6D8B" w:rsidRPr="000A1C8E">
        <w:rPr>
          <w:rFonts w:cs="Tahoma"/>
          <w:szCs w:val="20"/>
        </w:rPr>
        <w:t xml:space="preserve"> </w:t>
      </w:r>
      <w:r w:rsidRPr="000A1C8E">
        <w:rPr>
          <w:rFonts w:cs="Tahoma"/>
          <w:szCs w:val="20"/>
        </w:rPr>
        <w:t xml:space="preserve">A partir de 1° de outubro de 2012, uma licença para o Pacote de CALs Principais </w:t>
      </w:r>
      <w:r w:rsidRPr="000A1C8E">
        <w:rPr>
          <w:rFonts w:cs="Tahoma"/>
          <w:color w:val="000000"/>
          <w:szCs w:val="20"/>
        </w:rPr>
        <w:t xml:space="preserve">com cobertura do Software Assurance ativa concede direitos equivalentes aos seguintes: CAL do Windows Server 20012, CAL Padrão do Exchange Server 2013, </w:t>
      </w:r>
      <w:r w:rsidRPr="000A1C8E">
        <w:rPr>
          <w:rFonts w:cs="Tahoma"/>
          <w:color w:val="000000"/>
        </w:rPr>
        <w:t xml:space="preserve">CAL Padrão do Lync Server 2013, </w:t>
      </w:r>
      <w:r w:rsidRPr="000A1C8E">
        <w:rPr>
          <w:rFonts w:cs="Tahoma"/>
          <w:color w:val="000000"/>
          <w:szCs w:val="20"/>
        </w:rPr>
        <w:t xml:space="preserve">CAL Padrão do SharePoint </w:t>
      </w:r>
      <w:r w:rsidRPr="000A1C8E">
        <w:rPr>
          <w:rFonts w:cs="Tahoma"/>
          <w:szCs w:val="20"/>
        </w:rPr>
        <w:t>Server 2013, Licença de Gerenciamento de Cliente do System Center 2012 Configuration Manager e System Center 2012 Endpoint Protection</w:t>
      </w:r>
      <w:r w:rsidRPr="000A1C8E">
        <w:rPr>
          <w:rFonts w:cs="Tahoma"/>
          <w:color w:val="000000"/>
          <w:szCs w:val="20"/>
        </w:rPr>
        <w:t>.</w:t>
      </w:r>
      <w:r w:rsidR="00DC6D8B" w:rsidRPr="000A1C8E">
        <w:rPr>
          <w:rFonts w:cs="Tahoma"/>
          <w:color w:val="000000"/>
          <w:szCs w:val="20"/>
        </w:rPr>
        <w:t xml:space="preserve"> </w:t>
      </w:r>
      <w:r w:rsidRPr="000A1C8E">
        <w:rPr>
          <w:rFonts w:cs="Tahoma"/>
          <w:color w:val="000000"/>
          <w:szCs w:val="18"/>
        </w:rPr>
        <w:t>Uma licença para o Core CAL Suite é uma licença individual que deverá ser cedida a um único usuário ou dispositivo.</w:t>
      </w:r>
      <w:r w:rsidR="00DC6D8B" w:rsidRPr="000A1C8E">
        <w:rPr>
          <w:rFonts w:cs="Tahoma"/>
          <w:color w:val="000000"/>
          <w:szCs w:val="18"/>
        </w:rPr>
        <w:t xml:space="preserve"> </w:t>
      </w:r>
      <w:r w:rsidRPr="000A1C8E">
        <w:rPr>
          <w:rFonts w:cs="Tahoma"/>
          <w:color w:val="000000"/>
          <w:szCs w:val="18"/>
        </w:rPr>
        <w:t xml:space="preserve">Conforme disposto no contrato da licença por volume, os clientes não poderão separar os direitos sob o Core CAL Suite para permitir que dois ou mais usuários ou dispositivos acessem seus diversos componentes ao mesmo tempo. </w:t>
      </w:r>
    </w:p>
    <w:p w:rsidR="00023FE7" w:rsidRPr="000A1C8E" w:rsidRDefault="00023FE7" w:rsidP="001154B5">
      <w:pPr>
        <w:ind w:left="720"/>
        <w:rPr>
          <w:rFonts w:cs="Tahoma"/>
        </w:rPr>
      </w:pPr>
    </w:p>
    <w:p w:rsidR="00023FE7" w:rsidRPr="000A1C8E" w:rsidRDefault="00023FE7" w:rsidP="00A66BD2">
      <w:pPr>
        <w:spacing w:after="60"/>
        <w:ind w:left="720"/>
        <w:rPr>
          <w:rFonts w:cs="Tahoma"/>
        </w:rPr>
      </w:pPr>
      <w:r w:rsidRPr="000A1C8E">
        <w:rPr>
          <w:rFonts w:cs="Tahoma"/>
          <w:b/>
          <w:bCs/>
          <w:color w:val="000000"/>
          <w:szCs w:val="20"/>
        </w:rPr>
        <w:t>CALs Somente para Aluno (Licença Academic Open e Academic Select)</w:t>
      </w:r>
    </w:p>
    <w:p w:rsidR="00023FE7" w:rsidRPr="000A1C8E" w:rsidRDefault="00023FE7" w:rsidP="001154B5">
      <w:pPr>
        <w:ind w:left="720"/>
        <w:rPr>
          <w:rFonts w:cs="Tahoma"/>
        </w:rPr>
      </w:pPr>
      <w:r w:rsidRPr="000A1C8E">
        <w:rPr>
          <w:rFonts w:cs="Tahoma"/>
          <w:szCs w:val="20"/>
        </w:rPr>
        <w:t>As CALs Somente para Aluno estão restritas a PCs de propriedade de um aluno ou de uma instituição licenciados dedicados a um aluno individual e NÃO se destinam ao uso em laboratórios ou salas de aula.</w:t>
      </w:r>
    </w:p>
    <w:p w:rsidR="00552221" w:rsidRDefault="00552221" w:rsidP="00AF3B19">
      <w:pPr>
        <w:rPr>
          <w:rFonts w:eastAsia="PMingLiU" w:cs="Tahoma"/>
          <w:lang w:eastAsia="zh-TW"/>
        </w:rPr>
      </w:pPr>
    </w:p>
    <w:p w:rsidR="006B21CE" w:rsidRDefault="006B21CE" w:rsidP="00AF3B19">
      <w:pPr>
        <w:rPr>
          <w:rFonts w:eastAsia="PMingLiU" w:cs="Tahoma"/>
          <w:lang w:eastAsia="zh-TW"/>
        </w:rPr>
      </w:pPr>
    </w:p>
    <w:p w:rsidR="006B21CE" w:rsidRDefault="006B21CE" w:rsidP="00AF3B19">
      <w:pPr>
        <w:rPr>
          <w:rFonts w:eastAsia="PMingLiU" w:cs="Tahoma"/>
          <w:lang w:eastAsia="zh-TW"/>
        </w:rPr>
      </w:pPr>
    </w:p>
    <w:p w:rsidR="006B21CE" w:rsidRDefault="006B21CE" w:rsidP="00AF3B19">
      <w:pPr>
        <w:rPr>
          <w:rFonts w:eastAsia="PMingLiU" w:cs="Tahoma"/>
          <w:lang w:eastAsia="zh-TW"/>
        </w:rPr>
      </w:pPr>
    </w:p>
    <w:p w:rsidR="006B21CE" w:rsidRDefault="006B21CE" w:rsidP="00AF3B19">
      <w:pPr>
        <w:rPr>
          <w:rFonts w:eastAsia="PMingLiU" w:cs="Tahoma"/>
          <w:lang w:eastAsia="zh-TW"/>
        </w:rPr>
      </w:pPr>
    </w:p>
    <w:p w:rsidR="006B21CE" w:rsidRDefault="006B21CE" w:rsidP="00AF3B19">
      <w:pPr>
        <w:rPr>
          <w:rFonts w:eastAsia="PMingLiU" w:cs="Tahoma"/>
          <w:lang w:eastAsia="zh-TW"/>
        </w:rPr>
      </w:pPr>
    </w:p>
    <w:p w:rsidR="006B21CE" w:rsidRDefault="006B21CE" w:rsidP="00AF3B19">
      <w:pPr>
        <w:rPr>
          <w:rFonts w:eastAsia="PMingLiU" w:cs="Tahoma"/>
          <w:lang w:eastAsia="zh-TW"/>
        </w:rPr>
      </w:pPr>
    </w:p>
    <w:p w:rsidR="006B21CE" w:rsidRPr="006B21CE" w:rsidRDefault="006B21CE" w:rsidP="00AF3B19">
      <w:pPr>
        <w:rPr>
          <w:rFonts w:eastAsia="PMingLiU" w:cs="Tahoma"/>
          <w:lang w:eastAsia="zh-TW"/>
        </w:rPr>
      </w:pPr>
    </w:p>
    <w:p w:rsidR="00552221" w:rsidRPr="000A1C8E" w:rsidRDefault="00552221" w:rsidP="00AF3B19">
      <w:pPr>
        <w:rPr>
          <w:rFonts w:cs="Tahoma"/>
        </w:rPr>
      </w:pPr>
    </w:p>
    <w:p w:rsidR="00B947E4" w:rsidRPr="000A1C8E" w:rsidRDefault="00A560B6" w:rsidP="00416294">
      <w:pPr>
        <w:pStyle w:val="Heading3"/>
        <w:rPr>
          <w:rFonts w:ascii="Tahoma" w:hAnsi="Tahoma" w:cs="Tahoma"/>
        </w:rPr>
      </w:pPr>
      <w:bookmarkStart w:id="1191" w:name="_41_Core_Infrastructure"/>
      <w:bookmarkStart w:id="1192" w:name="_Toc336338296"/>
      <w:bookmarkStart w:id="1193" w:name="_Toc361829385"/>
      <w:bookmarkStart w:id="1194" w:name="Srv_35CoreInfraServerSuiteStd"/>
      <w:bookmarkStart w:id="1195" w:name="Srv_32CoreInfraServerSuiteStd"/>
      <w:bookmarkStart w:id="1196" w:name="Srv_35DynCRMWorkProEnt"/>
      <w:bookmarkEnd w:id="1191"/>
      <w:r w:rsidRPr="000A1C8E">
        <w:rPr>
          <w:rFonts w:ascii="Tahoma" w:hAnsi="Tahoma" w:cs="Tahoma"/>
          <w:caps/>
          <w:color w:val="F66400"/>
          <w:sz w:val="22"/>
          <w:vertAlign w:val="superscript"/>
        </w:rPr>
        <w:lastRenderedPageBreak/>
        <w:t>42</w:t>
      </w:r>
      <w:r w:rsidRPr="000A1C8E">
        <w:rPr>
          <w:rFonts w:ascii="Tahoma" w:hAnsi="Tahoma" w:cs="Tahoma"/>
          <w:color w:val="F66400"/>
          <w:sz w:val="22"/>
        </w:rPr>
        <w:t xml:space="preserve"> Core Infrastructure Server Suite Standard</w:t>
      </w:r>
      <w:bookmarkEnd w:id="1192"/>
      <w:bookmarkEnd w:id="1193"/>
    </w:p>
    <w:bookmarkEnd w:id="1194"/>
    <w:bookmarkEnd w:id="1195"/>
    <w:p w:rsidR="004D776B" w:rsidRPr="000A1C8E" w:rsidRDefault="004D776B" w:rsidP="00416294">
      <w:pPr>
        <w:rPr>
          <w:rFonts w:cs="Tahoma"/>
        </w:rPr>
      </w:pPr>
    </w:p>
    <w:p w:rsidR="004D776B" w:rsidRPr="000A1C8E" w:rsidRDefault="00A66BD2" w:rsidP="00A66BD2">
      <w:pPr>
        <w:spacing w:after="60"/>
        <w:ind w:left="720"/>
        <w:rPr>
          <w:rFonts w:cs="Tahoma"/>
        </w:rPr>
      </w:pPr>
      <w:r w:rsidRPr="000A1C8E">
        <w:rPr>
          <w:rFonts w:eastAsia="Calibri" w:cs="Tahoma"/>
          <w:b/>
          <w:szCs w:val="18"/>
        </w:rPr>
        <w:t>Migração para Novo Modelo de Licenciamento</w:t>
      </w:r>
    </w:p>
    <w:p w:rsidR="004D776B" w:rsidRPr="000A1C8E" w:rsidRDefault="004D776B" w:rsidP="00A66BD2">
      <w:pPr>
        <w:ind w:left="720"/>
        <w:rPr>
          <w:rFonts w:cs="Tahoma"/>
        </w:rPr>
      </w:pPr>
      <w:r w:rsidRPr="000A1C8E">
        <w:rPr>
          <w:rFonts w:eastAsia="Calibri" w:cs="Tahoma"/>
          <w:szCs w:val="18"/>
        </w:rPr>
        <w:t>A partir de 1</w:t>
      </w:r>
      <w:r w:rsidRPr="000A1C8E">
        <w:rPr>
          <w:rFonts w:eastAsia="Calibri" w:cs="Tahoma"/>
          <w:szCs w:val="18"/>
          <w:vertAlign w:val="superscript"/>
        </w:rPr>
        <w:t>º</w:t>
      </w:r>
      <w:r w:rsidRPr="000A1C8E">
        <w:rPr>
          <w:rFonts w:eastAsia="Calibri" w:cs="Tahoma"/>
          <w:szCs w:val="18"/>
        </w:rPr>
        <w:t xml:space="preserve"> de abril de 2012, o modelo de licenciamento foi alterado. As licenças adquiridas sob novos registros em vigor a partir de 1</w:t>
      </w:r>
      <w:r w:rsidRPr="000A1C8E">
        <w:rPr>
          <w:rFonts w:eastAsia="Calibri" w:cs="Tahoma"/>
          <w:szCs w:val="18"/>
          <w:vertAlign w:val="superscript"/>
        </w:rPr>
        <w:t>º</w:t>
      </w:r>
      <w:r w:rsidRPr="000A1C8E">
        <w:rPr>
          <w:rFonts w:eastAsia="Calibri" w:cs="Tahoma"/>
          <w:szCs w:val="18"/>
        </w:rPr>
        <w:t xml:space="preserve"> de abril de 2012 podem licenciar até dois processadores físicos.</w:t>
      </w:r>
    </w:p>
    <w:p w:rsidR="00A66BD2" w:rsidRPr="000A1C8E" w:rsidRDefault="00A66BD2" w:rsidP="00A66BD2">
      <w:pPr>
        <w:ind w:left="720"/>
        <w:rPr>
          <w:rFonts w:cs="Tahoma"/>
        </w:rPr>
      </w:pPr>
    </w:p>
    <w:p w:rsidR="004D776B" w:rsidRPr="000A1C8E" w:rsidRDefault="004D776B" w:rsidP="00A66BD2">
      <w:pPr>
        <w:ind w:left="720"/>
        <w:rPr>
          <w:rFonts w:cs="Tahoma"/>
        </w:rPr>
      </w:pPr>
      <w:r w:rsidRPr="000A1C8E">
        <w:rPr>
          <w:rFonts w:eastAsia="Calibri" w:cs="Tahoma"/>
          <w:szCs w:val="18"/>
        </w:rPr>
        <w:t>Os clientes sob registros existentes a partir de 1</w:t>
      </w:r>
      <w:r w:rsidRPr="000A1C8E">
        <w:rPr>
          <w:rFonts w:eastAsia="Calibri" w:cs="Tahoma"/>
          <w:szCs w:val="18"/>
          <w:vertAlign w:val="superscript"/>
        </w:rPr>
        <w:t>º</w:t>
      </w:r>
      <w:r w:rsidRPr="000A1C8E">
        <w:rPr>
          <w:rFonts w:eastAsia="Calibri" w:cs="Tahoma"/>
          <w:szCs w:val="18"/>
        </w:rPr>
        <w:t xml:space="preserve"> de abril de 2012 (em vigor ou antes de 1</w:t>
      </w:r>
      <w:r w:rsidRPr="000A1C8E">
        <w:rPr>
          <w:rFonts w:eastAsia="Calibri" w:cs="Tahoma"/>
          <w:szCs w:val="18"/>
          <w:vertAlign w:val="superscript"/>
        </w:rPr>
        <w:t>º</w:t>
      </w:r>
      <w:r w:rsidRPr="000A1C8E">
        <w:rPr>
          <w:rFonts w:eastAsia="Calibri" w:cs="Tahoma"/>
          <w:szCs w:val="18"/>
        </w:rPr>
        <w:t xml:space="preserve"> de abril de 2012) podem continuar a fazer adequações (“true-up”) de licenças sob o modelo antigo sob o qual cada licença pode licenciar apenas um processador. Os direitos de migração a seguir se aplicam a licenças para esses clientes:</w:t>
      </w:r>
    </w:p>
    <w:p w:rsidR="004D776B" w:rsidRPr="00552221" w:rsidRDefault="004D776B" w:rsidP="00A66BD2">
      <w:pPr>
        <w:pStyle w:val="ListParagraph"/>
        <w:contextualSpacing w:val="0"/>
        <w:rPr>
          <w:rFonts w:ascii="Tahoma" w:hAnsi="Tahoma" w:cs="Tahoma"/>
          <w:sz w:val="18"/>
          <w:szCs w:val="18"/>
        </w:rPr>
      </w:pPr>
      <w:r w:rsidRPr="00552221">
        <w:rPr>
          <w:rFonts w:ascii="Tahoma" w:eastAsia="Calibri" w:hAnsi="Tahoma" w:cs="Tahoma"/>
          <w:sz w:val="18"/>
          <w:szCs w:val="18"/>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rsidR="00973A93" w:rsidRPr="000A1C8E" w:rsidRDefault="00973A93">
      <w:pPr>
        <w:rPr>
          <w:rFonts w:cs="Tahoma"/>
        </w:rPr>
      </w:pPr>
    </w:p>
    <w:p w:rsidR="004D776B" w:rsidRPr="000A1C8E" w:rsidRDefault="004D776B" w:rsidP="00A66BD2">
      <w:pPr>
        <w:spacing w:after="60"/>
        <w:ind w:left="720"/>
        <w:rPr>
          <w:rFonts w:cs="Tahoma"/>
        </w:rPr>
      </w:pPr>
      <w:r w:rsidRPr="000A1C8E">
        <w:rPr>
          <w:rFonts w:eastAsia="Calibri" w:cs="Tahoma"/>
          <w:b/>
          <w:szCs w:val="18"/>
        </w:rPr>
        <w:t>Liberação da Nova Versão do Windows Server</w:t>
      </w:r>
    </w:p>
    <w:p w:rsidR="004D776B" w:rsidRPr="000A1C8E" w:rsidRDefault="004D776B" w:rsidP="00A66BD2">
      <w:pPr>
        <w:ind w:left="720"/>
        <w:rPr>
          <w:rFonts w:cs="Tahoma"/>
        </w:rPr>
      </w:pPr>
      <w:r w:rsidRPr="000A1C8E">
        <w:rPr>
          <w:rFonts w:eastAsia="Calibri" w:cs="Tahoma"/>
          <w:szCs w:val="18"/>
        </w:rPr>
        <w:t>Os clientes licenciados para o Core Infrastructure Server Suite Standard com Software Assurance ativo a partir de 1</w:t>
      </w:r>
      <w:r w:rsidRPr="000A1C8E">
        <w:rPr>
          <w:rFonts w:eastAsia="Calibri" w:cs="Tahoma"/>
          <w:szCs w:val="18"/>
          <w:vertAlign w:val="superscript"/>
        </w:rPr>
        <w:t>º</w:t>
      </w:r>
      <w:r w:rsidRPr="000A1C8E">
        <w:rPr>
          <w:rFonts w:eastAsia="Calibri" w:cs="Tahoma"/>
          <w:szCs w:val="18"/>
        </w:rPr>
        <w:t xml:space="preserve"> de setembro de 2012 têm os direitos de uso dos seguintes produtos sujeitos aos direitos de uso de produto desses produtos e do Core Infrastructure Server Suite Standard:</w:t>
      </w:r>
    </w:p>
    <w:p w:rsidR="00A66BD2" w:rsidRPr="000A1C8E" w:rsidRDefault="00A66BD2" w:rsidP="00A66BD2">
      <w:pPr>
        <w:ind w:left="720"/>
        <w:rPr>
          <w:rFonts w:cs="Tahoma"/>
        </w:rPr>
      </w:pPr>
    </w:p>
    <w:p w:rsidR="004D776B" w:rsidRPr="000A1C8E" w:rsidRDefault="004D776B" w:rsidP="00346F4B">
      <w:pPr>
        <w:numPr>
          <w:ilvl w:val="0"/>
          <w:numId w:val="23"/>
        </w:numPr>
        <w:tabs>
          <w:tab w:val="left" w:pos="1440"/>
          <w:tab w:val="left" w:pos="3510"/>
        </w:tabs>
        <w:spacing w:after="60"/>
        <w:rPr>
          <w:rFonts w:cs="Tahoma"/>
        </w:rPr>
      </w:pPr>
      <w:r w:rsidRPr="000A1C8E">
        <w:rPr>
          <w:rFonts w:eastAsia="Calibri" w:cs="Tahoma"/>
          <w:szCs w:val="18"/>
        </w:rPr>
        <w:t>Windows Server 2012 Standard</w:t>
      </w:r>
    </w:p>
    <w:p w:rsidR="004D776B" w:rsidRPr="000A1C8E" w:rsidRDefault="004D776B" w:rsidP="00346F4B">
      <w:pPr>
        <w:numPr>
          <w:ilvl w:val="0"/>
          <w:numId w:val="23"/>
        </w:numPr>
        <w:tabs>
          <w:tab w:val="left" w:pos="1440"/>
          <w:tab w:val="left" w:pos="3510"/>
        </w:tabs>
        <w:spacing w:after="60"/>
        <w:rPr>
          <w:rFonts w:cs="Tahoma"/>
        </w:rPr>
      </w:pPr>
      <w:r w:rsidRPr="000A1C8E">
        <w:rPr>
          <w:rFonts w:eastAsia="Calibri" w:cs="Tahoma"/>
          <w:szCs w:val="18"/>
        </w:rPr>
        <w:t>System Center 2012 Standard</w:t>
      </w:r>
    </w:p>
    <w:p w:rsidR="00A66BD2" w:rsidRPr="000A1C8E" w:rsidRDefault="00A66BD2" w:rsidP="00A66BD2">
      <w:pPr>
        <w:tabs>
          <w:tab w:val="left" w:pos="1440"/>
          <w:tab w:val="left" w:pos="3510"/>
        </w:tabs>
        <w:rPr>
          <w:rFonts w:cs="Tahoma"/>
        </w:rPr>
      </w:pPr>
    </w:p>
    <w:p w:rsidR="004D776B" w:rsidRPr="000A1C8E" w:rsidRDefault="004D776B" w:rsidP="00A66BD2">
      <w:pPr>
        <w:ind w:left="720"/>
        <w:rPr>
          <w:rFonts w:cs="Tahoma"/>
        </w:rPr>
      </w:pPr>
      <w:r w:rsidRPr="000A1C8E">
        <w:rPr>
          <w:rFonts w:eastAsia="Calibri" w:cs="Tahoma"/>
          <w:szCs w:val="18"/>
        </w:rPr>
        <w:t>Para qualquer servidor que esteja devidamente licenciado para Core Infrastructure Server Suite Standard, os clientes podem executar uma instância do Windows Server 2008 R2 Enterprise em vez do Windows Server Standard.</w:t>
      </w:r>
    </w:p>
    <w:p w:rsidR="00A66BD2" w:rsidRPr="000A1C8E" w:rsidRDefault="00A66BD2" w:rsidP="00A66BD2">
      <w:pPr>
        <w:ind w:left="720"/>
        <w:rPr>
          <w:rFonts w:cs="Tahoma"/>
        </w:rPr>
      </w:pPr>
    </w:p>
    <w:p w:rsidR="004D776B" w:rsidRPr="000A1C8E" w:rsidRDefault="004D776B" w:rsidP="00A66BD2">
      <w:pPr>
        <w:spacing w:after="60"/>
        <w:ind w:left="720"/>
        <w:rPr>
          <w:rFonts w:cs="Tahoma"/>
        </w:rPr>
      </w:pPr>
      <w:r w:rsidRPr="000A1C8E">
        <w:rPr>
          <w:rFonts w:eastAsia="Calibri" w:cs="Tahoma"/>
          <w:b/>
          <w:szCs w:val="18"/>
        </w:rPr>
        <w:t>Oferta de Renovação de Software Assurance para Clientes do Windows Server Standard e System Center Standard e Clientes do Windows Server Enterprise e System Center Standard</w:t>
      </w:r>
    </w:p>
    <w:p w:rsidR="004D776B" w:rsidRPr="000A1C8E" w:rsidRDefault="004D776B" w:rsidP="00A66BD2">
      <w:pPr>
        <w:ind w:left="720"/>
        <w:rPr>
          <w:rFonts w:cs="Tahoma"/>
        </w:rPr>
      </w:pPr>
      <w:r w:rsidRPr="000A1C8E">
        <w:rPr>
          <w:rFonts w:eastAsia="Calibri" w:cs="Tahoma"/>
          <w:szCs w:val="18"/>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rsidR="00A66BD2" w:rsidRPr="000A1C8E" w:rsidRDefault="00A66BD2" w:rsidP="00A66BD2">
      <w:pPr>
        <w:ind w:left="720"/>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0A1C8E"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0A1C8E" w:rsidRDefault="004D776B" w:rsidP="007E466C">
            <w:pPr>
              <w:spacing w:before="120" w:after="120" w:line="276" w:lineRule="auto"/>
              <w:ind w:left="-404"/>
              <w:jc w:val="center"/>
              <w:rPr>
                <w:rFonts w:eastAsia="Calibri" w:cs="Tahoma"/>
                <w:b/>
                <w:szCs w:val="18"/>
              </w:rPr>
            </w:pPr>
            <w:r w:rsidRPr="000A1C8E">
              <w:rPr>
                <w:rFonts w:eastAsia="Calibri" w:cs="Tahoma"/>
                <w:b/>
                <w:szCs w:val="18"/>
              </w:rPr>
              <w:t>Tabela A</w:t>
            </w:r>
          </w:p>
        </w:tc>
      </w:tr>
      <w:tr w:rsidR="004D776B" w:rsidRPr="000A1C8E"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0A1C8E" w:rsidRDefault="004D776B" w:rsidP="007E466C">
            <w:pPr>
              <w:spacing w:before="120" w:after="120" w:line="276" w:lineRule="auto"/>
              <w:ind w:left="-404"/>
              <w:jc w:val="center"/>
              <w:rPr>
                <w:rFonts w:eastAsia="Calibri" w:cs="Tahoma"/>
                <w:szCs w:val="18"/>
              </w:rPr>
            </w:pPr>
            <w:r w:rsidRPr="000A1C8E">
              <w:rPr>
                <w:rFonts w:eastAsia="Calibri" w:cs="Tahoma"/>
                <w:szCs w:val="18"/>
              </w:rPr>
              <w:t>Windows Server Standard</w:t>
            </w:r>
          </w:p>
        </w:tc>
      </w:tr>
      <w:tr w:rsidR="004D776B" w:rsidRPr="000A1C8E"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0A1C8E" w:rsidRDefault="004D776B" w:rsidP="007E466C">
            <w:pPr>
              <w:spacing w:before="120" w:after="120" w:line="276" w:lineRule="auto"/>
              <w:ind w:left="-404"/>
              <w:jc w:val="center"/>
              <w:rPr>
                <w:rFonts w:eastAsia="Calibri" w:cs="Tahoma"/>
                <w:szCs w:val="18"/>
              </w:rPr>
            </w:pPr>
            <w:r w:rsidRPr="000A1C8E">
              <w:rPr>
                <w:rFonts w:eastAsia="Calibri" w:cs="Tahoma"/>
                <w:szCs w:val="18"/>
              </w:rPr>
              <w:t>System Center Standard</w:t>
            </w:r>
          </w:p>
        </w:tc>
      </w:tr>
    </w:tbl>
    <w:p w:rsidR="00416294" w:rsidRPr="000A1C8E" w:rsidRDefault="00416294" w:rsidP="00416294">
      <w:pPr>
        <w:ind w:left="547"/>
        <w:rPr>
          <w:rFonts w:cs="Tahoma"/>
        </w:rPr>
      </w:pPr>
    </w:p>
    <w:p w:rsidR="004D776B" w:rsidRPr="000A1C8E" w:rsidRDefault="004D776B" w:rsidP="00A66BD2">
      <w:pPr>
        <w:ind w:left="720"/>
        <w:rPr>
          <w:rFonts w:cs="Tahoma"/>
        </w:rPr>
      </w:pPr>
      <w:r w:rsidRPr="000A1C8E">
        <w:rPr>
          <w:rFonts w:eastAsia="Calibri" w:cs="Tahoma"/>
          <w:szCs w:val="18"/>
        </w:rPr>
        <w:t xml:space="preserve">Para cada conjunto composto de uma de cada das licenças qualificadas na Tabela A acima, os clientes poderão adquirir o Software Assurance para uma licença do Core Infrastructure Server Suite Standard. </w:t>
      </w:r>
    </w:p>
    <w:p w:rsidR="00A66BD2" w:rsidRPr="000A1C8E" w:rsidRDefault="00A66BD2" w:rsidP="00A66BD2">
      <w:pPr>
        <w:ind w:left="720"/>
        <w:rPr>
          <w:rFonts w:cs="Tahoma"/>
        </w:rPr>
      </w:pPr>
    </w:p>
    <w:p w:rsidR="004D776B" w:rsidRPr="000A1C8E" w:rsidRDefault="004D776B" w:rsidP="00A66BD2">
      <w:pPr>
        <w:ind w:left="720"/>
        <w:rPr>
          <w:rFonts w:cs="Tahoma"/>
        </w:rPr>
      </w:pPr>
      <w:r w:rsidRPr="000A1C8E">
        <w:rPr>
          <w:rFonts w:eastAsia="Calibri" w:cs="Tahoma"/>
          <w:szCs w:val="18"/>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rsidR="00A66BD2" w:rsidRPr="000A1C8E" w:rsidRDefault="00A66BD2" w:rsidP="00A66BD2">
      <w:pPr>
        <w:ind w:left="720"/>
        <w:rPr>
          <w:rFonts w:cs="Tahoma"/>
        </w:rPr>
      </w:pPr>
    </w:p>
    <w:p w:rsidR="00A66BD2" w:rsidRPr="000A1C8E" w:rsidRDefault="004D776B" w:rsidP="00A66BD2">
      <w:pPr>
        <w:spacing w:after="60"/>
        <w:ind w:left="720"/>
        <w:rPr>
          <w:rFonts w:cs="Tahoma"/>
        </w:rPr>
      </w:pPr>
      <w:r w:rsidRPr="000A1C8E">
        <w:rPr>
          <w:rFonts w:eastAsia="Calibri" w:cs="Tahoma"/>
          <w:b/>
          <w:szCs w:val="18"/>
        </w:rPr>
        <w:t>Step-up do Windows Server Standard ou System Center Standard para Core Infrastructure Server Suite Standard</w:t>
      </w:r>
    </w:p>
    <w:p w:rsidR="004D776B" w:rsidRPr="000A1C8E" w:rsidRDefault="004D776B" w:rsidP="00A66BD2">
      <w:pPr>
        <w:ind w:left="720"/>
        <w:rPr>
          <w:rFonts w:cs="Tahoma"/>
        </w:rPr>
      </w:pPr>
      <w:r w:rsidRPr="000A1C8E">
        <w:rPr>
          <w:rFonts w:eastAsia="Calibri" w:cs="Tahoma"/>
          <w:szCs w:val="18"/>
        </w:rPr>
        <w:t>Os clientes podem fazer step-up do Windows Server Standard ou System Center Standard para o Core Infrastructure Server Suite Standard pela aquisição da licença de Step-up apropriada do Core Infrastructure Server Suite Standard.</w:t>
      </w:r>
      <w:r w:rsidR="00DC6D8B" w:rsidRPr="000A1C8E">
        <w:rPr>
          <w:rFonts w:eastAsia="Calibri" w:cs="Tahoma"/>
          <w:szCs w:val="18"/>
        </w:rPr>
        <w:t xml:space="preserve"> </w:t>
      </w:r>
      <w:r w:rsidRPr="000A1C8E">
        <w:rPr>
          <w:rFonts w:eastAsia="Calibri" w:cs="Tahoma"/>
          <w:szCs w:val="18"/>
        </w:rPr>
        <w:t>Os clientes devem ter o Software Assurance ativo para a licença do Windows Server Standard ou System Center Standard para adquirir essa licença de Step-up.</w:t>
      </w:r>
      <w:r w:rsidR="00DC6D8B" w:rsidRPr="000A1C8E">
        <w:rPr>
          <w:rFonts w:eastAsia="Calibri" w:cs="Tahoma"/>
          <w:szCs w:val="18"/>
        </w:rPr>
        <w:t xml:space="preserve"> </w:t>
      </w:r>
    </w:p>
    <w:p w:rsidR="00A66BD2" w:rsidRPr="000A1C8E" w:rsidRDefault="00A66BD2" w:rsidP="00A66BD2">
      <w:pPr>
        <w:ind w:left="720"/>
        <w:rPr>
          <w:rFonts w:cs="Tahoma"/>
        </w:rPr>
      </w:pPr>
    </w:p>
    <w:p w:rsidR="004D776B" w:rsidRPr="000A1C8E" w:rsidRDefault="004D776B" w:rsidP="00A66BD2">
      <w:pPr>
        <w:ind w:left="720"/>
        <w:rPr>
          <w:rFonts w:cs="Tahoma"/>
        </w:rPr>
      </w:pPr>
      <w:r w:rsidRPr="000A1C8E">
        <w:rPr>
          <w:rFonts w:eastAsia="Calibri" w:cs="Tahoma"/>
          <w:szCs w:val="18"/>
        </w:rPr>
        <w:t>Para cada licença qualificada do Windows Server Standard que o cliente tiver, ele poderá adquirir uma licença de Step-up do Core Infrastructure Server Suite Standard.</w:t>
      </w:r>
    </w:p>
    <w:p w:rsidR="00A66BD2" w:rsidRPr="000A1C8E" w:rsidRDefault="00A66BD2" w:rsidP="00A66BD2">
      <w:pPr>
        <w:ind w:left="720"/>
        <w:rPr>
          <w:rFonts w:cs="Tahoma"/>
        </w:rPr>
      </w:pPr>
    </w:p>
    <w:p w:rsidR="004D776B" w:rsidRPr="000A1C8E" w:rsidRDefault="004D776B" w:rsidP="00A66BD2">
      <w:pPr>
        <w:ind w:left="720"/>
        <w:rPr>
          <w:rFonts w:cs="Tahoma"/>
        </w:rPr>
      </w:pPr>
      <w:r w:rsidRPr="000A1C8E">
        <w:rPr>
          <w:rFonts w:eastAsia="Calibri" w:cs="Tahoma"/>
          <w:szCs w:val="18"/>
        </w:rPr>
        <w:lastRenderedPageBreak/>
        <w:t>Para cada licença qualificada do System Center Standard que o cliente tiver, ele poderá adquirir uma licença de Step-up do Core Infrastructure Server Suite Standard.</w:t>
      </w:r>
    </w:p>
    <w:p w:rsidR="00A66BD2" w:rsidRPr="000A1C8E" w:rsidRDefault="00A66BD2" w:rsidP="00A66BD2">
      <w:pPr>
        <w:ind w:left="720"/>
        <w:rPr>
          <w:rFonts w:cs="Tahoma"/>
        </w:rPr>
      </w:pPr>
    </w:p>
    <w:p w:rsidR="004D776B" w:rsidRPr="000A1C8E" w:rsidRDefault="004D776B" w:rsidP="00A66BD2">
      <w:pPr>
        <w:ind w:left="720"/>
        <w:rPr>
          <w:rFonts w:cs="Tahoma"/>
        </w:rPr>
      </w:pPr>
      <w:r w:rsidRPr="000A1C8E">
        <w:rPr>
          <w:rFonts w:eastAsia="Calibri" w:cs="Tahoma"/>
          <w:szCs w:val="18"/>
        </w:rPr>
        <w:t>O direito de uso do software pelos clientes sob a licença do Core Infrastructure Server Suite Standard está condicionado ao cumprimento pelos clientes de qualquer obrigação de pagamento remanescente da licença do produto qualificado.</w:t>
      </w:r>
      <w:r w:rsidR="00DC6D8B" w:rsidRPr="000A1C8E">
        <w:rPr>
          <w:rFonts w:eastAsia="Calibri" w:cs="Tahoma"/>
          <w:szCs w:val="18"/>
        </w:rPr>
        <w:t xml:space="preserve"> </w:t>
      </w:r>
      <w:r w:rsidRPr="000A1C8E">
        <w:rPr>
          <w:rFonts w:eastAsia="Calibri" w:cs="Tahoma"/>
          <w:szCs w:val="18"/>
        </w:rPr>
        <w:t>A licença do Core Infrastructure Server Suite Standard dos clientes suplanta e substitui a licença básica do produto qualificado.</w:t>
      </w:r>
    </w:p>
    <w:p w:rsidR="00A66BD2" w:rsidRPr="000A1C8E" w:rsidRDefault="00A66BD2" w:rsidP="007E466C">
      <w:pPr>
        <w:rPr>
          <w:rFonts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0A1C8E" w:rsidTr="001051D1">
        <w:trPr>
          <w:tblHeader/>
        </w:trPr>
        <w:tc>
          <w:tcPr>
            <w:tcW w:w="4140" w:type="dxa"/>
            <w:shd w:val="clear" w:color="auto" w:fill="FABF8F"/>
            <w:tcMar>
              <w:top w:w="0" w:type="dxa"/>
              <w:left w:w="108" w:type="dxa"/>
              <w:bottom w:w="0" w:type="dxa"/>
              <w:right w:w="108" w:type="dxa"/>
            </w:tcMar>
            <w:hideMark/>
          </w:tcPr>
          <w:p w:rsidR="004D776B" w:rsidRPr="000A1C8E" w:rsidRDefault="004D776B" w:rsidP="007E466C">
            <w:pPr>
              <w:spacing w:before="120" w:after="120" w:line="276" w:lineRule="auto"/>
              <w:jc w:val="center"/>
              <w:rPr>
                <w:rFonts w:eastAsia="Calibri" w:cs="Tahoma"/>
                <w:b/>
                <w:szCs w:val="18"/>
              </w:rPr>
            </w:pPr>
            <w:r w:rsidRPr="000A1C8E">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rsidR="004D776B" w:rsidRPr="000A1C8E" w:rsidRDefault="004D776B" w:rsidP="007E466C">
            <w:pPr>
              <w:spacing w:before="120" w:after="120" w:line="276" w:lineRule="auto"/>
              <w:jc w:val="center"/>
              <w:rPr>
                <w:rFonts w:eastAsia="Calibri" w:cs="Tahoma"/>
                <w:b/>
                <w:szCs w:val="18"/>
              </w:rPr>
            </w:pPr>
            <w:r w:rsidRPr="000A1C8E">
              <w:rPr>
                <w:rFonts w:eastAsia="Calibri" w:cs="Tahoma"/>
                <w:b/>
                <w:szCs w:val="18"/>
              </w:rPr>
              <w:t>Step-up para</w:t>
            </w:r>
          </w:p>
        </w:tc>
      </w:tr>
      <w:tr w:rsidR="004D776B" w:rsidRPr="000A1C8E" w:rsidTr="001051D1">
        <w:tc>
          <w:tcPr>
            <w:tcW w:w="4140" w:type="dxa"/>
            <w:tcMar>
              <w:top w:w="0" w:type="dxa"/>
              <w:left w:w="108" w:type="dxa"/>
              <w:bottom w:w="0" w:type="dxa"/>
              <w:right w:w="108" w:type="dxa"/>
            </w:tcMar>
            <w:hideMark/>
          </w:tcPr>
          <w:p w:rsidR="004D776B" w:rsidRPr="000A1C8E" w:rsidRDefault="004D776B" w:rsidP="007E466C">
            <w:pPr>
              <w:spacing w:before="120" w:after="120" w:line="276" w:lineRule="auto"/>
              <w:rPr>
                <w:rFonts w:eastAsia="Calibri" w:cs="Tahoma"/>
                <w:szCs w:val="18"/>
              </w:rPr>
            </w:pPr>
            <w:r w:rsidRPr="000A1C8E">
              <w:rPr>
                <w:rFonts w:eastAsia="Calibri" w:cs="Tahoma"/>
                <w:szCs w:val="18"/>
              </w:rPr>
              <w:t>Windows Server Standard</w:t>
            </w:r>
          </w:p>
        </w:tc>
        <w:tc>
          <w:tcPr>
            <w:tcW w:w="4050" w:type="dxa"/>
            <w:tcMar>
              <w:top w:w="0" w:type="dxa"/>
              <w:left w:w="108" w:type="dxa"/>
              <w:bottom w:w="0" w:type="dxa"/>
              <w:right w:w="108" w:type="dxa"/>
            </w:tcMar>
            <w:hideMark/>
          </w:tcPr>
          <w:p w:rsidR="004D776B" w:rsidRPr="000A1C8E" w:rsidRDefault="004D776B" w:rsidP="007E466C">
            <w:pPr>
              <w:spacing w:before="120" w:after="120" w:line="276" w:lineRule="auto"/>
              <w:rPr>
                <w:rFonts w:eastAsia="Calibri" w:cs="Tahoma"/>
                <w:szCs w:val="18"/>
                <w:lang w:val="fr-FR"/>
              </w:rPr>
            </w:pPr>
            <w:r w:rsidRPr="000A1C8E">
              <w:rPr>
                <w:rFonts w:eastAsia="Calibri" w:cs="Tahoma"/>
                <w:szCs w:val="18"/>
              </w:rPr>
              <w:t>Core Infrastructure Server Suite Standard</w:t>
            </w:r>
          </w:p>
        </w:tc>
      </w:tr>
      <w:tr w:rsidR="004D776B" w:rsidRPr="000A1C8E" w:rsidTr="001051D1">
        <w:tc>
          <w:tcPr>
            <w:tcW w:w="4140" w:type="dxa"/>
            <w:tcMar>
              <w:top w:w="0" w:type="dxa"/>
              <w:left w:w="108" w:type="dxa"/>
              <w:bottom w:w="0" w:type="dxa"/>
              <w:right w:w="108" w:type="dxa"/>
            </w:tcMar>
          </w:tcPr>
          <w:p w:rsidR="004D776B" w:rsidRPr="000A1C8E" w:rsidRDefault="004D776B" w:rsidP="00026546">
            <w:pPr>
              <w:spacing w:before="120" w:after="120" w:line="276" w:lineRule="auto"/>
              <w:rPr>
                <w:rFonts w:eastAsia="Calibri" w:cs="Tahoma"/>
                <w:szCs w:val="18"/>
              </w:rPr>
            </w:pPr>
            <w:r w:rsidRPr="000A1C8E">
              <w:rPr>
                <w:rFonts w:eastAsia="Calibri" w:cs="Tahoma"/>
                <w:szCs w:val="18"/>
              </w:rPr>
              <w:t>System Center Standard</w:t>
            </w:r>
          </w:p>
        </w:tc>
        <w:tc>
          <w:tcPr>
            <w:tcW w:w="4050" w:type="dxa"/>
            <w:tcMar>
              <w:top w:w="0" w:type="dxa"/>
              <w:left w:w="108" w:type="dxa"/>
              <w:bottom w:w="0" w:type="dxa"/>
              <w:right w:w="108" w:type="dxa"/>
            </w:tcMar>
          </w:tcPr>
          <w:p w:rsidR="004D776B" w:rsidRPr="000A1C8E" w:rsidRDefault="004D776B" w:rsidP="00026546">
            <w:pPr>
              <w:spacing w:before="120" w:after="120" w:line="276" w:lineRule="auto"/>
              <w:rPr>
                <w:rFonts w:eastAsia="Calibri" w:cs="Tahoma"/>
                <w:szCs w:val="18"/>
                <w:lang w:val="fr-FR"/>
              </w:rPr>
            </w:pPr>
            <w:r w:rsidRPr="000A1C8E">
              <w:rPr>
                <w:rFonts w:eastAsia="Calibri" w:cs="Tahoma"/>
                <w:szCs w:val="18"/>
              </w:rPr>
              <w:t>Core Infrastructure Server Suite Standard</w:t>
            </w:r>
          </w:p>
        </w:tc>
      </w:tr>
    </w:tbl>
    <w:p w:rsidR="004D776B" w:rsidRPr="000A1C8E" w:rsidRDefault="004D776B" w:rsidP="00A66BD2">
      <w:pPr>
        <w:rPr>
          <w:rFonts w:cs="Tahoma"/>
        </w:rPr>
      </w:pPr>
    </w:p>
    <w:p w:rsidR="00BF1889" w:rsidRPr="000A1C8E" w:rsidRDefault="00BF1889" w:rsidP="00A66BD2">
      <w:pPr>
        <w:rPr>
          <w:rFonts w:cs="Tahoma"/>
        </w:rPr>
      </w:pPr>
    </w:p>
    <w:p w:rsidR="00B947E4" w:rsidRPr="000A1C8E" w:rsidRDefault="00A560B6" w:rsidP="00B947E4">
      <w:pPr>
        <w:pStyle w:val="Heading3"/>
        <w:rPr>
          <w:rFonts w:ascii="Tahoma" w:hAnsi="Tahoma" w:cs="Tahoma"/>
        </w:rPr>
      </w:pPr>
      <w:bookmarkStart w:id="1197" w:name="_38_Core_Infrastructure"/>
      <w:bookmarkStart w:id="1198" w:name="_42_Core_Infrastructure"/>
      <w:bookmarkStart w:id="1199" w:name="_Toc336338297"/>
      <w:bookmarkStart w:id="1200" w:name="_Toc361829386"/>
      <w:bookmarkStart w:id="1201" w:name="Srv_36CoreInfraServerSuiteEnt"/>
      <w:bookmarkStart w:id="1202" w:name="Srv_33CoreInfrastructureSvrSuiteEnt"/>
      <w:bookmarkEnd w:id="1197"/>
      <w:bookmarkEnd w:id="1198"/>
      <w:r w:rsidRPr="000A1C8E">
        <w:rPr>
          <w:rFonts w:ascii="Tahoma" w:hAnsi="Tahoma" w:cs="Tahoma"/>
          <w:caps/>
          <w:color w:val="F66400"/>
          <w:sz w:val="22"/>
          <w:vertAlign w:val="superscript"/>
        </w:rPr>
        <w:t>43</w:t>
      </w:r>
      <w:r w:rsidRPr="000A1C8E">
        <w:rPr>
          <w:rFonts w:ascii="Tahoma" w:hAnsi="Tahoma" w:cs="Tahoma"/>
          <w:color w:val="F66400"/>
          <w:sz w:val="22"/>
        </w:rPr>
        <w:t xml:space="preserve"> Core Infrastructure Server Suite Enterprise</w:t>
      </w:r>
      <w:bookmarkEnd w:id="1199"/>
      <w:bookmarkEnd w:id="1200"/>
    </w:p>
    <w:p w:rsidR="000A297A" w:rsidRPr="000A1C8E" w:rsidRDefault="000A297A" w:rsidP="00A66BD2">
      <w:pPr>
        <w:rPr>
          <w:rFonts w:cs="Tahoma"/>
        </w:rPr>
      </w:pPr>
    </w:p>
    <w:bookmarkEnd w:id="1201"/>
    <w:bookmarkEnd w:id="1202"/>
    <w:p w:rsidR="00B947E4" w:rsidRPr="000A1C8E" w:rsidRDefault="001E68E2" w:rsidP="00466E9E">
      <w:pPr>
        <w:ind w:left="720"/>
        <w:rPr>
          <w:rFonts w:cs="Tahoma"/>
          <w:spacing w:val="-2"/>
        </w:rPr>
      </w:pPr>
      <w:r w:rsidRPr="000A1C8E">
        <w:rPr>
          <w:rFonts w:eastAsia="Calibri" w:cs="Tahoma"/>
          <w:spacing w:val="-2"/>
          <w:szCs w:val="18"/>
        </w:rPr>
        <w:t>Em 1º de abril de 2012, a Microsoft descontinuará o Core Infrastructure Server Suite Enterprise. Os clientes do</w:t>
      </w:r>
      <w:r w:rsidR="00466E9E" w:rsidRPr="000A1C8E">
        <w:rPr>
          <w:rFonts w:eastAsia="Calibri" w:cs="Tahoma"/>
          <w:spacing w:val="-2"/>
          <w:szCs w:val="18"/>
        </w:rPr>
        <w:t> </w:t>
      </w:r>
      <w:r w:rsidRPr="000A1C8E">
        <w:rPr>
          <w:rFonts w:eastAsia="Calibri" w:cs="Tahoma"/>
          <w:spacing w:val="-2"/>
          <w:szCs w:val="18"/>
        </w:rPr>
        <w:t>Core Infrastructure Server Suite Enterprise com Software Assurance a partir de 1o de abril de 2012 estarão</w:t>
      </w:r>
      <w:r w:rsidR="00466E9E" w:rsidRPr="000A1C8E">
        <w:rPr>
          <w:rFonts w:eastAsia="Calibri" w:cs="Tahoma"/>
          <w:spacing w:val="-2"/>
          <w:szCs w:val="18"/>
        </w:rPr>
        <w:t> </w:t>
      </w:r>
      <w:r w:rsidRPr="000A1C8E">
        <w:rPr>
          <w:rFonts w:eastAsia="Calibri" w:cs="Tahoma"/>
          <w:spacing w:val="-2"/>
          <w:szCs w:val="18"/>
        </w:rPr>
        <w:t>qualificados para uma licença para Core Infrastructure Server Standard para cada licença para Core Infrastructure Server Suite Enterprise com Software Assurance que eles possuem a partir desta data.</w:t>
      </w:r>
      <w:r w:rsidR="00DC6D8B" w:rsidRPr="000A1C8E">
        <w:rPr>
          <w:rFonts w:eastAsia="Calibri" w:cs="Tahoma"/>
          <w:spacing w:val="-2"/>
          <w:szCs w:val="18"/>
        </w:rPr>
        <w:t xml:space="preserve"> </w:t>
      </w:r>
      <w:r w:rsidRPr="000A1C8E">
        <w:rPr>
          <w:rFonts w:eastAsia="Calibri" w:cs="Tahoma"/>
          <w:spacing w:val="-2"/>
          <w:szCs w:val="18"/>
        </w:rPr>
        <w:t>As licenças para Core Infrastructure Server Suite Standard concedidas por esta oferta incluirão cobertura de Software Assurance que expira no término da cobertura das suas licenças qualificadas do Core Infrastructure Server Suite Enterprise. Os clientes que usam o Core Infrastructure Server Suite Standard sob esta oferta não poderão mais usar o software sob as licenças qualificadas.</w:t>
      </w:r>
      <w:r w:rsidR="00DC6D8B" w:rsidRPr="000A1C8E">
        <w:rPr>
          <w:rFonts w:eastAsia="Calibri" w:cs="Tahoma"/>
          <w:spacing w:val="-2"/>
          <w:szCs w:val="18"/>
        </w:rPr>
        <w:t xml:space="preserve"> </w:t>
      </w:r>
      <w:r w:rsidRPr="000A1C8E">
        <w:rPr>
          <w:rFonts w:eastAsia="Calibri" w:cs="Tahoma"/>
          <w:spacing w:val="-2"/>
          <w:szCs w:val="18"/>
        </w:rPr>
        <w:t>Esta nota do produto e documentação das licenças qualificadas do cliente são a evidência do seu direito de usar o Core Infrastructure Server Suite Standard sob esta oferta.</w:t>
      </w:r>
      <w:r w:rsidR="00DC6D8B" w:rsidRPr="000A1C8E">
        <w:rPr>
          <w:rFonts w:eastAsia="Calibri" w:cs="Tahoma"/>
          <w:spacing w:val="-2"/>
          <w:szCs w:val="18"/>
        </w:rPr>
        <w:t xml:space="preserve"> </w:t>
      </w:r>
      <w:r w:rsidRPr="000A1C8E">
        <w:rPr>
          <w:rFonts w:eastAsia="Calibri" w:cs="Tahoma"/>
          <w:spacing w:val="-2"/>
          <w:szCs w:val="18"/>
        </w:rPr>
        <w:t>Esse direito expirar</w:t>
      </w:r>
      <w:bookmarkStart w:id="1203" w:name="Srv_34CoreInfraSvrSuiteDatacenter"/>
      <w:r w:rsidRPr="000A1C8E">
        <w:rPr>
          <w:rFonts w:eastAsia="Calibri" w:cs="Tahoma"/>
          <w:spacing w:val="-2"/>
          <w:szCs w:val="18"/>
        </w:rPr>
        <w:t>á em caso de término ou das licenças qualificadas.</w:t>
      </w:r>
    </w:p>
    <w:p w:rsidR="00285E3D" w:rsidRPr="000A1C8E" w:rsidRDefault="00285E3D" w:rsidP="00A66BD2">
      <w:pPr>
        <w:rPr>
          <w:rFonts w:cs="Tahoma"/>
        </w:rPr>
      </w:pPr>
    </w:p>
    <w:p w:rsidR="00A66BD2" w:rsidRPr="000A1C8E" w:rsidRDefault="00A66BD2" w:rsidP="00A66BD2">
      <w:pPr>
        <w:rPr>
          <w:rFonts w:cs="Tahoma"/>
        </w:rPr>
      </w:pPr>
    </w:p>
    <w:p w:rsidR="00B947E4" w:rsidRPr="000A1C8E" w:rsidRDefault="00A560B6" w:rsidP="00B947E4">
      <w:pPr>
        <w:pStyle w:val="Heading3"/>
        <w:rPr>
          <w:rFonts w:ascii="Tahoma" w:hAnsi="Tahoma" w:cs="Tahoma"/>
        </w:rPr>
      </w:pPr>
      <w:bookmarkStart w:id="1204" w:name="_39_Core_Infrastructure"/>
      <w:bookmarkStart w:id="1205" w:name="_43_Core_Infrastructure"/>
      <w:bookmarkStart w:id="1206" w:name="_44_Core_Infrastructure"/>
      <w:bookmarkStart w:id="1207" w:name="_Toc336338298"/>
      <w:bookmarkStart w:id="1208" w:name="_Toc361829387"/>
      <w:bookmarkStart w:id="1209" w:name="Srv_37CoreInfraServerSuiteData"/>
      <w:bookmarkEnd w:id="1204"/>
      <w:bookmarkEnd w:id="1205"/>
      <w:bookmarkEnd w:id="1206"/>
      <w:r w:rsidRPr="000A1C8E">
        <w:rPr>
          <w:rFonts w:ascii="Tahoma" w:hAnsi="Tahoma" w:cs="Tahoma"/>
          <w:caps/>
          <w:color w:val="F66400"/>
          <w:sz w:val="22"/>
          <w:vertAlign w:val="superscript"/>
        </w:rPr>
        <w:t>44</w:t>
      </w:r>
      <w:r w:rsidRPr="000A1C8E">
        <w:rPr>
          <w:rFonts w:ascii="Tahoma" w:hAnsi="Tahoma" w:cs="Tahoma"/>
          <w:color w:val="F66400"/>
          <w:sz w:val="22"/>
        </w:rPr>
        <w:t xml:space="preserve"> Core Infrastructure Server Suite Datacenter</w:t>
      </w:r>
      <w:bookmarkEnd w:id="1203"/>
      <w:bookmarkEnd w:id="1207"/>
      <w:bookmarkEnd w:id="1208"/>
    </w:p>
    <w:bookmarkEnd w:id="1209"/>
    <w:p w:rsidR="00B947E4" w:rsidRPr="000A1C8E" w:rsidRDefault="00B947E4" w:rsidP="00B947E4">
      <w:pPr>
        <w:rPr>
          <w:rFonts w:cs="Tahoma"/>
        </w:rPr>
      </w:pPr>
    </w:p>
    <w:p w:rsidR="004D776B" w:rsidRPr="000A1C8E" w:rsidRDefault="004D776B" w:rsidP="00A66BD2">
      <w:pPr>
        <w:spacing w:after="60"/>
        <w:ind w:left="720"/>
        <w:rPr>
          <w:rFonts w:cs="Tahoma"/>
        </w:rPr>
      </w:pPr>
      <w:r w:rsidRPr="000A1C8E">
        <w:rPr>
          <w:rFonts w:eastAsia="Calibri" w:cs="Tahoma"/>
          <w:b/>
          <w:szCs w:val="18"/>
        </w:rPr>
        <w:t>Migração para Nova Metodologia de Licenciamento</w:t>
      </w:r>
    </w:p>
    <w:p w:rsidR="004D776B" w:rsidRPr="000A1C8E" w:rsidRDefault="004D776B" w:rsidP="00A66BD2">
      <w:pPr>
        <w:ind w:left="720"/>
        <w:rPr>
          <w:rFonts w:cs="Tahoma"/>
        </w:rPr>
      </w:pPr>
      <w:r w:rsidRPr="000A1C8E">
        <w:rPr>
          <w:rFonts w:eastAsia="Calibri" w:cs="Tahoma"/>
          <w:szCs w:val="18"/>
        </w:rPr>
        <w:t>A partir de 1</w:t>
      </w:r>
      <w:r w:rsidRPr="000A1C8E">
        <w:rPr>
          <w:rFonts w:eastAsia="Calibri" w:cs="Tahoma"/>
          <w:szCs w:val="18"/>
          <w:vertAlign w:val="superscript"/>
        </w:rPr>
        <w:t>º</w:t>
      </w:r>
      <w:r w:rsidRPr="000A1C8E">
        <w:rPr>
          <w:rFonts w:eastAsia="Calibri" w:cs="Tahoma"/>
          <w:szCs w:val="18"/>
        </w:rPr>
        <w:t xml:space="preserve"> de abril de 2012, o modelo de licenciamento foi alterado. As licenças adquiridas sob novos registros em vigor a partir de 1</w:t>
      </w:r>
      <w:r w:rsidRPr="000A1C8E">
        <w:rPr>
          <w:rFonts w:eastAsia="Calibri" w:cs="Tahoma"/>
          <w:szCs w:val="18"/>
          <w:vertAlign w:val="superscript"/>
        </w:rPr>
        <w:t>º</w:t>
      </w:r>
      <w:r w:rsidRPr="000A1C8E">
        <w:rPr>
          <w:rFonts w:eastAsia="Calibri" w:cs="Tahoma"/>
          <w:szCs w:val="18"/>
        </w:rPr>
        <w:t xml:space="preserve"> de abril de 2012 podem licenciar até dois processadores físicos.</w:t>
      </w:r>
    </w:p>
    <w:p w:rsidR="00A66BD2" w:rsidRPr="000A1C8E" w:rsidRDefault="00A66BD2" w:rsidP="00A66BD2">
      <w:pPr>
        <w:ind w:left="720"/>
        <w:rPr>
          <w:rFonts w:cs="Tahoma"/>
        </w:rPr>
      </w:pPr>
    </w:p>
    <w:p w:rsidR="004D776B" w:rsidRPr="000A1C8E" w:rsidRDefault="004D776B" w:rsidP="00A66BD2">
      <w:pPr>
        <w:ind w:left="720"/>
        <w:rPr>
          <w:rFonts w:cs="Tahoma"/>
        </w:rPr>
      </w:pPr>
      <w:r w:rsidRPr="000A1C8E">
        <w:rPr>
          <w:rFonts w:eastAsia="Calibri" w:cs="Tahoma"/>
          <w:szCs w:val="18"/>
        </w:rPr>
        <w:t>Os clientes sob registros existentes a partir de 1</w:t>
      </w:r>
      <w:r w:rsidRPr="000A1C8E">
        <w:rPr>
          <w:rFonts w:eastAsia="Calibri" w:cs="Tahoma"/>
          <w:szCs w:val="18"/>
          <w:vertAlign w:val="superscript"/>
        </w:rPr>
        <w:t>º</w:t>
      </w:r>
      <w:r w:rsidRPr="000A1C8E">
        <w:rPr>
          <w:rFonts w:eastAsia="Calibri" w:cs="Tahoma"/>
          <w:szCs w:val="18"/>
        </w:rPr>
        <w:t xml:space="preserve"> de abril de 2012 (em vigor ou antes de 1</w:t>
      </w:r>
      <w:r w:rsidRPr="000A1C8E">
        <w:rPr>
          <w:rFonts w:eastAsia="Calibri" w:cs="Tahoma"/>
          <w:szCs w:val="18"/>
          <w:vertAlign w:val="superscript"/>
        </w:rPr>
        <w:t>º</w:t>
      </w:r>
      <w:r w:rsidRPr="000A1C8E">
        <w:rPr>
          <w:rFonts w:eastAsia="Calibri" w:cs="Tahoma"/>
          <w:szCs w:val="18"/>
        </w:rPr>
        <w:t xml:space="preserve"> de abril de 2012) podem continuar a fazer adequações (“true-up”) de licenças sob o modelo antigo sob o qual cada licença pode licenciar apenas um processador. Os direitos de migração a seguir se aplicam a licenças para esses clientes:</w:t>
      </w:r>
    </w:p>
    <w:p w:rsidR="00A66BD2" w:rsidRPr="000A1C8E" w:rsidRDefault="00A66BD2" w:rsidP="00A66BD2">
      <w:pPr>
        <w:ind w:left="720"/>
        <w:rPr>
          <w:rFonts w:cs="Tahoma"/>
        </w:rPr>
      </w:pPr>
    </w:p>
    <w:p w:rsidR="004D776B" w:rsidRPr="000A1C8E" w:rsidRDefault="004D776B" w:rsidP="00A66BD2">
      <w:pPr>
        <w:pStyle w:val="ListParagraph"/>
        <w:contextualSpacing w:val="0"/>
        <w:rPr>
          <w:rFonts w:ascii="Tahoma" w:hAnsi="Tahoma" w:cs="Tahoma"/>
        </w:rPr>
      </w:pPr>
      <w:r w:rsidRPr="000A1C8E">
        <w:rPr>
          <w:rFonts w:ascii="Tahoma" w:eastAsia="Calibri" w:hAnsi="Tahoma" w:cs="Tahoma"/>
          <w:sz w:val="18"/>
          <w:szCs w:val="18"/>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rsidR="00857EF7" w:rsidRPr="000A1C8E" w:rsidRDefault="00857EF7" w:rsidP="00A66BD2">
      <w:pPr>
        <w:ind w:left="720"/>
        <w:rPr>
          <w:rFonts w:cs="Tahoma"/>
        </w:rPr>
      </w:pPr>
    </w:p>
    <w:p w:rsidR="004D776B" w:rsidRPr="000A1C8E" w:rsidRDefault="004D776B" w:rsidP="007B35CE">
      <w:pPr>
        <w:keepNext/>
        <w:spacing w:after="60"/>
        <w:ind w:left="720"/>
        <w:rPr>
          <w:rFonts w:cs="Tahoma"/>
        </w:rPr>
      </w:pPr>
      <w:r w:rsidRPr="000A1C8E">
        <w:rPr>
          <w:rFonts w:eastAsia="Calibri" w:cs="Tahoma"/>
          <w:b/>
          <w:szCs w:val="18"/>
        </w:rPr>
        <w:t>Liberação da Nova Versão do Windows Server</w:t>
      </w:r>
    </w:p>
    <w:p w:rsidR="004D776B" w:rsidRPr="000A1C8E" w:rsidRDefault="004D776B" w:rsidP="00A66BD2">
      <w:pPr>
        <w:ind w:left="720"/>
        <w:rPr>
          <w:rFonts w:cs="Tahoma"/>
        </w:rPr>
      </w:pPr>
      <w:r w:rsidRPr="000A1C8E">
        <w:rPr>
          <w:rFonts w:eastAsia="Calibri" w:cs="Tahoma"/>
          <w:szCs w:val="18"/>
        </w:rPr>
        <w:t>Os clientes licenciados para o Core Infrastructure Server Suite Datacenter com Software Assurance ativo a partir de 1</w:t>
      </w:r>
      <w:r w:rsidRPr="000A1C8E">
        <w:rPr>
          <w:rFonts w:eastAsia="Calibri" w:cs="Tahoma"/>
          <w:szCs w:val="18"/>
          <w:vertAlign w:val="superscript"/>
        </w:rPr>
        <w:t>º</w:t>
      </w:r>
      <w:r w:rsidRPr="000A1C8E">
        <w:rPr>
          <w:rFonts w:eastAsia="Calibri" w:cs="Tahoma"/>
          <w:szCs w:val="18"/>
        </w:rPr>
        <w:t xml:space="preserve"> de setembro de 2012 têm os direitos de uso dos seguintes produtos sujeitos aos direitos de uso de produto desses produtos e do Core Infrastructure Server Suite Datacenter:</w:t>
      </w:r>
    </w:p>
    <w:p w:rsidR="00857EF7" w:rsidRPr="000A1C8E" w:rsidRDefault="00857EF7" w:rsidP="00A66BD2">
      <w:pPr>
        <w:ind w:left="720"/>
        <w:rPr>
          <w:rFonts w:cs="Tahoma"/>
        </w:rPr>
      </w:pPr>
    </w:p>
    <w:p w:rsidR="004D776B" w:rsidRPr="000A1C8E" w:rsidRDefault="004D776B" w:rsidP="00346F4B">
      <w:pPr>
        <w:numPr>
          <w:ilvl w:val="0"/>
          <w:numId w:val="115"/>
        </w:numPr>
        <w:spacing w:after="60"/>
        <w:ind w:left="1440"/>
        <w:rPr>
          <w:rFonts w:cs="Tahoma"/>
        </w:rPr>
      </w:pPr>
      <w:r w:rsidRPr="000A1C8E">
        <w:rPr>
          <w:rFonts w:eastAsia="Calibri" w:cs="Tahoma"/>
          <w:szCs w:val="18"/>
        </w:rPr>
        <w:t>Windows Server 2012 Datacenter</w:t>
      </w:r>
    </w:p>
    <w:p w:rsidR="004D776B" w:rsidRPr="000A1C8E" w:rsidRDefault="004D776B" w:rsidP="00346F4B">
      <w:pPr>
        <w:numPr>
          <w:ilvl w:val="0"/>
          <w:numId w:val="115"/>
        </w:numPr>
        <w:spacing w:after="60"/>
        <w:ind w:left="1440"/>
        <w:rPr>
          <w:rFonts w:cs="Tahoma"/>
        </w:rPr>
      </w:pPr>
      <w:r w:rsidRPr="000A1C8E">
        <w:rPr>
          <w:rFonts w:eastAsia="Calibri" w:cs="Tahoma"/>
          <w:szCs w:val="18"/>
        </w:rPr>
        <w:t>System Center 2012 Datacenter</w:t>
      </w:r>
    </w:p>
    <w:p w:rsidR="00D57009" w:rsidRDefault="00D57009">
      <w:pPr>
        <w:rPr>
          <w:rFonts w:cs="Tahoma"/>
        </w:rPr>
      </w:pPr>
    </w:p>
    <w:p w:rsidR="00692C2F" w:rsidRDefault="00692C2F">
      <w:pPr>
        <w:rPr>
          <w:rFonts w:cs="Tahoma"/>
        </w:rPr>
      </w:pPr>
    </w:p>
    <w:p w:rsidR="00692C2F" w:rsidRPr="000A1C8E" w:rsidRDefault="00692C2F">
      <w:pPr>
        <w:rPr>
          <w:rFonts w:cs="Tahoma"/>
        </w:rPr>
      </w:pPr>
    </w:p>
    <w:p w:rsidR="004D776B" w:rsidRPr="000A1C8E" w:rsidRDefault="004D776B" w:rsidP="00466E9E">
      <w:pPr>
        <w:spacing w:after="60"/>
        <w:ind w:left="720"/>
        <w:rPr>
          <w:rFonts w:cs="Tahoma"/>
        </w:rPr>
      </w:pPr>
      <w:r w:rsidRPr="000A1C8E">
        <w:rPr>
          <w:rFonts w:eastAsia="Calibri" w:cs="Tahoma"/>
          <w:b/>
          <w:szCs w:val="18"/>
        </w:rPr>
        <w:lastRenderedPageBreak/>
        <w:t>Oferta de Renovação de Software Assurance para Clientes do Windows Server Datacenter e</w:t>
      </w:r>
      <w:r w:rsidR="00466E9E" w:rsidRPr="000A1C8E">
        <w:rPr>
          <w:rFonts w:eastAsia="Calibri" w:cs="Tahoma"/>
          <w:b/>
          <w:szCs w:val="18"/>
        </w:rPr>
        <w:t> </w:t>
      </w:r>
      <w:r w:rsidRPr="000A1C8E">
        <w:rPr>
          <w:rFonts w:eastAsia="Calibri" w:cs="Tahoma"/>
          <w:b/>
          <w:szCs w:val="18"/>
        </w:rPr>
        <w:t>System Center Datacenter</w:t>
      </w:r>
    </w:p>
    <w:p w:rsidR="004D776B" w:rsidRDefault="004D776B" w:rsidP="00A66BD2">
      <w:pPr>
        <w:ind w:left="720"/>
        <w:rPr>
          <w:rFonts w:eastAsia="Calibri" w:cs="Tahoma"/>
          <w:szCs w:val="18"/>
        </w:rPr>
      </w:pPr>
      <w:r w:rsidRPr="000A1C8E">
        <w:rPr>
          <w:rFonts w:eastAsia="Calibri" w:cs="Tahoma"/>
          <w:szCs w:val="18"/>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rsidR="00692C2F" w:rsidRPr="000A1C8E" w:rsidRDefault="00692C2F"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0A1C8E"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0A1C8E" w:rsidRDefault="004D776B" w:rsidP="00692C2F">
            <w:pPr>
              <w:keepNext/>
              <w:tabs>
                <w:tab w:val="left" w:pos="3120"/>
                <w:tab w:val="center" w:pos="3591"/>
              </w:tabs>
              <w:spacing w:before="100" w:after="100" w:line="276" w:lineRule="auto"/>
              <w:jc w:val="center"/>
              <w:rPr>
                <w:rFonts w:eastAsia="Calibri" w:cs="Tahoma"/>
                <w:b/>
                <w:szCs w:val="18"/>
              </w:rPr>
            </w:pPr>
            <w:r w:rsidRPr="000A1C8E">
              <w:rPr>
                <w:rFonts w:eastAsia="Calibri" w:cs="Tahoma"/>
                <w:b/>
                <w:szCs w:val="18"/>
              </w:rPr>
              <w:t>Tabela C</w:t>
            </w:r>
          </w:p>
        </w:tc>
      </w:tr>
      <w:tr w:rsidR="004D776B" w:rsidRPr="000A1C8E"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0A1C8E" w:rsidRDefault="004D776B" w:rsidP="00692C2F">
            <w:pPr>
              <w:keepNext/>
              <w:tabs>
                <w:tab w:val="left" w:pos="3120"/>
                <w:tab w:val="center" w:pos="3591"/>
              </w:tabs>
              <w:spacing w:before="100" w:after="100" w:line="276" w:lineRule="auto"/>
              <w:jc w:val="center"/>
              <w:rPr>
                <w:rFonts w:eastAsia="Calibri" w:cs="Tahoma"/>
                <w:b/>
                <w:szCs w:val="18"/>
              </w:rPr>
            </w:pPr>
            <w:r w:rsidRPr="000A1C8E">
              <w:rPr>
                <w:rFonts w:eastAsia="Calibri" w:cs="Tahoma"/>
                <w:b/>
                <w:szCs w:val="18"/>
              </w:rPr>
              <w:t>Windows Server Datacenter</w:t>
            </w:r>
          </w:p>
        </w:tc>
      </w:tr>
      <w:tr w:rsidR="004D776B" w:rsidRPr="000A1C8E"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0A1C8E" w:rsidRDefault="004D776B" w:rsidP="00692C2F">
            <w:pPr>
              <w:keepNext/>
              <w:tabs>
                <w:tab w:val="left" w:pos="3120"/>
                <w:tab w:val="center" w:pos="3591"/>
              </w:tabs>
              <w:spacing w:before="100" w:after="100" w:line="276" w:lineRule="auto"/>
              <w:jc w:val="center"/>
              <w:rPr>
                <w:rFonts w:eastAsia="Calibri" w:cs="Tahoma"/>
                <w:b/>
                <w:szCs w:val="18"/>
              </w:rPr>
            </w:pPr>
            <w:r w:rsidRPr="000A1C8E">
              <w:rPr>
                <w:rFonts w:eastAsia="Calibri" w:cs="Tahoma"/>
                <w:b/>
                <w:szCs w:val="18"/>
              </w:rPr>
              <w:t>System Center Datacenter</w:t>
            </w:r>
          </w:p>
        </w:tc>
      </w:tr>
    </w:tbl>
    <w:p w:rsidR="00416294" w:rsidRPr="000A1C8E" w:rsidRDefault="00416294" w:rsidP="00416294">
      <w:pPr>
        <w:ind w:left="547"/>
        <w:rPr>
          <w:rFonts w:cs="Tahoma"/>
        </w:rPr>
      </w:pPr>
    </w:p>
    <w:p w:rsidR="004D776B" w:rsidRPr="000A1C8E" w:rsidRDefault="004D776B" w:rsidP="00466E9E">
      <w:pPr>
        <w:ind w:left="720"/>
        <w:rPr>
          <w:rFonts w:cs="Tahoma"/>
        </w:rPr>
      </w:pPr>
      <w:r w:rsidRPr="000A1C8E">
        <w:rPr>
          <w:rFonts w:eastAsia="Calibri" w:cs="Tahoma"/>
          <w:color w:val="000000"/>
          <w:szCs w:val="18"/>
        </w:rPr>
        <w:t>Para cada conjunto composto de uma licença qualificada do Windows Server Datacenter e uma licença qualificada do System Center Datacenter, os clientes poderão adquirir o Software Assurance para uma</w:t>
      </w:r>
      <w:r w:rsidR="00466E9E" w:rsidRPr="000A1C8E">
        <w:rPr>
          <w:rFonts w:eastAsia="Calibri" w:cs="Tahoma"/>
          <w:color w:val="000000"/>
          <w:szCs w:val="18"/>
        </w:rPr>
        <w:t> </w:t>
      </w:r>
      <w:r w:rsidRPr="000A1C8E">
        <w:rPr>
          <w:rFonts w:eastAsia="Calibri" w:cs="Tahoma"/>
          <w:color w:val="000000"/>
          <w:szCs w:val="18"/>
        </w:rPr>
        <w:t>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rsidR="00973A93" w:rsidRPr="000A1C8E" w:rsidRDefault="00973A93" w:rsidP="0050116B">
      <w:pPr>
        <w:ind w:left="540"/>
        <w:rPr>
          <w:rFonts w:cs="Tahoma"/>
        </w:rPr>
      </w:pPr>
    </w:p>
    <w:p w:rsidR="004D776B" w:rsidRPr="000A1C8E" w:rsidRDefault="004D776B" w:rsidP="00857EF7">
      <w:pPr>
        <w:spacing w:after="60"/>
        <w:ind w:left="720"/>
        <w:rPr>
          <w:rFonts w:cs="Tahoma"/>
        </w:rPr>
      </w:pPr>
      <w:r w:rsidRPr="000A1C8E">
        <w:rPr>
          <w:rFonts w:eastAsia="Calibri" w:cs="Tahoma"/>
          <w:b/>
          <w:szCs w:val="18"/>
        </w:rPr>
        <w:t>Step-up do Windows Server Datacenter ou System Center Datacenter para o Core Infrastructure Server Suite Datacenter</w:t>
      </w:r>
    </w:p>
    <w:p w:rsidR="004D776B" w:rsidRPr="000A1C8E" w:rsidRDefault="004D776B" w:rsidP="00857EF7">
      <w:pPr>
        <w:ind w:left="720"/>
        <w:rPr>
          <w:rFonts w:cs="Tahoma"/>
        </w:rPr>
      </w:pPr>
      <w:r w:rsidRPr="000A1C8E">
        <w:rPr>
          <w:rFonts w:eastAsia="Calibri" w:cs="Tahoma"/>
          <w:szCs w:val="18"/>
        </w:rPr>
        <w:t>Os clientes podem fazer step-up do Windows Server Datacenter ou System Center Datacenter para o</w:t>
      </w:r>
      <w:r w:rsidR="00466E9E" w:rsidRPr="000A1C8E">
        <w:rPr>
          <w:rFonts w:eastAsia="Calibri" w:cs="Tahoma"/>
          <w:color w:val="000000"/>
          <w:szCs w:val="18"/>
        </w:rPr>
        <w:t> </w:t>
      </w:r>
      <w:r w:rsidRPr="000A1C8E">
        <w:rPr>
          <w:rFonts w:eastAsia="Calibri" w:cs="Tahoma"/>
          <w:szCs w:val="18"/>
        </w:rPr>
        <w:t>Core</w:t>
      </w:r>
      <w:r w:rsidR="00466E9E" w:rsidRPr="000A1C8E">
        <w:rPr>
          <w:rFonts w:eastAsia="Calibri" w:cs="Tahoma"/>
          <w:color w:val="000000"/>
          <w:szCs w:val="18"/>
        </w:rPr>
        <w:t> </w:t>
      </w:r>
      <w:r w:rsidRPr="000A1C8E">
        <w:rPr>
          <w:rFonts w:eastAsia="Calibri" w:cs="Tahoma"/>
          <w:szCs w:val="18"/>
        </w:rPr>
        <w:t>Infrastructure Server Suite Datacenter pela aquisição da licença de Step-up adequada do Core Infrastructure Server Suite Datacenter.</w:t>
      </w:r>
      <w:r w:rsidR="00DC6D8B" w:rsidRPr="000A1C8E">
        <w:rPr>
          <w:rFonts w:eastAsia="Calibri" w:cs="Tahoma"/>
          <w:szCs w:val="18"/>
        </w:rPr>
        <w:t xml:space="preserve"> </w:t>
      </w:r>
      <w:r w:rsidRPr="000A1C8E">
        <w:rPr>
          <w:rFonts w:eastAsia="Calibri" w:cs="Tahoma"/>
          <w:szCs w:val="18"/>
        </w:rPr>
        <w:t>Os clientes devem ter o Software Assurance ativo para a licença do</w:t>
      </w:r>
      <w:r w:rsidR="00466E9E" w:rsidRPr="000A1C8E">
        <w:rPr>
          <w:rFonts w:eastAsia="Calibri" w:cs="Tahoma"/>
          <w:color w:val="000000"/>
          <w:szCs w:val="18"/>
        </w:rPr>
        <w:t> </w:t>
      </w:r>
      <w:r w:rsidRPr="000A1C8E">
        <w:rPr>
          <w:rFonts w:eastAsia="Calibri" w:cs="Tahoma"/>
          <w:szCs w:val="18"/>
        </w:rPr>
        <w:t xml:space="preserve">Windows Server Datacenter ou System Center Datacenter para adquirir essa licença de Step-up. </w:t>
      </w:r>
    </w:p>
    <w:p w:rsidR="00857EF7" w:rsidRPr="000A1C8E" w:rsidRDefault="00857EF7" w:rsidP="00857EF7">
      <w:pPr>
        <w:ind w:left="720"/>
        <w:rPr>
          <w:rFonts w:cs="Tahoma"/>
        </w:rPr>
      </w:pPr>
    </w:p>
    <w:p w:rsidR="004D776B" w:rsidRPr="000A1C8E" w:rsidRDefault="004D776B" w:rsidP="00857EF7">
      <w:pPr>
        <w:ind w:left="720"/>
        <w:rPr>
          <w:rFonts w:cs="Tahoma"/>
        </w:rPr>
      </w:pPr>
      <w:r w:rsidRPr="000A1C8E">
        <w:rPr>
          <w:rFonts w:eastAsia="Calibri" w:cs="Tahoma"/>
          <w:szCs w:val="18"/>
        </w:rPr>
        <w:t>Para cada licença qualificada do Windows Server Datacenter que o cliente tiver, ele poderá adquirir uma licença de Step-up do Core Infrastructure Server Suite Datacenter.</w:t>
      </w:r>
      <w:r w:rsidR="00DC6D8B" w:rsidRPr="000A1C8E">
        <w:rPr>
          <w:rFonts w:eastAsia="Calibri" w:cs="Tahoma"/>
          <w:szCs w:val="18"/>
        </w:rPr>
        <w:t xml:space="preserve"> </w:t>
      </w:r>
    </w:p>
    <w:p w:rsidR="00857EF7" w:rsidRPr="000A1C8E" w:rsidRDefault="00857EF7" w:rsidP="00857EF7">
      <w:pPr>
        <w:ind w:left="720"/>
        <w:rPr>
          <w:rFonts w:cs="Tahoma"/>
        </w:rPr>
      </w:pPr>
    </w:p>
    <w:p w:rsidR="004D776B" w:rsidRPr="000A1C8E" w:rsidRDefault="004D776B" w:rsidP="00857EF7">
      <w:pPr>
        <w:ind w:left="720"/>
        <w:rPr>
          <w:rFonts w:cs="Tahoma"/>
        </w:rPr>
      </w:pPr>
      <w:r w:rsidRPr="000A1C8E">
        <w:rPr>
          <w:rFonts w:eastAsia="Calibri" w:cs="Tahoma"/>
          <w:szCs w:val="18"/>
        </w:rPr>
        <w:t>Para cada licença qualificada do Systems Center Datacenter que o cliente tiver, ele poderá adquirir uma licença de Step-up do Core Infrastructure Server Suite Datacenter.</w:t>
      </w:r>
      <w:r w:rsidR="00DC6D8B" w:rsidRPr="000A1C8E">
        <w:rPr>
          <w:rFonts w:eastAsia="Calibri" w:cs="Tahoma"/>
          <w:szCs w:val="18"/>
        </w:rPr>
        <w:t xml:space="preserve"> </w:t>
      </w:r>
    </w:p>
    <w:p w:rsidR="00857EF7" w:rsidRPr="000A1C8E" w:rsidRDefault="00857EF7" w:rsidP="00857EF7">
      <w:pPr>
        <w:ind w:left="720"/>
        <w:rPr>
          <w:rFonts w:cs="Tahoma"/>
        </w:rPr>
      </w:pPr>
    </w:p>
    <w:p w:rsidR="004D776B" w:rsidRPr="000A1C8E" w:rsidRDefault="004D776B" w:rsidP="00857EF7">
      <w:pPr>
        <w:ind w:left="720"/>
        <w:rPr>
          <w:rFonts w:cs="Tahoma"/>
        </w:rPr>
      </w:pPr>
      <w:r w:rsidRPr="000A1C8E">
        <w:rPr>
          <w:rFonts w:eastAsia="Calibri" w:cs="Tahoma"/>
          <w:szCs w:val="18"/>
        </w:rPr>
        <w:t>O direito de uso do software pelos clientes sob a licença do Core Infrastructure Server Suite Datacenter está condicionado ao cumprimento pelos clientes de qualquer obrigação de pagamento remanescente da licença do produto qualificado.</w:t>
      </w:r>
      <w:r w:rsidR="00DC6D8B" w:rsidRPr="000A1C8E">
        <w:rPr>
          <w:rFonts w:eastAsia="Calibri" w:cs="Tahoma"/>
          <w:szCs w:val="18"/>
        </w:rPr>
        <w:t xml:space="preserve"> </w:t>
      </w:r>
      <w:r w:rsidRPr="000A1C8E">
        <w:rPr>
          <w:rFonts w:eastAsia="Calibri" w:cs="Tahoma"/>
          <w:szCs w:val="18"/>
        </w:rPr>
        <w:t>A licença do Core Infrastructure Server Suite Datacenter dos clientes suplanta e substitui a licença básica do produto qualificado.</w:t>
      </w:r>
    </w:p>
    <w:p w:rsidR="00857EF7" w:rsidRPr="000A1C8E" w:rsidRDefault="00857EF7" w:rsidP="00857EF7">
      <w:pPr>
        <w:ind w:left="720"/>
        <w:rPr>
          <w:rFonts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0A1C8E" w:rsidTr="00692C2F">
        <w:trPr>
          <w:trHeight w:val="427"/>
          <w:tblHeader/>
        </w:trPr>
        <w:tc>
          <w:tcPr>
            <w:tcW w:w="3870" w:type="dxa"/>
            <w:shd w:val="clear" w:color="auto" w:fill="FABF8F"/>
            <w:tcMar>
              <w:top w:w="0" w:type="dxa"/>
              <w:left w:w="108" w:type="dxa"/>
              <w:bottom w:w="0" w:type="dxa"/>
              <w:right w:w="108" w:type="dxa"/>
            </w:tcMar>
            <w:vAlign w:val="center"/>
            <w:hideMark/>
          </w:tcPr>
          <w:p w:rsidR="004D776B" w:rsidRPr="000A1C8E" w:rsidRDefault="004D776B" w:rsidP="00692C2F">
            <w:pPr>
              <w:spacing w:before="100" w:after="100" w:line="276" w:lineRule="auto"/>
              <w:jc w:val="center"/>
              <w:rPr>
                <w:rFonts w:eastAsia="Calibri" w:cs="Tahoma"/>
                <w:b/>
                <w:szCs w:val="18"/>
              </w:rPr>
            </w:pPr>
            <w:r w:rsidRPr="000A1C8E">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rsidR="004D776B" w:rsidRPr="000A1C8E" w:rsidRDefault="004D776B" w:rsidP="00692C2F">
            <w:pPr>
              <w:spacing w:before="100" w:after="100" w:line="276" w:lineRule="auto"/>
              <w:jc w:val="center"/>
              <w:rPr>
                <w:rFonts w:eastAsia="Calibri" w:cs="Tahoma"/>
                <w:b/>
                <w:szCs w:val="18"/>
              </w:rPr>
            </w:pPr>
            <w:r w:rsidRPr="000A1C8E">
              <w:rPr>
                <w:rFonts w:eastAsia="Calibri" w:cs="Tahoma"/>
                <w:b/>
                <w:szCs w:val="18"/>
              </w:rPr>
              <w:t>Step-up para</w:t>
            </w:r>
          </w:p>
        </w:tc>
      </w:tr>
      <w:tr w:rsidR="004D776B" w:rsidRPr="000A1C8E" w:rsidTr="001051D1">
        <w:tc>
          <w:tcPr>
            <w:tcW w:w="3870" w:type="dxa"/>
            <w:tcMar>
              <w:top w:w="0" w:type="dxa"/>
              <w:left w:w="108" w:type="dxa"/>
              <w:bottom w:w="0" w:type="dxa"/>
              <w:right w:w="108" w:type="dxa"/>
            </w:tcMar>
            <w:hideMark/>
          </w:tcPr>
          <w:p w:rsidR="004D776B" w:rsidRPr="000A1C8E" w:rsidRDefault="004D776B" w:rsidP="007E466C">
            <w:pPr>
              <w:spacing w:before="120" w:after="120" w:line="276" w:lineRule="auto"/>
              <w:rPr>
                <w:rFonts w:eastAsia="Calibri" w:cs="Tahoma"/>
                <w:szCs w:val="18"/>
              </w:rPr>
            </w:pPr>
            <w:r w:rsidRPr="000A1C8E">
              <w:rPr>
                <w:rFonts w:eastAsia="Calibri" w:cs="Tahoma"/>
                <w:szCs w:val="18"/>
              </w:rPr>
              <w:t>Windows Server Datacenter</w:t>
            </w:r>
          </w:p>
        </w:tc>
        <w:tc>
          <w:tcPr>
            <w:tcW w:w="3870" w:type="dxa"/>
            <w:tcMar>
              <w:top w:w="0" w:type="dxa"/>
              <w:left w:w="108" w:type="dxa"/>
              <w:bottom w:w="0" w:type="dxa"/>
              <w:right w:w="108" w:type="dxa"/>
            </w:tcMar>
            <w:hideMark/>
          </w:tcPr>
          <w:p w:rsidR="004D776B" w:rsidRPr="000A1C8E" w:rsidRDefault="004D776B" w:rsidP="007E466C">
            <w:pPr>
              <w:spacing w:before="120" w:after="120" w:line="276" w:lineRule="auto"/>
              <w:rPr>
                <w:rFonts w:eastAsia="Calibri" w:cs="Tahoma"/>
                <w:szCs w:val="18"/>
                <w:lang w:val="fr-FR"/>
              </w:rPr>
            </w:pPr>
            <w:r w:rsidRPr="000A1C8E">
              <w:rPr>
                <w:rFonts w:eastAsia="Calibri" w:cs="Tahoma"/>
                <w:szCs w:val="18"/>
              </w:rPr>
              <w:t>Core Infrastructure Server Suite Datacenter</w:t>
            </w:r>
          </w:p>
        </w:tc>
      </w:tr>
      <w:tr w:rsidR="004D776B" w:rsidRPr="000A1C8E" w:rsidTr="001051D1">
        <w:tc>
          <w:tcPr>
            <w:tcW w:w="3870" w:type="dxa"/>
            <w:tcMar>
              <w:top w:w="0" w:type="dxa"/>
              <w:left w:w="108" w:type="dxa"/>
              <w:bottom w:w="0" w:type="dxa"/>
              <w:right w:w="108" w:type="dxa"/>
            </w:tcMar>
          </w:tcPr>
          <w:p w:rsidR="004D776B" w:rsidRPr="000A1C8E" w:rsidRDefault="004D776B" w:rsidP="007E466C">
            <w:pPr>
              <w:spacing w:before="120" w:after="120" w:line="276" w:lineRule="auto"/>
              <w:rPr>
                <w:rFonts w:eastAsia="Calibri" w:cs="Tahoma"/>
                <w:szCs w:val="18"/>
              </w:rPr>
            </w:pPr>
            <w:r w:rsidRPr="000A1C8E">
              <w:rPr>
                <w:rFonts w:eastAsia="Calibri" w:cs="Tahoma"/>
                <w:szCs w:val="18"/>
              </w:rPr>
              <w:t>System Center Datacenter</w:t>
            </w:r>
          </w:p>
        </w:tc>
        <w:tc>
          <w:tcPr>
            <w:tcW w:w="3870" w:type="dxa"/>
            <w:tcMar>
              <w:top w:w="0" w:type="dxa"/>
              <w:left w:w="108" w:type="dxa"/>
              <w:bottom w:w="0" w:type="dxa"/>
              <w:right w:w="108" w:type="dxa"/>
            </w:tcMar>
          </w:tcPr>
          <w:p w:rsidR="004D776B" w:rsidRPr="000A1C8E" w:rsidRDefault="004D776B" w:rsidP="007E466C">
            <w:pPr>
              <w:spacing w:before="120" w:after="120" w:line="276" w:lineRule="auto"/>
              <w:rPr>
                <w:rFonts w:eastAsia="Calibri" w:cs="Tahoma"/>
                <w:szCs w:val="18"/>
                <w:lang w:val="fr-FR"/>
              </w:rPr>
            </w:pPr>
            <w:r w:rsidRPr="000A1C8E">
              <w:rPr>
                <w:rFonts w:eastAsia="Calibri" w:cs="Tahoma"/>
                <w:szCs w:val="18"/>
              </w:rPr>
              <w:t>Core Infrastructure Server Suite Datacenter</w:t>
            </w:r>
          </w:p>
        </w:tc>
      </w:tr>
    </w:tbl>
    <w:p w:rsidR="00BC62D4" w:rsidRPr="000A1C8E" w:rsidRDefault="00BC62D4" w:rsidP="00857EF7">
      <w:pPr>
        <w:ind w:left="907"/>
        <w:rPr>
          <w:rFonts w:cs="Tahoma"/>
        </w:rPr>
      </w:pPr>
      <w:bookmarkStart w:id="1210" w:name="Srv_38DynCRMWorkProEnt"/>
    </w:p>
    <w:p w:rsidR="00E03856" w:rsidRPr="000A1C8E" w:rsidRDefault="00E03856" w:rsidP="00857EF7">
      <w:pPr>
        <w:ind w:left="907"/>
        <w:rPr>
          <w:rFonts w:cs="Tahoma"/>
        </w:rPr>
      </w:pPr>
    </w:p>
    <w:p w:rsidR="00F66FB0" w:rsidRPr="00692C2F" w:rsidRDefault="00A560B6" w:rsidP="007B35CE">
      <w:pPr>
        <w:pStyle w:val="Heading2"/>
        <w:keepNext/>
        <w:ind w:left="0"/>
        <w:rPr>
          <w:rFonts w:ascii="Tahoma" w:hAnsi="Tahoma" w:cs="Tahoma"/>
          <w:sz w:val="22"/>
          <w:szCs w:val="22"/>
        </w:rPr>
      </w:pPr>
      <w:bookmarkStart w:id="1211" w:name="_44_Duet_Enterprise"/>
      <w:bookmarkStart w:id="1212" w:name="_45_Duet_Enterprise"/>
      <w:bookmarkStart w:id="1213" w:name="_Toc361829388"/>
      <w:bookmarkStart w:id="1214" w:name="Srv_38DynamicsCRMOnline"/>
      <w:bookmarkStart w:id="1215" w:name="Srv_37DynamicsCRMOnline"/>
      <w:bookmarkStart w:id="1216" w:name="Srv_37EntCALSuite"/>
      <w:bookmarkEnd w:id="1196"/>
      <w:bookmarkEnd w:id="1210"/>
      <w:bookmarkEnd w:id="1211"/>
      <w:bookmarkEnd w:id="1212"/>
      <w:r w:rsidRPr="000A1C8E">
        <w:rPr>
          <w:rFonts w:ascii="Tahoma" w:eastAsia="Times New Roman" w:hAnsi="Tahoma" w:cs="Tahoma"/>
          <w:caps/>
          <w:color w:val="FA6500"/>
          <w:sz w:val="22"/>
          <w:szCs w:val="22"/>
          <w:vertAlign w:val="superscript"/>
        </w:rPr>
        <w:t xml:space="preserve">45 </w:t>
      </w:r>
      <w:r w:rsidRPr="00692C2F">
        <w:rPr>
          <w:rFonts w:ascii="Tahoma" w:eastAsia="Times New Roman" w:hAnsi="Tahoma" w:cs="Tahoma"/>
          <w:color w:val="FA6500"/>
          <w:sz w:val="22"/>
          <w:szCs w:val="22"/>
        </w:rPr>
        <w:t>Duet Enterprise 2.0</w:t>
      </w:r>
      <w:bookmarkEnd w:id="1213"/>
    </w:p>
    <w:p w:rsidR="00F66FB0" w:rsidRPr="000A1C8E" w:rsidRDefault="00BE21F5" w:rsidP="007B35CE">
      <w:pPr>
        <w:keepNext/>
        <w:ind w:left="720"/>
        <w:rPr>
          <w:rFonts w:cs="Tahoma"/>
        </w:rPr>
      </w:pPr>
      <w:r w:rsidRPr="000A1C8E">
        <w:rPr>
          <w:rFonts w:cs="Tahoma"/>
        </w:rPr>
        <w:t xml:space="preserve"> </w:t>
      </w:r>
    </w:p>
    <w:p w:rsidR="00F66FB0" w:rsidRPr="000A1C8E" w:rsidRDefault="00F66FB0" w:rsidP="00466E9E">
      <w:pPr>
        <w:ind w:left="720"/>
        <w:rPr>
          <w:rFonts w:cs="Tahoma"/>
        </w:rPr>
      </w:pPr>
      <w:r w:rsidRPr="000A1C8E">
        <w:rPr>
          <w:rFonts w:cs="Tahoma"/>
          <w:color w:val="000000"/>
        </w:rPr>
        <w:t xml:space="preserve">O Duet Enterprise 2.0 é a última versão do Duet Enterprise para Microsoft SharePoint e SAP 1.0. Os </w:t>
      </w:r>
      <w:r w:rsidR="00466E9E" w:rsidRPr="000A1C8E">
        <w:rPr>
          <w:rFonts w:cs="Tahoma"/>
          <w:color w:val="000000"/>
        </w:rPr>
        <w:t>clients </w:t>
      </w:r>
      <w:r w:rsidRPr="000A1C8E">
        <w:rPr>
          <w:rFonts w:cs="Tahoma"/>
          <w:color w:val="000000"/>
        </w:rPr>
        <w:t>com Software Assurance ativo para Duet Enterprise para Microsoft SharePoint e SAP 1.0 em 30 de novembro de 2012 poderão atualizar para e usar o Duet Enterprise 2.0 em vez de suas cópias licenciadas correspondentes do Duet Enterprise para SharePoint e SAP 1.0.</w:t>
      </w:r>
    </w:p>
    <w:p w:rsidR="00F66FB0" w:rsidRPr="000A1C8E" w:rsidRDefault="00BE21F5" w:rsidP="00F66FB0">
      <w:pPr>
        <w:rPr>
          <w:rFonts w:cs="Tahoma"/>
        </w:rPr>
      </w:pPr>
      <w:r w:rsidRPr="000A1C8E">
        <w:rPr>
          <w:rFonts w:cs="Tahoma"/>
          <w:color w:val="000000"/>
        </w:rPr>
        <w:t xml:space="preserve"> </w:t>
      </w:r>
    </w:p>
    <w:p w:rsidR="00F66FB0" w:rsidRPr="000A1C8E" w:rsidRDefault="00F66FB0" w:rsidP="00F66FB0">
      <w:pPr>
        <w:ind w:left="720"/>
        <w:rPr>
          <w:rFonts w:cs="Tahoma"/>
        </w:rPr>
      </w:pPr>
      <w:r w:rsidRPr="000A1C8E">
        <w:rPr>
          <w:rFonts w:cs="Tahoma"/>
          <w:color w:val="000000"/>
          <w:u w:val="single"/>
        </w:rPr>
        <w:t>Obtendo o Duet Enterprise 2.0</w:t>
      </w:r>
    </w:p>
    <w:p w:rsidR="00F66FB0" w:rsidRPr="000A1C8E" w:rsidRDefault="00F66FB0" w:rsidP="00F66FB0">
      <w:pPr>
        <w:ind w:left="720"/>
        <w:rPr>
          <w:rFonts w:cs="Tahoma"/>
        </w:rPr>
      </w:pPr>
      <w:r w:rsidRPr="000A1C8E">
        <w:rPr>
          <w:rFonts w:cs="Tahoma"/>
          <w:color w:val="000000"/>
        </w:rPr>
        <w:t>O Duet Enterprise 2.0 não estará disponível no Volume Licensing Service Center (Centro de Atendimento de Licenciamento por Volume). Clientes existentes qualificados para o Duet Enterprise 2.0 receberão notificações separadas que destacam como obter o software a partir do Microsoft Connect.</w:t>
      </w:r>
    </w:p>
    <w:p w:rsidR="00652B0A" w:rsidRPr="000A1C8E" w:rsidRDefault="00A560B6" w:rsidP="00652B0A">
      <w:pPr>
        <w:pStyle w:val="Heading3"/>
        <w:rPr>
          <w:rFonts w:ascii="Tahoma" w:hAnsi="Tahoma" w:cs="Tahoma"/>
        </w:rPr>
      </w:pPr>
      <w:bookmarkStart w:id="1217" w:name="_40_Dynamics_CRM"/>
      <w:bookmarkStart w:id="1218" w:name="_40_39_Dynamics"/>
      <w:bookmarkStart w:id="1219" w:name="_4240_Dynamics_CRM"/>
      <w:bookmarkStart w:id="1220" w:name="_45_Microsoft_Dynamics"/>
      <w:bookmarkStart w:id="1221" w:name="_46_Microsoft_Dynamics"/>
      <w:bookmarkStart w:id="1222" w:name="_Toc336338300"/>
      <w:bookmarkStart w:id="1223" w:name="_Toc361829389"/>
      <w:bookmarkEnd w:id="1217"/>
      <w:bookmarkEnd w:id="1218"/>
      <w:bookmarkEnd w:id="1219"/>
      <w:bookmarkEnd w:id="1220"/>
      <w:bookmarkEnd w:id="1221"/>
      <w:r w:rsidRPr="000A1C8E">
        <w:rPr>
          <w:rFonts w:ascii="Tahoma" w:hAnsi="Tahoma" w:cs="Tahoma"/>
          <w:caps/>
          <w:color w:val="F66400"/>
          <w:sz w:val="22"/>
          <w:vertAlign w:val="superscript"/>
        </w:rPr>
        <w:lastRenderedPageBreak/>
        <w:t>46</w:t>
      </w:r>
      <w:r w:rsidRPr="000A1C8E">
        <w:rPr>
          <w:rFonts w:ascii="Tahoma" w:hAnsi="Tahoma" w:cs="Tahoma"/>
          <w:color w:val="F66400"/>
          <w:sz w:val="22"/>
        </w:rPr>
        <w:t xml:space="preserve"> Microsoft Dynamics CRM Online</w:t>
      </w:r>
      <w:bookmarkEnd w:id="1222"/>
      <w:bookmarkEnd w:id="1223"/>
    </w:p>
    <w:bookmarkEnd w:id="1214"/>
    <w:bookmarkEnd w:id="1215"/>
    <w:p w:rsidR="00652B0A" w:rsidRPr="000A1C8E" w:rsidRDefault="00652B0A">
      <w:pPr>
        <w:pStyle w:val="Heading3"/>
        <w:rPr>
          <w:rFonts w:ascii="Tahoma" w:hAnsi="Tahoma" w:cs="Tahoma"/>
        </w:rPr>
      </w:pPr>
    </w:p>
    <w:p w:rsidR="0040633A" w:rsidRPr="000A1C8E" w:rsidRDefault="00857EF7" w:rsidP="001154B5">
      <w:pPr>
        <w:ind w:left="720"/>
        <w:rPr>
          <w:rFonts w:cs="Tahoma"/>
        </w:rPr>
      </w:pPr>
      <w:r w:rsidRPr="000A1C8E">
        <w:rPr>
          <w:rFonts w:cs="Tahoma"/>
          <w:b/>
          <w:color w:val="000000"/>
          <w:szCs w:val="18"/>
        </w:rPr>
        <w:t>Países em que o Microsoft Dynamics CRM Online está Disponível</w:t>
      </w:r>
    </w:p>
    <w:p w:rsidR="00E952D9" w:rsidRPr="000A1C8E"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0A1C8E"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0A1C8E" w:rsidRDefault="00781A60" w:rsidP="007E466C">
            <w:pPr>
              <w:keepNext/>
              <w:jc w:val="center"/>
              <w:rPr>
                <w:rFonts w:cs="Tahoma"/>
                <w:b/>
                <w:bCs/>
                <w:szCs w:val="20"/>
              </w:rPr>
            </w:pPr>
            <w:r w:rsidRPr="000A1C8E">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0A1C8E" w:rsidRDefault="00781A60" w:rsidP="007E466C">
            <w:pPr>
              <w:keepNext/>
              <w:jc w:val="center"/>
              <w:rPr>
                <w:rFonts w:cs="Tahoma"/>
                <w:b/>
                <w:bCs/>
                <w:szCs w:val="20"/>
              </w:rPr>
            </w:pPr>
            <w:r w:rsidRPr="000A1C8E">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0A1C8E" w:rsidRDefault="00781A60" w:rsidP="007E466C">
            <w:pPr>
              <w:keepNext/>
              <w:jc w:val="center"/>
              <w:rPr>
                <w:rFonts w:cs="Tahoma"/>
                <w:b/>
                <w:bCs/>
                <w:szCs w:val="20"/>
              </w:rPr>
            </w:pPr>
            <w:r w:rsidRPr="000A1C8E">
              <w:rPr>
                <w:rFonts w:cs="Tahoma"/>
                <w:b/>
                <w:bCs/>
                <w:szCs w:val="20"/>
              </w:rPr>
              <w:t>Ásia-Pacífico</w:t>
            </w:r>
          </w:p>
        </w:tc>
      </w:tr>
      <w:tr w:rsidR="00781A60" w:rsidRPr="000A1C8E"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jc w:val="center"/>
              <w:rPr>
                <w:rFonts w:cs="Tahoma"/>
                <w:color w:val="000000"/>
                <w:szCs w:val="20"/>
              </w:rPr>
            </w:pPr>
            <w:r w:rsidRPr="000A1C8E">
              <w:rPr>
                <w:rFonts w:cs="Tahoma"/>
              </w:rPr>
              <w:t>Brasil</w:t>
            </w:r>
          </w:p>
        </w:tc>
        <w:tc>
          <w:tcPr>
            <w:tcW w:w="2670" w:type="dxa"/>
            <w:tcBorders>
              <w:top w:val="nil"/>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Austrália</w:t>
            </w: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jc w:val="center"/>
              <w:rPr>
                <w:rFonts w:cs="Tahoma"/>
                <w:color w:val="000000"/>
                <w:szCs w:val="20"/>
              </w:rPr>
            </w:pPr>
            <w:r w:rsidRPr="000A1C8E">
              <w:rPr>
                <w:rFonts w:cs="Tahoma"/>
              </w:rPr>
              <w:t>Canadá</w:t>
            </w: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Hong Kong</w:t>
            </w: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jc w:val="center"/>
              <w:rPr>
                <w:rFonts w:cs="Tahoma"/>
                <w:color w:val="000000"/>
                <w:szCs w:val="20"/>
              </w:rPr>
            </w:pPr>
            <w:r w:rsidRPr="000A1C8E">
              <w:rPr>
                <w:rFonts w:cs="Tahoma"/>
              </w:rPr>
              <w:t>Colômbia</w:t>
            </w: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Índia</w:t>
            </w: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jc w:val="center"/>
              <w:rPr>
                <w:rFonts w:cs="Tahoma"/>
              </w:rPr>
            </w:pPr>
            <w:r w:rsidRPr="000A1C8E">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Japão</w:t>
            </w:r>
          </w:p>
        </w:tc>
      </w:tr>
      <w:tr w:rsidR="00B40674"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A1C8E" w:rsidRDefault="00B40674" w:rsidP="007E466C">
            <w:pPr>
              <w:keepNext/>
              <w:jc w:val="center"/>
              <w:rPr>
                <w:rFonts w:cs="Tahoma"/>
              </w:rPr>
            </w:pPr>
            <w:r w:rsidRPr="000A1C8E">
              <w:rPr>
                <w:rFonts w:cs="Tahoma"/>
              </w:rPr>
              <w:t>Chile</w:t>
            </w:r>
          </w:p>
        </w:tc>
        <w:tc>
          <w:tcPr>
            <w:tcW w:w="2670" w:type="dxa"/>
            <w:tcBorders>
              <w:top w:val="single" w:sz="4" w:space="0" w:color="000000"/>
              <w:left w:val="nil"/>
              <w:bottom w:val="single" w:sz="4" w:space="0" w:color="000000"/>
              <w:right w:val="single" w:sz="4" w:space="0" w:color="auto"/>
            </w:tcBorders>
          </w:tcPr>
          <w:p w:rsidR="00B40674" w:rsidRPr="000A1C8E" w:rsidRDefault="00B40674"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0A1C8E" w:rsidRDefault="00B40674"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Coreia</w:t>
            </w:r>
          </w:p>
        </w:tc>
      </w:tr>
      <w:tr w:rsidR="00B40674"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A1C8E" w:rsidRDefault="00B40674" w:rsidP="007E466C">
            <w:pPr>
              <w:keepNext/>
              <w:jc w:val="center"/>
              <w:rPr>
                <w:rFonts w:cs="Tahoma"/>
              </w:rPr>
            </w:pPr>
            <w:r w:rsidRPr="000A1C8E">
              <w:rPr>
                <w:rFonts w:cs="Tahoma"/>
              </w:rPr>
              <w:t>México</w:t>
            </w:r>
          </w:p>
        </w:tc>
        <w:tc>
          <w:tcPr>
            <w:tcW w:w="2670" w:type="dxa"/>
            <w:tcBorders>
              <w:top w:val="single" w:sz="4" w:space="0" w:color="000000"/>
              <w:left w:val="nil"/>
              <w:bottom w:val="single" w:sz="4" w:space="0" w:color="000000"/>
              <w:right w:val="single" w:sz="4" w:space="0" w:color="auto"/>
            </w:tcBorders>
          </w:tcPr>
          <w:p w:rsidR="00B40674" w:rsidRPr="000A1C8E" w:rsidRDefault="00B40674"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rsidR="00B40674" w:rsidRPr="000A1C8E" w:rsidRDefault="00B40674"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Malásia</w:t>
            </w:r>
          </w:p>
        </w:tc>
      </w:tr>
      <w:tr w:rsidR="00B40674"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A1C8E" w:rsidRDefault="00B40674" w:rsidP="007E466C">
            <w:pPr>
              <w:keepNext/>
              <w:jc w:val="center"/>
              <w:rPr>
                <w:rFonts w:cs="Tahoma"/>
              </w:rPr>
            </w:pPr>
            <w:r w:rsidRPr="000A1C8E">
              <w:rPr>
                <w:rFonts w:cs="Tahoma"/>
              </w:rPr>
              <w:t>Peru</w:t>
            </w:r>
          </w:p>
        </w:tc>
        <w:tc>
          <w:tcPr>
            <w:tcW w:w="2670" w:type="dxa"/>
            <w:tcBorders>
              <w:top w:val="single" w:sz="4" w:space="0" w:color="000000"/>
              <w:left w:val="nil"/>
              <w:bottom w:val="single" w:sz="4" w:space="0" w:color="000000"/>
              <w:right w:val="single" w:sz="4" w:space="0" w:color="auto"/>
            </w:tcBorders>
          </w:tcPr>
          <w:p w:rsidR="00B40674" w:rsidRPr="000A1C8E" w:rsidRDefault="00B40674"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rsidR="00B40674" w:rsidRPr="000A1C8E" w:rsidRDefault="00B40674"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Nova Zelândia</w:t>
            </w:r>
          </w:p>
        </w:tc>
      </w:tr>
      <w:tr w:rsidR="00B40674"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A1C8E" w:rsidRDefault="00B40674" w:rsidP="007E466C">
            <w:pPr>
              <w:keepNext/>
              <w:jc w:val="center"/>
              <w:rPr>
                <w:rFonts w:cs="Tahoma"/>
              </w:rPr>
            </w:pPr>
            <w:r w:rsidRPr="000A1C8E">
              <w:rPr>
                <w:rFonts w:cs="Tahoma"/>
              </w:rPr>
              <w:t>Porto Rico</w:t>
            </w:r>
          </w:p>
        </w:tc>
        <w:tc>
          <w:tcPr>
            <w:tcW w:w="2670" w:type="dxa"/>
            <w:tcBorders>
              <w:top w:val="single" w:sz="4" w:space="0" w:color="000000"/>
              <w:left w:val="nil"/>
              <w:bottom w:val="single" w:sz="4" w:space="0" w:color="000000"/>
              <w:right w:val="single" w:sz="4" w:space="0" w:color="auto"/>
            </w:tcBorders>
          </w:tcPr>
          <w:p w:rsidR="00B40674" w:rsidRPr="000A1C8E" w:rsidRDefault="00B40674"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rsidR="00B40674" w:rsidRPr="000A1C8E" w:rsidRDefault="00B40674" w:rsidP="007E466C">
            <w:pPr>
              <w:pStyle w:val="ColorfulList-Accent11"/>
              <w:keepNext/>
              <w:spacing w:line="276" w:lineRule="auto"/>
              <w:ind w:left="540"/>
              <w:jc w:val="center"/>
              <w:rPr>
                <w:rFonts w:ascii="Tahoma" w:hAnsi="Tahoma" w:cs="Tahoma"/>
                <w:color w:val="000000"/>
                <w:sz w:val="18"/>
                <w:szCs w:val="20"/>
              </w:rPr>
            </w:pPr>
            <w:r w:rsidRPr="000A1C8E">
              <w:rPr>
                <w:rFonts w:ascii="Tahoma" w:hAnsi="Tahoma" w:cs="Tahoma"/>
                <w:color w:val="000000"/>
                <w:sz w:val="18"/>
                <w:szCs w:val="20"/>
              </w:rPr>
              <w:t>Cingapura</w:t>
            </w: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jc w:val="center"/>
              <w:rPr>
                <w:rFonts w:cs="Tahoma"/>
              </w:rPr>
            </w:pPr>
            <w:r w:rsidRPr="000A1C8E">
              <w:rPr>
                <w:rFonts w:cs="Tahoma"/>
              </w:rPr>
              <w:t>Trinidad e Tobago</w:t>
            </w: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jc w:val="center"/>
              <w:rPr>
                <w:rFonts w:cs="Tahoma"/>
              </w:rPr>
            </w:pPr>
            <w:r w:rsidRPr="000A1C8E">
              <w:rPr>
                <w:rFonts w:cs="Tahoma"/>
              </w:rPr>
              <w:t>Estados Unidos</w:t>
            </w: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color w:val="000000"/>
                <w:sz w:val="18"/>
                <w:szCs w:val="18"/>
              </w:rPr>
            </w:pPr>
            <w:r w:rsidRPr="000A1C8E">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0A1C8E"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0A1C8E" w:rsidRDefault="00E822D9"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rsidR="00E822D9" w:rsidRPr="000A1C8E"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0A1C8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A1C8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A1C8E" w:rsidRDefault="00781A60" w:rsidP="007E466C">
            <w:pPr>
              <w:pStyle w:val="ColorfulList-Accent11"/>
              <w:keepNext/>
              <w:spacing w:line="276" w:lineRule="auto"/>
              <w:ind w:left="0"/>
              <w:jc w:val="center"/>
              <w:rPr>
                <w:rFonts w:ascii="Tahoma" w:hAnsi="Tahoma" w:cs="Tahoma"/>
                <w:sz w:val="18"/>
                <w:szCs w:val="18"/>
              </w:rPr>
            </w:pPr>
            <w:r w:rsidRPr="000A1C8E">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0A1C8E"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0A1C8E" w:rsidRDefault="00D47417" w:rsidP="0040633A">
      <w:pPr>
        <w:ind w:left="540"/>
        <w:rPr>
          <w:rFonts w:cs="Tahoma"/>
        </w:rPr>
      </w:pPr>
    </w:p>
    <w:p w:rsidR="00D47417" w:rsidRPr="000A1C8E" w:rsidRDefault="00D47417" w:rsidP="0040633A">
      <w:pPr>
        <w:ind w:left="540"/>
        <w:rPr>
          <w:rFonts w:cs="Tahoma"/>
        </w:rPr>
      </w:pPr>
    </w:p>
    <w:p w:rsidR="0040633A" w:rsidRPr="000A1C8E" w:rsidRDefault="0040633A" w:rsidP="00857EF7">
      <w:pPr>
        <w:spacing w:after="60"/>
        <w:ind w:left="720"/>
        <w:rPr>
          <w:rFonts w:cs="Tahoma"/>
        </w:rPr>
      </w:pPr>
      <w:r w:rsidRPr="000A1C8E">
        <w:rPr>
          <w:rFonts w:cs="Tahoma"/>
          <w:b/>
          <w:bCs/>
          <w:color w:val="000000"/>
          <w:szCs w:val="18"/>
        </w:rPr>
        <w:t>Contrato para Campus e School</w:t>
      </w:r>
    </w:p>
    <w:p w:rsidR="00532ABF" w:rsidRPr="000A1C8E" w:rsidRDefault="0040633A" w:rsidP="005614CA">
      <w:pPr>
        <w:ind w:left="720"/>
        <w:rPr>
          <w:rFonts w:cs="Tahoma"/>
          <w:spacing w:val="-2"/>
        </w:rPr>
      </w:pPr>
      <w:r w:rsidRPr="000A1C8E">
        <w:rPr>
          <w:rFonts w:cs="Tahoma"/>
          <w:color w:val="000000"/>
          <w:spacing w:val="-2"/>
          <w:szCs w:val="18"/>
        </w:rPr>
        <w:t>As licenças de assinatura do Microsoft Dynamics CRM Online vendidas sob o CASA poderão ser adquiridas para toda a Instituição ou não extensivas a toda a Instituição.</w:t>
      </w:r>
      <w:r w:rsidR="00DC6D8B" w:rsidRPr="000A1C8E">
        <w:rPr>
          <w:rFonts w:cs="Tahoma"/>
          <w:color w:val="000000"/>
          <w:spacing w:val="-2"/>
          <w:szCs w:val="18"/>
        </w:rPr>
        <w:t xml:space="preserve"> </w:t>
      </w:r>
      <w:r w:rsidRPr="000A1C8E">
        <w:rPr>
          <w:rFonts w:cs="Tahoma"/>
          <w:color w:val="000000"/>
          <w:spacing w:val="-2"/>
          <w:szCs w:val="18"/>
        </w:rPr>
        <w:t>As licenças de assinatura deverão ser licenciadas para cada usuário.</w:t>
      </w:r>
      <w:r w:rsidR="00DC6D8B" w:rsidRPr="000A1C8E">
        <w:rPr>
          <w:rFonts w:cs="Tahoma"/>
          <w:color w:val="000000"/>
          <w:spacing w:val="-2"/>
          <w:szCs w:val="18"/>
        </w:rPr>
        <w:t xml:space="preserve"> </w:t>
      </w:r>
      <w:r w:rsidRPr="000A1C8E">
        <w:rPr>
          <w:rFonts w:cs="Tahoma"/>
          <w:color w:val="000000"/>
          <w:spacing w:val="-2"/>
          <w:szCs w:val="18"/>
        </w:rPr>
        <w:t>Caso sejam necessárias Licenças de Assinatura de Usuário adicionais para acessar o Microsoft Dynamics CRM, um número igual de Licenças de Assina</w:t>
      </w:r>
      <w:bookmarkStart w:id="1224" w:name="Srv_41DuetEnterpriseforOfficeandSAP"/>
      <w:bookmarkStart w:id="1225" w:name="Srv_38EntCALSuite"/>
      <w:r w:rsidRPr="000A1C8E">
        <w:rPr>
          <w:rFonts w:cs="Tahoma"/>
          <w:color w:val="000000"/>
          <w:spacing w:val="-2"/>
          <w:szCs w:val="18"/>
        </w:rPr>
        <w:t>tura de Usuário deverá ser solicitado.</w:t>
      </w:r>
    </w:p>
    <w:p w:rsidR="006E28CC" w:rsidRPr="000A1C8E" w:rsidRDefault="006E28CC" w:rsidP="005614CA">
      <w:pPr>
        <w:ind w:left="720"/>
        <w:rPr>
          <w:rFonts w:cs="Tahoma"/>
        </w:rPr>
      </w:pPr>
    </w:p>
    <w:p w:rsidR="006E28CC" w:rsidRPr="000A1C8E" w:rsidRDefault="006E28CC" w:rsidP="006D6A83">
      <w:pPr>
        <w:spacing w:after="60"/>
        <w:ind w:left="720"/>
        <w:rPr>
          <w:rFonts w:cs="Tahoma"/>
        </w:rPr>
      </w:pPr>
      <w:r w:rsidRPr="000A1C8E">
        <w:rPr>
          <w:rFonts w:cs="Tahoma"/>
          <w:b/>
        </w:rPr>
        <w:t>Microsoft Dynamics CRM Online – Concessão de Integração do Microsoft Dynamics Marketing Online</w:t>
      </w:r>
    </w:p>
    <w:p w:rsidR="003165D6" w:rsidRPr="000A1C8E" w:rsidRDefault="006E28CC" w:rsidP="009B3FA2">
      <w:pPr>
        <w:ind w:left="720"/>
        <w:rPr>
          <w:rFonts w:cs="Tahoma"/>
        </w:rPr>
      </w:pPr>
      <w:r w:rsidRPr="000A1C8E">
        <w:rPr>
          <w:rFonts w:cs="Tahoma"/>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0A1C8E">
        <w:rPr>
          <w:rFonts w:cs="Tahoma"/>
          <w:bCs/>
        </w:rPr>
        <w:t xml:space="preserve">MarketingPilot Connector for Microsoft Dynamics CRM </w:t>
      </w:r>
      <w:r w:rsidRPr="000A1C8E">
        <w:rPr>
          <w:rFonts w:cs="Tahoma"/>
        </w:rPr>
        <w:t>apenas para os fins de sincronização de dados do cliente. Tais usuários não precisarão de uma SL de Usuário do Microsoft Dynamics CRM Online. Esta renúncia poderá ser aplicada até</w:t>
      </w:r>
      <w:r w:rsidRPr="000A1C8E">
        <w:rPr>
          <w:rFonts w:eastAsia="Calibri" w:cs="Tahoma"/>
        </w:rPr>
        <w:t xml:space="preserve"> </w:t>
      </w:r>
      <w:r w:rsidRPr="000A1C8E">
        <w:rPr>
          <w:rFonts w:cs="Tahoma"/>
        </w:rPr>
        <w:t>30 de junho de 2014. Depois deste período, a Microsoft reserva para si o direito de exigir SLs de Usuário apropriadas.</w:t>
      </w:r>
      <w:bookmarkStart w:id="1226" w:name="Srv_45EntCALBridgeWinIntune"/>
      <w:bookmarkEnd w:id="1224"/>
    </w:p>
    <w:p w:rsidR="0054609D" w:rsidRPr="000A1C8E" w:rsidRDefault="0054609D" w:rsidP="00101859">
      <w:pPr>
        <w:rPr>
          <w:rFonts w:cs="Tahoma"/>
        </w:rPr>
      </w:pPr>
      <w:bookmarkStart w:id="1227" w:name="_41_Duet_Enterprise"/>
      <w:bookmarkEnd w:id="1227"/>
    </w:p>
    <w:p w:rsidR="0054609D" w:rsidRPr="000A1C8E" w:rsidRDefault="0054609D" w:rsidP="00101859">
      <w:pPr>
        <w:rPr>
          <w:rFonts w:cs="Tahoma"/>
        </w:rPr>
      </w:pPr>
    </w:p>
    <w:p w:rsidR="00466E9E" w:rsidRPr="000A1C8E" w:rsidRDefault="00466E9E" w:rsidP="00101859">
      <w:pPr>
        <w:rPr>
          <w:rFonts w:cs="Tahoma"/>
        </w:rPr>
      </w:pPr>
    </w:p>
    <w:p w:rsidR="00466E9E" w:rsidRPr="000A1C8E" w:rsidRDefault="00466E9E" w:rsidP="00101859">
      <w:pPr>
        <w:rPr>
          <w:rFonts w:cs="Tahoma"/>
        </w:rPr>
      </w:pPr>
    </w:p>
    <w:p w:rsidR="00466E9E" w:rsidRPr="000A1C8E" w:rsidRDefault="00466E9E" w:rsidP="00101859">
      <w:pPr>
        <w:rPr>
          <w:rFonts w:cs="Tahoma"/>
        </w:rPr>
      </w:pPr>
    </w:p>
    <w:p w:rsidR="00466E9E" w:rsidRPr="000A1C8E" w:rsidRDefault="00466E9E" w:rsidP="00101859">
      <w:pPr>
        <w:rPr>
          <w:rFonts w:cs="Tahoma"/>
        </w:rPr>
      </w:pPr>
    </w:p>
    <w:p w:rsidR="00466E9E" w:rsidRPr="000A1C8E" w:rsidRDefault="00466E9E" w:rsidP="00101859">
      <w:pPr>
        <w:rPr>
          <w:rFonts w:cs="Tahoma"/>
        </w:rPr>
      </w:pPr>
    </w:p>
    <w:p w:rsidR="00162A93" w:rsidRPr="000A1C8E" w:rsidRDefault="00A560B6" w:rsidP="00162A93">
      <w:pPr>
        <w:pStyle w:val="Heading3"/>
        <w:ind w:left="180" w:hanging="180"/>
        <w:rPr>
          <w:rFonts w:ascii="Tahoma" w:hAnsi="Tahoma" w:cs="Tahoma"/>
        </w:rPr>
      </w:pPr>
      <w:bookmarkStart w:id="1228" w:name="_41_Enterprise_CAL"/>
      <w:bookmarkStart w:id="1229" w:name="_46_Enterprise_CAL"/>
      <w:bookmarkStart w:id="1230" w:name="_47_Bridge_do"/>
      <w:bookmarkStart w:id="1231" w:name="_Toc336338303"/>
      <w:bookmarkStart w:id="1232" w:name="_Toc361829390"/>
      <w:bookmarkEnd w:id="1228"/>
      <w:bookmarkEnd w:id="1229"/>
      <w:bookmarkEnd w:id="1230"/>
      <w:r w:rsidRPr="000A1C8E">
        <w:rPr>
          <w:rFonts w:ascii="Tahoma" w:hAnsi="Tahoma" w:cs="Tahoma"/>
          <w:caps/>
          <w:color w:val="F66400"/>
          <w:sz w:val="22"/>
          <w:vertAlign w:val="superscript"/>
        </w:rPr>
        <w:lastRenderedPageBreak/>
        <w:t xml:space="preserve">47 </w:t>
      </w:r>
      <w:r w:rsidRPr="000A1C8E">
        <w:rPr>
          <w:rFonts w:ascii="Tahoma" w:hAnsi="Tahoma" w:cs="Tahoma"/>
          <w:color w:val="F66400"/>
          <w:sz w:val="22"/>
        </w:rPr>
        <w:t>Bridge do Pacote de CALs Empresariais para Office 365, Bridge do Pacote de CALs Empresariais para Office 365 e Windows Intune e Bridge do Pacote de CALs Empresariais para Windows Intune</w:t>
      </w:r>
      <w:bookmarkEnd w:id="1231"/>
      <w:bookmarkEnd w:id="1232"/>
      <w:r w:rsidRPr="000A1C8E">
        <w:rPr>
          <w:rFonts w:ascii="Tahoma" w:hAnsi="Tahoma" w:cs="Tahoma"/>
          <w:color w:val="F66400"/>
          <w:sz w:val="22"/>
        </w:rPr>
        <w:t xml:space="preserve"> </w:t>
      </w:r>
    </w:p>
    <w:p w:rsidR="00BD2BE7" w:rsidRPr="000A1C8E" w:rsidRDefault="00BD2BE7" w:rsidP="0084072C">
      <w:pPr>
        <w:rPr>
          <w:rFonts w:cs="Tahoma"/>
        </w:rPr>
      </w:pPr>
    </w:p>
    <w:bookmarkEnd w:id="1226"/>
    <w:p w:rsidR="0084072C" w:rsidRPr="000A1C8E" w:rsidRDefault="00162A93" w:rsidP="0084072C">
      <w:pPr>
        <w:spacing w:after="60"/>
        <w:ind w:left="720"/>
        <w:rPr>
          <w:rFonts w:cs="Tahoma"/>
        </w:rPr>
      </w:pPr>
      <w:r w:rsidRPr="000A1C8E">
        <w:rPr>
          <w:rFonts w:cs="Tahoma"/>
          <w:b/>
          <w:szCs w:val="18"/>
        </w:rPr>
        <w:t>Definição</w:t>
      </w:r>
    </w:p>
    <w:p w:rsidR="00162A93" w:rsidRPr="000A1C8E" w:rsidRDefault="00162A93" w:rsidP="0084072C">
      <w:pPr>
        <w:ind w:left="720"/>
        <w:rPr>
          <w:rFonts w:cs="Tahoma"/>
        </w:rPr>
      </w:pPr>
      <w:r w:rsidRPr="000A1C8E">
        <w:rPr>
          <w:rFonts w:cs="Tahoma"/>
          <w:szCs w:val="18"/>
        </w:rPr>
        <w:t>“Transição” significa a conversão de uma Licença com o Software Assurance atual para ou de uma licença de assinatura.</w:t>
      </w:r>
      <w:r w:rsidR="00DC6D8B" w:rsidRPr="000A1C8E">
        <w:rPr>
          <w:rFonts w:cs="Tahoma"/>
          <w:szCs w:val="18"/>
        </w:rPr>
        <w:t xml:space="preserve"> </w:t>
      </w:r>
    </w:p>
    <w:p w:rsidR="00D57009" w:rsidRPr="000A1C8E" w:rsidRDefault="00D57009">
      <w:pPr>
        <w:rPr>
          <w:rFonts w:cs="Tahoma"/>
        </w:rPr>
      </w:pPr>
    </w:p>
    <w:p w:rsidR="0084072C" w:rsidRPr="000A1C8E" w:rsidRDefault="0084072C" w:rsidP="0084072C">
      <w:pPr>
        <w:spacing w:after="60"/>
        <w:ind w:left="720"/>
        <w:rPr>
          <w:rFonts w:cs="Tahoma"/>
        </w:rPr>
      </w:pPr>
      <w:r w:rsidRPr="000A1C8E">
        <w:rPr>
          <w:rFonts w:cs="Tahoma"/>
          <w:b/>
          <w:szCs w:val="18"/>
        </w:rPr>
        <w:t>Direitos de Uso Aplicáveis</w:t>
      </w:r>
    </w:p>
    <w:p w:rsidR="00162A93" w:rsidRPr="000A1C8E" w:rsidRDefault="00162A93" w:rsidP="0084072C">
      <w:pPr>
        <w:ind w:left="720"/>
        <w:rPr>
          <w:rFonts w:cs="Tahoma"/>
        </w:rPr>
      </w:pPr>
      <w:r w:rsidRPr="000A1C8E">
        <w:rPr>
          <w:rFonts w:eastAsia="Calibri" w:cs="Tahoma"/>
          <w:szCs w:val="18"/>
        </w:rPr>
        <w:t>O Bridge do Pacote de CALs é independente da versão e os Direitos de Uso de Produto são determinados pelo status da cobertura do Software Assurance sobre ele.</w:t>
      </w:r>
      <w:r w:rsidR="00DC6D8B" w:rsidRPr="000A1C8E">
        <w:rPr>
          <w:rFonts w:eastAsia="Calibri" w:cs="Tahoma"/>
          <w:szCs w:val="18"/>
        </w:rPr>
        <w:t xml:space="preserve"> </w:t>
      </w:r>
      <w:r w:rsidRPr="000A1C8E">
        <w:rPr>
          <w:rFonts w:eastAsia="Calibri" w:cs="Tahoma"/>
          <w:szCs w:val="18"/>
        </w:rPr>
        <w:t>Se a cobertura for interrompida, os direitos de acesso sob as Licenças perpétuas serão determinados com base nos Direitos de Uso de Produto em vigor antes da interrupção.</w:t>
      </w:r>
      <w:r w:rsidR="00DC6D8B" w:rsidRPr="000A1C8E">
        <w:rPr>
          <w:rFonts w:eastAsia="Calibri" w:cs="Tahoma"/>
          <w:szCs w:val="18"/>
        </w:rPr>
        <w:t xml:space="preserve"> </w:t>
      </w:r>
      <w:r w:rsidRPr="000A1C8E">
        <w:rPr>
          <w:rFonts w:eastAsia="Calibri" w:cs="Tahoma"/>
          <w:szCs w:val="18"/>
        </w:rPr>
        <w:t>A Licença para um Bridge do Pacote de CALs é uma licença individual que deverá ser cedida a um único usuário ou dispositivo.</w:t>
      </w:r>
    </w:p>
    <w:p w:rsidR="0084072C" w:rsidRPr="000A1C8E" w:rsidRDefault="0084072C" w:rsidP="0084072C">
      <w:pPr>
        <w:ind w:left="720"/>
        <w:rPr>
          <w:rFonts w:cs="Tahoma"/>
        </w:rPr>
      </w:pPr>
    </w:p>
    <w:p w:rsidR="0084072C" w:rsidRPr="000A1C8E" w:rsidRDefault="00162A93" w:rsidP="0084072C">
      <w:pPr>
        <w:spacing w:after="60"/>
        <w:ind w:left="720"/>
        <w:rPr>
          <w:rFonts w:cs="Tahoma"/>
        </w:rPr>
      </w:pPr>
      <w:r w:rsidRPr="000A1C8E">
        <w:rPr>
          <w:rFonts w:cs="Tahoma"/>
          <w:b/>
          <w:szCs w:val="18"/>
        </w:rPr>
        <w:t>Exigências</w:t>
      </w:r>
    </w:p>
    <w:p w:rsidR="00162A93" w:rsidRPr="000A1C8E" w:rsidRDefault="00162A93" w:rsidP="0084072C">
      <w:pPr>
        <w:ind w:left="720"/>
        <w:rPr>
          <w:rFonts w:cs="Tahoma"/>
        </w:rPr>
      </w:pPr>
      <w:r w:rsidRPr="000A1C8E">
        <w:rPr>
          <w:rFonts w:eastAsia="Calibri" w:cs="Tahoma"/>
          <w:szCs w:val="18"/>
        </w:rPr>
        <w:t>Um Bridge do Pacote de CALs poderá ser solicitado durante a Transição de um Pacote de CALs para uma combinação de Produto e Serviço Online comparáveis.</w:t>
      </w:r>
      <w:r w:rsidR="00DC6D8B" w:rsidRPr="000A1C8E">
        <w:rPr>
          <w:rFonts w:eastAsia="Calibri" w:cs="Tahoma"/>
          <w:szCs w:val="18"/>
        </w:rPr>
        <w:t xml:space="preserve"> </w:t>
      </w:r>
      <w:r w:rsidRPr="000A1C8E">
        <w:rPr>
          <w:rFonts w:eastAsia="Calibri" w:cs="Tahoma"/>
          <w:szCs w:val="18"/>
        </w:rPr>
        <w:t>Quando uma Transição requerer um Brigde do Pacote de CALs e a Licença qualificada tiver sido paga integralmente pelo Cliente, não será necessário comprar nenhuma Licença do Bridge do Pacote de CALs.</w:t>
      </w:r>
      <w:r w:rsidR="00DC6D8B" w:rsidRPr="000A1C8E">
        <w:rPr>
          <w:rFonts w:eastAsia="Calibri" w:cs="Tahoma"/>
          <w:szCs w:val="18"/>
        </w:rPr>
        <w:t xml:space="preserve"> </w:t>
      </w:r>
      <w:r w:rsidRPr="000A1C8E">
        <w:rPr>
          <w:rFonts w:eastAsia="Calibri" w:cs="Tahoma"/>
          <w:szCs w:val="18"/>
        </w:rPr>
        <w:t>Em vez disso, o Software Assurance poderá ser comprado para o Bridge do Pacote de CALs no aniversário do Registro em que a Transição entrar em vigor.</w:t>
      </w:r>
      <w:r w:rsidR="00DC6D8B" w:rsidRPr="000A1C8E">
        <w:rPr>
          <w:rFonts w:eastAsia="Calibri" w:cs="Tahoma"/>
          <w:szCs w:val="18"/>
        </w:rPr>
        <w:t xml:space="preserve"> </w:t>
      </w:r>
      <w:r w:rsidRPr="000A1C8E">
        <w:rPr>
          <w:rFonts w:eastAsia="Calibri" w:cs="Tahoma"/>
          <w:szCs w:val="18"/>
        </w:rPr>
        <w:t>Nessas circunstâncias, a relação de Transição poderá ser de um Bridge do Pacote de CALs com Software Assurance para um Pacote de CALs com Software Assurance e para a mesma Licença de usuário ou dispositivo como o Pacote de CALs qualificado.</w:t>
      </w:r>
      <w:r w:rsidR="00DC6D8B" w:rsidRPr="000A1C8E">
        <w:rPr>
          <w:rFonts w:eastAsia="Calibri" w:cs="Tahoma"/>
          <w:szCs w:val="18"/>
        </w:rPr>
        <w:t xml:space="preserve"> </w:t>
      </w:r>
    </w:p>
    <w:p w:rsidR="0084072C" w:rsidRPr="000A1C8E" w:rsidRDefault="0084072C" w:rsidP="0084072C">
      <w:pPr>
        <w:ind w:left="720"/>
        <w:rPr>
          <w:rFonts w:cs="Tahoma"/>
        </w:rPr>
      </w:pPr>
    </w:p>
    <w:p w:rsidR="00162A93" w:rsidRPr="000A1C8E" w:rsidRDefault="00162A93" w:rsidP="0084072C">
      <w:pPr>
        <w:ind w:left="720"/>
        <w:rPr>
          <w:rFonts w:cs="Tahoma"/>
        </w:rPr>
      </w:pPr>
      <w:r w:rsidRPr="000A1C8E">
        <w:rPr>
          <w:rFonts w:eastAsia="Calibri" w:cs="Tahoma"/>
          <w:szCs w:val="18"/>
        </w:rPr>
        <w:t>Um Bridge do Pacote de CALs é um Produto Enterprise e pode ser licenciado em conjunto com o Serviço Online qualificado para atender os requisitos para toda a empresa desse Bridge do Pacote de CALs ou do Pacote de CALs pai.</w:t>
      </w:r>
    </w:p>
    <w:p w:rsidR="0084072C" w:rsidRPr="000A1C8E" w:rsidRDefault="0084072C" w:rsidP="0084072C">
      <w:pPr>
        <w:ind w:left="720"/>
        <w:rPr>
          <w:rFonts w:cs="Tahoma"/>
        </w:rPr>
      </w:pPr>
    </w:p>
    <w:p w:rsidR="00162A93" w:rsidRPr="000A1C8E" w:rsidRDefault="00162A93" w:rsidP="0084072C">
      <w:pPr>
        <w:ind w:left="720"/>
        <w:rPr>
          <w:rFonts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0A1C8E"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0A1C8E" w:rsidRDefault="00162A93" w:rsidP="007E466C">
            <w:pPr>
              <w:spacing w:before="120" w:after="120" w:line="276" w:lineRule="auto"/>
              <w:ind w:left="175"/>
              <w:jc w:val="center"/>
              <w:rPr>
                <w:rFonts w:eastAsia="Calibri" w:cs="Tahoma"/>
                <w:b/>
                <w:bCs/>
                <w:color w:val="000000"/>
                <w:szCs w:val="18"/>
                <w:lang w:eastAsia="ja-JP"/>
              </w:rPr>
            </w:pPr>
            <w:r w:rsidRPr="000A1C8E">
              <w:rPr>
                <w:rFonts w:eastAsia="Calibri" w:cs="Tahoma"/>
                <w:b/>
                <w:bCs/>
                <w:szCs w:val="18"/>
              </w:rPr>
              <w:t>Bridge do Pacote de CALs</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0A1C8E" w:rsidRDefault="00162A93" w:rsidP="007E466C">
            <w:pPr>
              <w:spacing w:before="120" w:after="120" w:line="276" w:lineRule="auto"/>
              <w:ind w:left="180"/>
              <w:jc w:val="center"/>
              <w:rPr>
                <w:rFonts w:eastAsia="Calibri" w:cs="Tahoma"/>
                <w:b/>
                <w:bCs/>
                <w:color w:val="000000"/>
                <w:szCs w:val="18"/>
                <w:lang w:eastAsia="ja-JP"/>
              </w:rPr>
            </w:pPr>
            <w:r w:rsidRPr="000A1C8E">
              <w:rPr>
                <w:rFonts w:eastAsia="Calibri" w:cs="Tahoma"/>
                <w:b/>
                <w:bCs/>
                <w:szCs w:val="18"/>
              </w:rPr>
              <w:t>Pacote de CALs Pai</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0A1C8E" w:rsidRDefault="00162A93" w:rsidP="007E466C">
            <w:pPr>
              <w:spacing w:before="120" w:after="120" w:line="276" w:lineRule="auto"/>
              <w:ind w:left="180" w:right="247"/>
              <w:jc w:val="center"/>
              <w:rPr>
                <w:rFonts w:eastAsia="Calibri" w:cs="Tahoma"/>
                <w:b/>
                <w:bCs/>
                <w:color w:val="000000"/>
                <w:szCs w:val="18"/>
                <w:lang w:eastAsia="ja-JP"/>
              </w:rPr>
            </w:pPr>
            <w:r w:rsidRPr="000A1C8E">
              <w:rPr>
                <w:rFonts w:eastAsia="Calibri" w:cs="Tahoma"/>
                <w:b/>
                <w:bCs/>
                <w:szCs w:val="18"/>
              </w:rPr>
              <w:t>Serviços Online Qualificados</w:t>
            </w:r>
          </w:p>
        </w:tc>
      </w:tr>
      <w:tr w:rsidR="00162A93" w:rsidRPr="000A1C8E"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0A1C8E" w:rsidRDefault="00162A93" w:rsidP="00346F4B">
            <w:pPr>
              <w:numPr>
                <w:ilvl w:val="0"/>
                <w:numId w:val="43"/>
              </w:numPr>
              <w:spacing w:before="60" w:after="60" w:line="276" w:lineRule="auto"/>
              <w:ind w:left="535" w:right="180"/>
              <w:rPr>
                <w:rFonts w:eastAsia="Calibri" w:cs="Tahoma"/>
                <w:szCs w:val="18"/>
              </w:rPr>
            </w:pPr>
            <w:r w:rsidRPr="000A1C8E">
              <w:rPr>
                <w:rFonts w:eastAsia="Calibri" w:cs="Tahoma"/>
                <w:color w:val="000000"/>
                <w:szCs w:val="18"/>
              </w:rPr>
              <w:t>Bridge do Pacote de CALs Empresariais para Office 365</w:t>
            </w:r>
          </w:p>
        </w:tc>
        <w:tc>
          <w:tcPr>
            <w:tcW w:w="1667" w:type="pct"/>
            <w:tcBorders>
              <w:top w:val="nil"/>
              <w:left w:val="nil"/>
              <w:bottom w:val="single" w:sz="8" w:space="0" w:color="auto"/>
              <w:right w:val="single" w:sz="8" w:space="0" w:color="auto"/>
            </w:tcBorders>
          </w:tcPr>
          <w:p w:rsidR="00162A93" w:rsidRPr="000A1C8E" w:rsidRDefault="00162A93" w:rsidP="00346F4B">
            <w:pPr>
              <w:numPr>
                <w:ilvl w:val="0"/>
                <w:numId w:val="44"/>
              </w:numPr>
              <w:spacing w:before="80" w:after="200" w:line="276" w:lineRule="auto"/>
              <w:ind w:left="449" w:hanging="270"/>
              <w:jc w:val="both"/>
              <w:rPr>
                <w:rFonts w:eastAsia="Calibri" w:cs="Tahoma"/>
                <w:szCs w:val="18"/>
              </w:rPr>
            </w:pPr>
            <w:r w:rsidRPr="000A1C8E">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0A1C8E" w:rsidRDefault="00162A93" w:rsidP="00346F4B">
            <w:pPr>
              <w:numPr>
                <w:ilvl w:val="0"/>
                <w:numId w:val="45"/>
              </w:numPr>
              <w:spacing w:before="80" w:after="200" w:line="276" w:lineRule="auto"/>
              <w:ind w:left="630"/>
              <w:rPr>
                <w:rFonts w:cs="Tahoma"/>
              </w:rPr>
            </w:pPr>
            <w:r w:rsidRPr="000A1C8E">
              <w:rPr>
                <w:rFonts w:eastAsia="Calibri" w:cs="Tahoma"/>
                <w:color w:val="000000"/>
                <w:szCs w:val="18"/>
              </w:rPr>
              <w:t>Office 365 Enterprise E3 ou</w:t>
            </w:r>
          </w:p>
          <w:p w:rsidR="00162A93" w:rsidRPr="000A1C8E" w:rsidRDefault="00162A93" w:rsidP="00346F4B">
            <w:pPr>
              <w:numPr>
                <w:ilvl w:val="0"/>
                <w:numId w:val="45"/>
              </w:numPr>
              <w:spacing w:before="80" w:after="200" w:line="276" w:lineRule="auto"/>
              <w:ind w:left="630"/>
              <w:rPr>
                <w:rFonts w:eastAsia="Calibri" w:cs="Tahoma"/>
                <w:color w:val="000000"/>
                <w:szCs w:val="18"/>
              </w:rPr>
            </w:pPr>
            <w:r w:rsidRPr="000A1C8E">
              <w:rPr>
                <w:rFonts w:eastAsia="Calibri" w:cs="Tahoma"/>
                <w:color w:val="000000"/>
                <w:szCs w:val="18"/>
              </w:rPr>
              <w:t>Office 365 Enterprise E4</w:t>
            </w:r>
          </w:p>
        </w:tc>
      </w:tr>
      <w:tr w:rsidR="00162A93" w:rsidRPr="000A1C8E"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0A1C8E" w:rsidRDefault="00162A93" w:rsidP="00346F4B">
            <w:pPr>
              <w:numPr>
                <w:ilvl w:val="0"/>
                <w:numId w:val="43"/>
              </w:numPr>
              <w:spacing w:before="60" w:after="60" w:line="276" w:lineRule="auto"/>
              <w:ind w:left="535" w:right="180"/>
              <w:rPr>
                <w:rFonts w:eastAsia="Calibri" w:cs="Tahoma"/>
                <w:szCs w:val="18"/>
              </w:rPr>
            </w:pPr>
            <w:r w:rsidRPr="000A1C8E">
              <w:rPr>
                <w:rFonts w:eastAsia="Calibri" w:cs="Tahoma"/>
                <w:color w:val="000000"/>
                <w:szCs w:val="18"/>
              </w:rPr>
              <w:t>Bridge do Pacote de CALs Empresariais para Office 365 e Windows Intune</w:t>
            </w:r>
          </w:p>
        </w:tc>
        <w:tc>
          <w:tcPr>
            <w:tcW w:w="1667" w:type="pct"/>
            <w:tcBorders>
              <w:top w:val="nil"/>
              <w:left w:val="nil"/>
              <w:bottom w:val="single" w:sz="8" w:space="0" w:color="auto"/>
              <w:right w:val="single" w:sz="8" w:space="0" w:color="auto"/>
            </w:tcBorders>
          </w:tcPr>
          <w:p w:rsidR="00162A93" w:rsidRPr="000A1C8E" w:rsidRDefault="00162A93" w:rsidP="00346F4B">
            <w:pPr>
              <w:numPr>
                <w:ilvl w:val="0"/>
                <w:numId w:val="44"/>
              </w:numPr>
              <w:spacing w:before="80" w:after="200" w:line="276" w:lineRule="auto"/>
              <w:ind w:left="449" w:hanging="270"/>
              <w:jc w:val="both"/>
              <w:rPr>
                <w:rFonts w:eastAsia="Calibri" w:cs="Tahoma"/>
                <w:szCs w:val="18"/>
              </w:rPr>
            </w:pPr>
            <w:r w:rsidRPr="000A1C8E">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0A1C8E" w:rsidRDefault="00162A93" w:rsidP="00F7542D">
            <w:pPr>
              <w:numPr>
                <w:ilvl w:val="0"/>
                <w:numId w:val="45"/>
              </w:numPr>
              <w:spacing w:before="80" w:after="200" w:line="276" w:lineRule="auto"/>
              <w:ind w:left="630"/>
              <w:rPr>
                <w:rFonts w:cs="Tahoma"/>
              </w:rPr>
            </w:pPr>
            <w:r w:rsidRPr="000A1C8E">
              <w:rPr>
                <w:rFonts w:eastAsia="Calibri" w:cs="Tahoma"/>
                <w:color w:val="000000"/>
                <w:szCs w:val="18"/>
              </w:rPr>
              <w:t>Office 365 Enterprise E3 e</w:t>
            </w:r>
            <w:r w:rsidR="00F7542D">
              <w:rPr>
                <w:rFonts w:eastAsia="Calibri" w:cs="Tahoma"/>
                <w:color w:val="000000"/>
                <w:szCs w:val="18"/>
              </w:rPr>
              <w:t> </w:t>
            </w:r>
            <w:r w:rsidRPr="000A1C8E">
              <w:rPr>
                <w:rFonts w:eastAsia="Calibri" w:cs="Tahoma"/>
                <w:color w:val="000000"/>
                <w:szCs w:val="18"/>
              </w:rPr>
              <w:t>Windows Intune ou</w:t>
            </w:r>
          </w:p>
          <w:p w:rsidR="00162A93" w:rsidRPr="000A1C8E" w:rsidRDefault="00162A93" w:rsidP="00F7542D">
            <w:pPr>
              <w:numPr>
                <w:ilvl w:val="0"/>
                <w:numId w:val="45"/>
              </w:numPr>
              <w:spacing w:before="80" w:after="200" w:line="276" w:lineRule="auto"/>
              <w:ind w:left="630"/>
              <w:rPr>
                <w:rFonts w:eastAsia="Calibri" w:cs="Tahoma"/>
                <w:color w:val="000000"/>
                <w:szCs w:val="18"/>
              </w:rPr>
            </w:pPr>
            <w:r w:rsidRPr="000A1C8E">
              <w:rPr>
                <w:rFonts w:eastAsia="Calibri" w:cs="Tahoma"/>
                <w:color w:val="000000"/>
                <w:szCs w:val="18"/>
              </w:rPr>
              <w:t>Office 365 Enterprise E4 e</w:t>
            </w:r>
            <w:r w:rsidR="00F7542D">
              <w:rPr>
                <w:rFonts w:eastAsia="Calibri" w:cs="Tahoma"/>
                <w:color w:val="000000"/>
                <w:szCs w:val="18"/>
              </w:rPr>
              <w:t> </w:t>
            </w:r>
            <w:r w:rsidRPr="000A1C8E">
              <w:rPr>
                <w:rFonts w:eastAsia="Calibri" w:cs="Tahoma"/>
                <w:color w:val="000000"/>
                <w:szCs w:val="18"/>
              </w:rPr>
              <w:t>Windows Intune</w:t>
            </w:r>
          </w:p>
        </w:tc>
      </w:tr>
      <w:tr w:rsidR="00162A93" w:rsidRPr="000A1C8E"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0A1C8E" w:rsidRDefault="00162A93" w:rsidP="00346F4B">
            <w:pPr>
              <w:numPr>
                <w:ilvl w:val="0"/>
                <w:numId w:val="43"/>
              </w:numPr>
              <w:spacing w:before="60" w:after="60" w:line="276" w:lineRule="auto"/>
              <w:ind w:left="535" w:right="180"/>
              <w:rPr>
                <w:rFonts w:eastAsia="Calibri" w:cs="Tahoma"/>
                <w:color w:val="000000"/>
                <w:szCs w:val="18"/>
                <w:lang w:eastAsia="ja-JP"/>
              </w:rPr>
            </w:pPr>
            <w:r w:rsidRPr="000A1C8E">
              <w:rPr>
                <w:rFonts w:eastAsia="Calibri" w:cs="Tahoma"/>
                <w:szCs w:val="18"/>
              </w:rPr>
              <w:t>Bridge do Pacote de CALs Empresariais para Windows Intune</w:t>
            </w:r>
          </w:p>
        </w:tc>
        <w:tc>
          <w:tcPr>
            <w:tcW w:w="1667" w:type="pct"/>
            <w:tcBorders>
              <w:top w:val="nil"/>
              <w:left w:val="nil"/>
              <w:bottom w:val="single" w:sz="8" w:space="0" w:color="auto"/>
              <w:right w:val="single" w:sz="8" w:space="0" w:color="auto"/>
            </w:tcBorders>
            <w:hideMark/>
          </w:tcPr>
          <w:p w:rsidR="00162A93" w:rsidRPr="000A1C8E"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0A1C8E">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0A1C8E" w:rsidRDefault="00162A93" w:rsidP="00346F4B">
            <w:pPr>
              <w:numPr>
                <w:ilvl w:val="0"/>
                <w:numId w:val="45"/>
              </w:numPr>
              <w:spacing w:before="80" w:after="200" w:line="276" w:lineRule="auto"/>
              <w:ind w:left="630"/>
              <w:rPr>
                <w:rFonts w:cs="Tahoma"/>
                <w:color w:val="000000"/>
                <w:szCs w:val="18"/>
              </w:rPr>
            </w:pPr>
            <w:r w:rsidRPr="000A1C8E">
              <w:rPr>
                <w:rFonts w:eastAsia="Calibri" w:cs="Tahoma"/>
                <w:color w:val="000000"/>
                <w:szCs w:val="18"/>
              </w:rPr>
              <w:t>Windows Intune</w:t>
            </w:r>
          </w:p>
        </w:tc>
      </w:tr>
    </w:tbl>
    <w:p w:rsidR="005614CA" w:rsidRPr="000A1C8E" w:rsidRDefault="005614CA" w:rsidP="00E03856">
      <w:pPr>
        <w:pStyle w:val="Heading3"/>
        <w:rPr>
          <w:rFonts w:ascii="Tahoma" w:hAnsi="Tahoma" w:cs="Tahoma"/>
        </w:rPr>
      </w:pPr>
      <w:bookmarkStart w:id="1233" w:name="_Toc336338304"/>
      <w:bookmarkStart w:id="1234" w:name="Srv_43EnterpriseCALSuite"/>
      <w:bookmarkEnd w:id="1216"/>
      <w:bookmarkEnd w:id="1225"/>
    </w:p>
    <w:p w:rsidR="00676723" w:rsidRPr="000A1C8E" w:rsidRDefault="00676723" w:rsidP="00676723">
      <w:pPr>
        <w:rPr>
          <w:rFonts w:cs="Tahoma"/>
        </w:rPr>
      </w:pPr>
    </w:p>
    <w:p w:rsidR="00466E9E" w:rsidRPr="000A1C8E" w:rsidRDefault="00466E9E" w:rsidP="00676723">
      <w:pPr>
        <w:rPr>
          <w:rFonts w:cs="Tahoma"/>
        </w:rPr>
      </w:pPr>
    </w:p>
    <w:p w:rsidR="00466E9E" w:rsidRPr="000A1C8E" w:rsidRDefault="00466E9E" w:rsidP="00676723">
      <w:pPr>
        <w:rPr>
          <w:rFonts w:cs="Tahoma"/>
        </w:rPr>
      </w:pPr>
    </w:p>
    <w:p w:rsidR="00466E9E" w:rsidRPr="000A1C8E" w:rsidRDefault="00466E9E" w:rsidP="00676723">
      <w:pPr>
        <w:rPr>
          <w:rFonts w:cs="Tahoma"/>
        </w:rPr>
      </w:pPr>
    </w:p>
    <w:p w:rsidR="00466E9E" w:rsidRPr="000A1C8E" w:rsidRDefault="00466E9E" w:rsidP="00676723">
      <w:pPr>
        <w:rPr>
          <w:rFonts w:cs="Tahoma"/>
        </w:rPr>
      </w:pPr>
    </w:p>
    <w:p w:rsidR="00466E9E" w:rsidRPr="000A1C8E" w:rsidRDefault="00466E9E" w:rsidP="00676723">
      <w:pPr>
        <w:rPr>
          <w:rFonts w:cs="Tahoma"/>
        </w:rPr>
      </w:pPr>
    </w:p>
    <w:p w:rsidR="00652053" w:rsidRPr="000A1C8E" w:rsidRDefault="00A560B6" w:rsidP="00652053">
      <w:pPr>
        <w:pStyle w:val="Heading3"/>
        <w:rPr>
          <w:rFonts w:ascii="Tahoma" w:hAnsi="Tahoma" w:cs="Tahoma"/>
        </w:rPr>
      </w:pPr>
      <w:bookmarkStart w:id="1235" w:name="_42_Enterprise_CAL"/>
      <w:bookmarkStart w:id="1236" w:name="_47_Enterprise_CAL"/>
      <w:bookmarkStart w:id="1237" w:name="_48_Pacotes_CAL"/>
      <w:bookmarkStart w:id="1238" w:name="_Toc361829391"/>
      <w:bookmarkEnd w:id="1235"/>
      <w:bookmarkEnd w:id="1236"/>
      <w:bookmarkEnd w:id="1237"/>
      <w:r w:rsidRPr="000A1C8E">
        <w:rPr>
          <w:rFonts w:ascii="Tahoma" w:hAnsi="Tahoma" w:cs="Tahoma"/>
          <w:caps/>
          <w:color w:val="F66400"/>
          <w:sz w:val="22"/>
          <w:vertAlign w:val="superscript"/>
        </w:rPr>
        <w:lastRenderedPageBreak/>
        <w:t>48</w:t>
      </w:r>
      <w:r w:rsidRPr="000A1C8E">
        <w:rPr>
          <w:rFonts w:ascii="Tahoma" w:hAnsi="Tahoma" w:cs="Tahoma"/>
          <w:color w:val="F66400"/>
          <w:sz w:val="22"/>
        </w:rPr>
        <w:t xml:space="preserve"> Pacotes CAL Empresarial</w:t>
      </w:r>
      <w:bookmarkEnd w:id="1233"/>
      <w:bookmarkEnd w:id="1238"/>
      <w:r w:rsidRPr="000A1C8E">
        <w:rPr>
          <w:rFonts w:ascii="Tahoma" w:hAnsi="Tahoma" w:cs="Tahoma"/>
          <w:color w:val="F66400"/>
          <w:sz w:val="22"/>
        </w:rPr>
        <w:t xml:space="preserve"> </w:t>
      </w:r>
    </w:p>
    <w:bookmarkEnd w:id="1234"/>
    <w:p w:rsidR="00023FE7" w:rsidRPr="000A1C8E" w:rsidRDefault="00023FE7" w:rsidP="0084072C">
      <w:pPr>
        <w:rPr>
          <w:rFonts w:cs="Tahoma"/>
        </w:rPr>
      </w:pPr>
    </w:p>
    <w:p w:rsidR="009A727E" w:rsidRPr="000A1C8E" w:rsidRDefault="008446D1" w:rsidP="0084072C">
      <w:pPr>
        <w:ind w:left="720"/>
        <w:rPr>
          <w:rFonts w:cs="Tahoma"/>
        </w:rPr>
      </w:pPr>
      <w:r w:rsidRPr="000A1C8E">
        <w:rPr>
          <w:rFonts w:cs="Tahoma"/>
          <w:szCs w:val="20"/>
        </w:rPr>
        <w:t>O Enterprise CAL Suite é independente da versão e os direitos de uso de produto são determinados pelo status da cobertura do Software Assurance para o Enterprise CAL Suite.</w:t>
      </w:r>
      <w:r w:rsidR="00DC6D8B" w:rsidRPr="000A1C8E">
        <w:rPr>
          <w:rFonts w:cs="Tahoma"/>
          <w:szCs w:val="20"/>
        </w:rPr>
        <w:t xml:space="preserve"> </w:t>
      </w:r>
      <w:r w:rsidRPr="000A1C8E">
        <w:rPr>
          <w:rFonts w:cs="Tahoma"/>
          <w:szCs w:val="20"/>
        </w:rPr>
        <w:t>Se a cobertura for interrompida, os direitos de acesso sob as licenças perpétuas serão determinados com base nos direitos de uso de produto em vigor antes da interrupção.</w:t>
      </w:r>
      <w:r w:rsidR="00DC6D8B" w:rsidRPr="000A1C8E">
        <w:rPr>
          <w:rFonts w:cs="Tahoma"/>
          <w:szCs w:val="20"/>
        </w:rPr>
        <w:t xml:space="preserve"> </w:t>
      </w:r>
      <w:r w:rsidRPr="000A1C8E">
        <w:rPr>
          <w:rFonts w:cs="Tahoma"/>
          <w:szCs w:val="20"/>
        </w:rPr>
        <w:t>Os direitos associados a ofertas de Serviços Online expirarão em caso de interrupção da cobertura do Software Assurance, seja o Enterprise CAL Suite perpétuo ou não.</w:t>
      </w:r>
      <w:r w:rsidR="00DC6D8B" w:rsidRPr="000A1C8E">
        <w:rPr>
          <w:rFonts w:cs="Tahoma"/>
          <w:szCs w:val="20"/>
        </w:rPr>
        <w:t xml:space="preserve"> </w:t>
      </w:r>
      <w:r w:rsidRPr="000A1C8E">
        <w:rPr>
          <w:rFonts w:cs="Tahoma"/>
          <w:szCs w:val="20"/>
        </w:rPr>
        <w:t>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DC6D8B" w:rsidRPr="000A1C8E">
        <w:rPr>
          <w:rFonts w:cs="Tahoma"/>
          <w:szCs w:val="20"/>
        </w:rPr>
        <w:t xml:space="preserve"> </w:t>
      </w:r>
      <w:r w:rsidRPr="000A1C8E">
        <w:rPr>
          <w:rFonts w:cs="Tahoma"/>
          <w:szCs w:val="20"/>
        </w:rPr>
        <w:t>Uma licença para o Enterprise CAL Suite é uma licença individual que deverá ser cedida a um único usuário ou dispositivo.</w:t>
      </w:r>
      <w:r w:rsidR="00DC6D8B" w:rsidRPr="000A1C8E">
        <w:rPr>
          <w:rFonts w:cs="Tahoma"/>
          <w:szCs w:val="20"/>
        </w:rPr>
        <w:t xml:space="preserve"> </w:t>
      </w:r>
      <w:r w:rsidRPr="000A1C8E">
        <w:rPr>
          <w:rFonts w:cs="Tahoma"/>
          <w:szCs w:val="20"/>
        </w:rPr>
        <w:t>Conforme disposto no contrato da licença por volume, o cliente não poderá separar os direitos sob o Pacote de CALs Empresariais para permitir que dois ou mais usuários ou dispositivos acessem seus diversos componentes ao mesmo tempo.</w:t>
      </w:r>
      <w:r w:rsidR="00DC6D8B" w:rsidRPr="000A1C8E">
        <w:rPr>
          <w:rFonts w:cs="Tahoma"/>
          <w:szCs w:val="20"/>
        </w:rPr>
        <w:t xml:space="preserve"> </w:t>
      </w:r>
    </w:p>
    <w:p w:rsidR="00D57009" w:rsidRPr="000A1C8E" w:rsidRDefault="00D57009">
      <w:pPr>
        <w:rPr>
          <w:rFonts w:cs="Tahoma"/>
        </w:rPr>
      </w:pPr>
    </w:p>
    <w:p w:rsidR="00163658" w:rsidRPr="000A1C8E" w:rsidRDefault="00163658" w:rsidP="0084072C">
      <w:pPr>
        <w:ind w:left="720"/>
        <w:rPr>
          <w:rFonts w:cs="Tahoma"/>
        </w:rPr>
      </w:pPr>
      <w:r w:rsidRPr="000A1C8E">
        <w:rPr>
          <w:rFonts w:cs="Tahoma"/>
          <w:b/>
          <w:szCs w:val="20"/>
        </w:rPr>
        <w:t>Serviços Online Incluídos no Pacote de CALs Empresariais</w:t>
      </w:r>
    </w:p>
    <w:p w:rsidR="00391D38" w:rsidRPr="000A1C8E" w:rsidRDefault="00391D38" w:rsidP="0084072C">
      <w:pPr>
        <w:ind w:left="720"/>
        <w:rPr>
          <w:rFonts w:cs="Tahoma"/>
        </w:rPr>
      </w:pPr>
    </w:p>
    <w:p w:rsidR="00163658" w:rsidRPr="000A1C8E" w:rsidRDefault="00163658" w:rsidP="00466E9E">
      <w:pPr>
        <w:ind w:left="720"/>
        <w:rPr>
          <w:rFonts w:cs="Tahoma"/>
        </w:rPr>
      </w:pPr>
      <w:r w:rsidRPr="000A1C8E">
        <w:rPr>
          <w:rFonts w:cs="Tahoma"/>
          <w:szCs w:val="20"/>
        </w:rPr>
        <w:t>A partir de 1o. de abril de 2013, uma licença para o Pacote de CALs Empresariais com cobertura ativa do</w:t>
      </w:r>
      <w:r w:rsidR="00466E9E" w:rsidRPr="000A1C8E">
        <w:rPr>
          <w:rFonts w:cs="Tahoma"/>
          <w:szCs w:val="20"/>
        </w:rPr>
        <w:t> </w:t>
      </w:r>
      <w:r w:rsidRPr="000A1C8E">
        <w:rPr>
          <w:rFonts w:cs="Tahoma"/>
          <w:szCs w:val="20"/>
        </w:rPr>
        <w:t xml:space="preserve">Software Assurance inclui os direitos de Arquivamento do Exchange Online para Exchange Server, Prevenção à Perda de Dados e Exchange Online Protection. </w:t>
      </w:r>
    </w:p>
    <w:p w:rsidR="00163658" w:rsidRPr="000A1C8E" w:rsidRDefault="000150D5" w:rsidP="000150D5">
      <w:pPr>
        <w:ind w:left="720"/>
        <w:rPr>
          <w:rFonts w:cs="Tahoma"/>
        </w:rPr>
      </w:pPr>
      <w:r w:rsidRPr="000A1C8E">
        <w:rPr>
          <w:rFonts w:cs="Tahoma"/>
          <w:szCs w:val="20"/>
          <w:u w:val="single"/>
        </w:rPr>
        <w:t>Provisionamento</w:t>
      </w:r>
      <w:r w:rsidR="00B37689" w:rsidRPr="00B37689">
        <w:rPr>
          <w:rFonts w:cs="Tahoma"/>
          <w:szCs w:val="20"/>
        </w:rPr>
        <w:t>.</w:t>
      </w:r>
      <w:r w:rsidRPr="00B37689">
        <w:rPr>
          <w:rFonts w:cs="Tahoma"/>
          <w:szCs w:val="20"/>
        </w:rPr>
        <w:t xml:space="preserve"> </w:t>
      </w:r>
      <w:r w:rsidRPr="000A1C8E">
        <w:rPr>
          <w:rFonts w:cs="Tahoma"/>
          <w:szCs w:val="20"/>
        </w:rPr>
        <w:t>Para começar a usar esses serviços, o cliente deve entrar em contato com seu Microsoft Partner, que pode iniciar o processo de provisionamento exigido para ativar cada serviço.</w:t>
      </w:r>
    </w:p>
    <w:p w:rsidR="00391D38" w:rsidRPr="00F7542D" w:rsidRDefault="000150D5" w:rsidP="000150D5">
      <w:pPr>
        <w:ind w:left="720"/>
        <w:rPr>
          <w:rFonts w:cs="Tahoma"/>
        </w:rPr>
      </w:pPr>
      <w:r w:rsidRPr="00F7542D">
        <w:rPr>
          <w:rFonts w:cs="Tahoma"/>
          <w:snapToGrid w:val="0"/>
          <w:u w:val="single"/>
        </w:rPr>
        <w:t>Termos e Condições Complementares</w:t>
      </w:r>
      <w:r w:rsidR="00B37689" w:rsidRPr="00F7542D">
        <w:rPr>
          <w:rFonts w:cs="Tahoma"/>
          <w:snapToGrid w:val="0"/>
        </w:rPr>
        <w:t>.</w:t>
      </w:r>
      <w:r w:rsidRPr="00F7542D">
        <w:rPr>
          <w:rFonts w:cs="Tahoma"/>
          <w:snapToGrid w:val="0"/>
        </w:rPr>
        <w:t xml:space="preserve"> </w:t>
      </w:r>
      <w:r w:rsidRPr="00F7542D">
        <w:rPr>
          <w:rFonts w:cs="Tahoma"/>
          <w:szCs w:val="20"/>
        </w:rPr>
        <w:t xml:space="preserve">Os Termos e as Condições Complementares (“Termos Complementares”) na </w:t>
      </w:r>
      <w:hyperlink w:anchor="_Section_10_–" w:history="1">
        <w:r w:rsidRPr="00F7542D">
          <w:rPr>
            <w:rStyle w:val="Hyperlink"/>
            <w:rFonts w:cs="Tahoma"/>
            <w:szCs w:val="20"/>
          </w:rPr>
          <w:t>Seção 10</w:t>
        </w:r>
      </w:hyperlink>
      <w:r w:rsidRPr="00F7542D">
        <w:rPr>
          <w:rFonts w:cs="Tahoma"/>
          <w:szCs w:val="20"/>
        </w:rPr>
        <w:t xml:space="preserve"> se aplicam à </w:t>
      </w:r>
      <w:r w:rsidRPr="00F7542D">
        <w:rPr>
          <w:rFonts w:cs="Tahoma"/>
          <w:snapToGrid w:val="0"/>
        </w:rPr>
        <w:t>compra e ao uso que os clientes fazem dos Serviços Online incluídos no Pacote de CAL Empresarial.</w:t>
      </w:r>
      <w:r w:rsidR="00DC6D8B" w:rsidRPr="00F7542D">
        <w:rPr>
          <w:rFonts w:cs="Tahoma"/>
          <w:szCs w:val="20"/>
        </w:rPr>
        <w:t xml:space="preserve"> </w:t>
      </w:r>
    </w:p>
    <w:p w:rsidR="00391D38" w:rsidRPr="000A1C8E" w:rsidRDefault="00391D38" w:rsidP="0084072C">
      <w:pPr>
        <w:ind w:left="720"/>
        <w:rPr>
          <w:rFonts w:cs="Tahoma"/>
        </w:rPr>
      </w:pPr>
    </w:p>
    <w:p w:rsidR="00112BE6" w:rsidRPr="000A1C8E" w:rsidRDefault="00112BE6" w:rsidP="005D1A15">
      <w:pPr>
        <w:spacing w:after="60"/>
        <w:ind w:left="720"/>
        <w:rPr>
          <w:rFonts w:cs="Tahoma"/>
        </w:rPr>
      </w:pPr>
      <w:r w:rsidRPr="000A1C8E">
        <w:rPr>
          <w:rFonts w:cs="Tahoma"/>
          <w:b/>
          <w:color w:val="000000"/>
          <w:szCs w:val="20"/>
        </w:rPr>
        <w:t>Forefront Unified Access Gateway 2010</w:t>
      </w:r>
    </w:p>
    <w:p w:rsidR="005D1A15" w:rsidRPr="005744BD" w:rsidRDefault="005D1A15" w:rsidP="005744BD">
      <w:pPr>
        <w:spacing w:after="60"/>
        <w:ind w:left="720"/>
        <w:rPr>
          <w:rFonts w:cs="Tahoma"/>
        </w:rPr>
      </w:pPr>
      <w:r w:rsidRPr="005744BD">
        <w:rPr>
          <w:rFonts w:cs="Tahoma"/>
          <w:color w:val="000000"/>
          <w:szCs w:val="20"/>
          <w:u w:val="single"/>
        </w:rPr>
        <w:t>Direitos de Adequação (“True-Up“)</w:t>
      </w:r>
      <w:r w:rsidRPr="005744BD">
        <w:rPr>
          <w:rFonts w:cs="Tahoma"/>
          <w:color w:val="000000"/>
          <w:szCs w:val="20"/>
        </w:rPr>
        <w:t>.</w:t>
      </w:r>
      <w:r w:rsidR="00B37689" w:rsidRPr="005744BD">
        <w:rPr>
          <w:rFonts w:cs="Tahoma"/>
          <w:color w:val="000000"/>
          <w:szCs w:val="20"/>
        </w:rPr>
        <w:t xml:space="preserve"> </w:t>
      </w:r>
      <w:r w:rsidRPr="005744BD">
        <w:rPr>
          <w:rFonts w:cs="Tahoma"/>
          <w:color w:val="000000"/>
          <w:szCs w:val="20"/>
        </w:rPr>
        <w:t>Não obstante qualquer outra disposição em contrário nos Direitos de Uso do</w:t>
      </w:r>
      <w:r w:rsidR="00466E9E" w:rsidRPr="005744BD">
        <w:rPr>
          <w:rFonts w:cs="Tahoma"/>
          <w:color w:val="000000"/>
          <w:szCs w:val="20"/>
        </w:rPr>
        <w:t> </w:t>
      </w:r>
      <w:r w:rsidRPr="005744BD">
        <w:rPr>
          <w:rFonts w:cs="Tahoma"/>
          <w:color w:val="000000"/>
          <w:szCs w:val="20"/>
        </w:rPr>
        <w:t>Produto 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“Clientes</w:t>
      </w:r>
      <w:r w:rsidR="005744BD">
        <w:rPr>
          <w:rFonts w:cs="Tahoma"/>
          <w:color w:val="000000"/>
          <w:szCs w:val="20"/>
        </w:rPr>
        <w:t> </w:t>
      </w:r>
      <w:r w:rsidRPr="005744BD">
        <w:rPr>
          <w:rFonts w:cs="Tahoma"/>
          <w:color w:val="000000"/>
          <w:szCs w:val="20"/>
        </w:rPr>
        <w:t>Qualificados” são</w:t>
      </w:r>
      <w:r w:rsidR="00466E9E" w:rsidRPr="005744BD">
        <w:rPr>
          <w:rFonts w:cs="Tahoma"/>
          <w:color w:val="000000"/>
          <w:szCs w:val="20"/>
        </w:rPr>
        <w:t> </w:t>
      </w:r>
      <w:r w:rsidRPr="005744BD">
        <w:rPr>
          <w:rFonts w:cs="Tahoma"/>
          <w:color w:val="000000"/>
          <w:szCs w:val="20"/>
        </w:rPr>
        <w:t>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w:t>
      </w:r>
      <w:r w:rsidR="00DC6D8B" w:rsidRPr="005744BD">
        <w:rPr>
          <w:rFonts w:cs="Tahoma"/>
          <w:color w:val="000000"/>
          <w:szCs w:val="20"/>
        </w:rPr>
        <w:t xml:space="preserve"> </w:t>
      </w:r>
      <w:r w:rsidRPr="005744BD">
        <w:rPr>
          <w:rFonts w:cs="Tahoma"/>
          <w:color w:val="000000"/>
          <w:szCs w:val="20"/>
        </w:rPr>
        <w:t>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w:t>
      </w:r>
      <w:r w:rsidR="005744BD">
        <w:rPr>
          <w:rFonts w:cs="Tahoma"/>
          <w:color w:val="000000"/>
          <w:szCs w:val="20"/>
        </w:rPr>
        <w:t> </w:t>
      </w:r>
      <w:r w:rsidRPr="005744BD">
        <w:rPr>
          <w:rFonts w:cs="Tahoma"/>
          <w:color w:val="000000"/>
          <w:szCs w:val="20"/>
        </w:rPr>
        <w:t>Pacote de CALs Empresariais para componentes do Forefront Protection Suite (parte do Pacote de CALs Empresariais até 30 de novembro de 2012).</w:t>
      </w:r>
    </w:p>
    <w:p w:rsidR="005D1A15" w:rsidRPr="000A1C8E" w:rsidRDefault="00112BE6" w:rsidP="005D1A15">
      <w:pPr>
        <w:spacing w:before="120" w:after="60"/>
        <w:ind w:left="720"/>
        <w:rPr>
          <w:rFonts w:cs="Tahoma"/>
        </w:rPr>
      </w:pPr>
      <w:r w:rsidRPr="000A1C8E">
        <w:rPr>
          <w:rFonts w:cs="Tahoma"/>
          <w:color w:val="000000"/>
          <w:szCs w:val="20"/>
        </w:rPr>
        <w:t>Software Assurance. 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Unified Access Gateway é válida para uma série de licenças até o número total de licenças do Pacote de CALs Empresariais com Software Assurance imediatamente antes da renovação.</w:t>
      </w:r>
    </w:p>
    <w:p w:rsidR="005D1A15" w:rsidRPr="000A1C8E" w:rsidRDefault="005D1A15" w:rsidP="00630ED6">
      <w:pPr>
        <w:ind w:left="720"/>
        <w:rPr>
          <w:rFonts w:cs="Tahoma"/>
        </w:rPr>
      </w:pPr>
    </w:p>
    <w:p w:rsidR="00466E9E" w:rsidRPr="000A1C8E" w:rsidRDefault="00466E9E" w:rsidP="00630ED6">
      <w:pPr>
        <w:ind w:left="720"/>
        <w:rPr>
          <w:rFonts w:cs="Tahoma"/>
        </w:rPr>
      </w:pPr>
    </w:p>
    <w:p w:rsidR="00466E9E" w:rsidRPr="000A1C8E" w:rsidRDefault="00466E9E" w:rsidP="00630ED6">
      <w:pPr>
        <w:ind w:left="720"/>
        <w:rPr>
          <w:rFonts w:cs="Tahoma"/>
        </w:rPr>
      </w:pPr>
    </w:p>
    <w:p w:rsidR="00466E9E" w:rsidRPr="000A1C8E" w:rsidRDefault="00466E9E" w:rsidP="00630ED6">
      <w:pPr>
        <w:ind w:left="720"/>
        <w:rPr>
          <w:rFonts w:cs="Tahoma"/>
        </w:rPr>
      </w:pPr>
    </w:p>
    <w:p w:rsidR="00466E9E" w:rsidRPr="000A1C8E" w:rsidRDefault="00466E9E" w:rsidP="00630ED6">
      <w:pPr>
        <w:ind w:left="720"/>
        <w:rPr>
          <w:rFonts w:cs="Tahoma"/>
        </w:rPr>
      </w:pPr>
    </w:p>
    <w:p w:rsidR="00466E9E" w:rsidRPr="000A1C8E" w:rsidRDefault="00466E9E" w:rsidP="00630ED6">
      <w:pPr>
        <w:ind w:left="720"/>
        <w:rPr>
          <w:rFonts w:cs="Tahoma"/>
        </w:rPr>
      </w:pPr>
    </w:p>
    <w:p w:rsidR="00466E9E" w:rsidRPr="000A1C8E" w:rsidRDefault="00466E9E" w:rsidP="00630ED6">
      <w:pPr>
        <w:ind w:left="720"/>
        <w:rPr>
          <w:rFonts w:cs="Tahoma"/>
        </w:rPr>
      </w:pPr>
    </w:p>
    <w:p w:rsidR="004E3869" w:rsidRPr="000A1C8E" w:rsidRDefault="00A2724A" w:rsidP="0084072C">
      <w:pPr>
        <w:spacing w:after="60"/>
        <w:ind w:left="720"/>
        <w:rPr>
          <w:rFonts w:cs="Tahoma"/>
        </w:rPr>
      </w:pPr>
      <w:r w:rsidRPr="000A1C8E">
        <w:rPr>
          <w:rFonts w:cs="Tahoma"/>
          <w:b/>
          <w:color w:val="000000"/>
          <w:szCs w:val="20"/>
        </w:rPr>
        <w:lastRenderedPageBreak/>
        <w:t>Direitos de Uso Estendido para produtos Forefront</w:t>
      </w:r>
    </w:p>
    <w:p w:rsidR="00C349AE" w:rsidRPr="000A1C8E" w:rsidRDefault="00793CBD" w:rsidP="00466E9E">
      <w:pPr>
        <w:ind w:left="720"/>
        <w:rPr>
          <w:rFonts w:cs="Tahoma"/>
        </w:rPr>
      </w:pPr>
      <w:r w:rsidRPr="000A1C8E">
        <w:rPr>
          <w:rFonts w:cs="Tahoma"/>
          <w:bCs/>
          <w:color w:val="000000"/>
          <w:szCs w:val="18"/>
        </w:rPr>
        <w:t>Os Clientes com cobertura do Software Assurance ativa para o Pacote de CALs Empresariais a partir de 30 de novembro de 2012 podem continuar usando os serviços de componentes do Forefront Protection Suite (anteriormente parte do Pacote de CALs Empresariais) até o término e/ou renovação desta cobertura.</w:t>
      </w:r>
      <w:r w:rsidR="00DC6D8B" w:rsidRPr="000A1C8E">
        <w:rPr>
          <w:rFonts w:cs="Tahoma"/>
          <w:bCs/>
          <w:color w:val="000000"/>
          <w:szCs w:val="18"/>
        </w:rPr>
        <w:t xml:space="preserve"> </w:t>
      </w:r>
      <w:r w:rsidRPr="000A1C8E">
        <w:rPr>
          <w:rFonts w:cs="Tahoma"/>
          <w:bCs/>
          <w:color w:val="000000"/>
          <w:szCs w:val="18"/>
        </w:rPr>
        <w:t xml:space="preserve">Esses clientes também podem continuar a usar os componentes do </w:t>
      </w:r>
      <w:r w:rsidRPr="000A1C8E">
        <w:rPr>
          <w:rFonts w:cs="Tahoma"/>
          <w:color w:val="000000"/>
          <w:szCs w:val="20"/>
        </w:rPr>
        <w:t xml:space="preserve">Forefront para Office Communications Server, Forefront Protection 2010 para Exchange Server, Forefront Threat Management Gateway Web Protection Service e Forefront Protection 2010 para SharePoint Server </w:t>
      </w:r>
      <w:r w:rsidRPr="000A1C8E">
        <w:rPr>
          <w:rFonts w:cs="Tahoma"/>
          <w:bCs/>
          <w:color w:val="000000"/>
          <w:szCs w:val="18"/>
        </w:rPr>
        <w:t>do pacote até 31 de dezembro de 2015. Esses termos também se aplicam a licenças do Pacote de CALs Empresariais adquiridas por esses clientes antes de</w:t>
      </w:r>
      <w:r w:rsidR="00466E9E" w:rsidRPr="000A1C8E">
        <w:rPr>
          <w:rFonts w:cs="Tahoma"/>
          <w:bCs/>
          <w:color w:val="000000"/>
          <w:szCs w:val="18"/>
        </w:rPr>
        <w:t> </w:t>
      </w:r>
      <w:r w:rsidRPr="000A1C8E">
        <w:rPr>
          <w:rFonts w:cs="Tahoma"/>
          <w:bCs/>
          <w:color w:val="000000"/>
          <w:szCs w:val="18"/>
        </w:rPr>
        <w:t>31 de dezembro de 2015. O uso contínuo dos serviços online de componentes permanece sujeito aos termos e às condições do contrato de Licenciamento por Volume do cliente, dos direitos de uso de produto para os serviços online e dos termos e das condições aqui.</w:t>
      </w:r>
    </w:p>
    <w:p w:rsidR="00C349AE" w:rsidRPr="005F1E76" w:rsidRDefault="00C349AE" w:rsidP="0084072C">
      <w:pPr>
        <w:ind w:left="720"/>
        <w:rPr>
          <w:rFonts w:cs="Tahoma"/>
          <w:sz w:val="16"/>
          <w:szCs w:val="16"/>
        </w:rPr>
      </w:pPr>
    </w:p>
    <w:p w:rsidR="004E3869" w:rsidRPr="000A1C8E" w:rsidRDefault="004E3869" w:rsidP="0084072C">
      <w:pPr>
        <w:spacing w:after="60"/>
        <w:ind w:left="720"/>
        <w:rPr>
          <w:rFonts w:cs="Tahoma"/>
        </w:rPr>
      </w:pPr>
      <w:r w:rsidRPr="000A1C8E">
        <w:rPr>
          <w:rFonts w:cs="Tahoma"/>
          <w:b/>
          <w:color w:val="000000"/>
          <w:szCs w:val="20"/>
        </w:rPr>
        <w:t xml:space="preserve">Forefront Protection Suite </w:t>
      </w:r>
    </w:p>
    <w:p w:rsidR="004E3869" w:rsidRPr="000A1C8E" w:rsidRDefault="004E3869" w:rsidP="0084072C">
      <w:pPr>
        <w:ind w:left="720"/>
        <w:rPr>
          <w:rFonts w:cs="Tahoma"/>
        </w:rPr>
      </w:pPr>
      <w:r w:rsidRPr="000A1C8E">
        <w:rPr>
          <w:rFonts w:cs="Tahoma"/>
          <w:color w:val="000000"/>
          <w:szCs w:val="20"/>
        </w:rPr>
        <w:t>Uma assinatura do Forefront Protection Suite consiste nos seguintes serviços online:</w:t>
      </w:r>
      <w:r w:rsidR="00DC6D8B" w:rsidRPr="000A1C8E">
        <w:rPr>
          <w:rFonts w:cs="Tahoma"/>
          <w:color w:val="000000"/>
          <w:szCs w:val="20"/>
        </w:rPr>
        <w:t xml:space="preserve"> </w:t>
      </w:r>
      <w:r w:rsidRPr="000A1C8E">
        <w:rPr>
          <w:rFonts w:cs="Tahoma"/>
          <w:color w:val="000000"/>
          <w:szCs w:val="20"/>
        </w:rPr>
        <w:t xml:space="preserve">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 </w:t>
      </w:r>
    </w:p>
    <w:p w:rsidR="00B2460D" w:rsidRPr="005F1E76" w:rsidRDefault="00B2460D" w:rsidP="0084072C">
      <w:pPr>
        <w:ind w:left="720"/>
        <w:rPr>
          <w:rFonts w:cs="Tahoma"/>
          <w:sz w:val="16"/>
          <w:szCs w:val="16"/>
        </w:rPr>
      </w:pPr>
    </w:p>
    <w:p w:rsidR="00023FE7" w:rsidRPr="000A1C8E" w:rsidRDefault="00023FE7" w:rsidP="0084072C">
      <w:pPr>
        <w:spacing w:after="60"/>
        <w:ind w:left="720"/>
        <w:rPr>
          <w:rFonts w:cs="Tahoma"/>
        </w:rPr>
      </w:pPr>
      <w:r w:rsidRPr="000A1C8E">
        <w:rPr>
          <w:rFonts w:cs="Tahoma"/>
          <w:b/>
          <w:color w:val="000000"/>
          <w:szCs w:val="20"/>
        </w:rPr>
        <w:t>CALs Somente para Aluno (Licença Academic Open e Academic Select)</w:t>
      </w:r>
    </w:p>
    <w:p w:rsidR="00023FE7" w:rsidRPr="000A1C8E" w:rsidRDefault="00023FE7" w:rsidP="0084072C">
      <w:pPr>
        <w:ind w:left="720"/>
        <w:rPr>
          <w:rFonts w:cs="Tahoma"/>
        </w:rPr>
      </w:pPr>
      <w:r w:rsidRPr="000A1C8E">
        <w:rPr>
          <w:rFonts w:cs="Tahoma"/>
          <w:szCs w:val="20"/>
        </w:rPr>
        <w:t>As CALs Somente para Aluno estão restritas a PCs de propriedade de um aluno ou de uma instituição licenciados dedicados a um aluno individual e NÃO se destinam ao uso em laboratórios ou salas de aula.</w:t>
      </w:r>
    </w:p>
    <w:p w:rsidR="00026546" w:rsidRPr="005F1E76" w:rsidRDefault="00026546" w:rsidP="0084072C">
      <w:pPr>
        <w:ind w:left="720"/>
        <w:rPr>
          <w:rFonts w:cs="Tahoma"/>
          <w:sz w:val="16"/>
          <w:szCs w:val="16"/>
        </w:rPr>
      </w:pPr>
    </w:p>
    <w:p w:rsidR="007B35CE" w:rsidRPr="005F1E76" w:rsidRDefault="007B35CE" w:rsidP="0084072C">
      <w:pPr>
        <w:ind w:left="720"/>
        <w:rPr>
          <w:rFonts w:cs="Tahoma"/>
          <w:sz w:val="16"/>
          <w:szCs w:val="16"/>
        </w:rPr>
      </w:pPr>
    </w:p>
    <w:p w:rsidR="00112BE6" w:rsidRPr="000A1C8E" w:rsidRDefault="00A560B6" w:rsidP="00112BE6">
      <w:pPr>
        <w:pStyle w:val="Heading3"/>
        <w:rPr>
          <w:rFonts w:ascii="Tahoma" w:hAnsi="Tahoma" w:cs="Tahoma"/>
        </w:rPr>
      </w:pPr>
      <w:bookmarkStart w:id="1239" w:name="_45_Exchange_Enterprise"/>
      <w:bookmarkStart w:id="1240" w:name="_48_Exchange_Enterprise"/>
      <w:bookmarkStart w:id="1241" w:name="_49_CAL_Empresarial"/>
      <w:bookmarkStart w:id="1242" w:name="_Toc361829392"/>
      <w:bookmarkEnd w:id="1239"/>
      <w:bookmarkEnd w:id="1240"/>
      <w:bookmarkEnd w:id="1241"/>
      <w:r w:rsidRPr="000A1C8E">
        <w:rPr>
          <w:rFonts w:ascii="Tahoma" w:hAnsi="Tahoma" w:cs="Tahoma"/>
          <w:caps/>
          <w:color w:val="F66400"/>
          <w:sz w:val="22"/>
          <w:vertAlign w:val="superscript"/>
        </w:rPr>
        <w:t>49</w:t>
      </w:r>
      <w:r w:rsidRPr="000A1C8E">
        <w:rPr>
          <w:rFonts w:ascii="Tahoma" w:hAnsi="Tahoma" w:cs="Tahoma"/>
          <w:color w:val="F66400"/>
          <w:sz w:val="22"/>
        </w:rPr>
        <w:t xml:space="preserve"> CAL Empresarial do Exchange com Serviços 2013</w:t>
      </w:r>
      <w:bookmarkEnd w:id="1242"/>
      <w:r w:rsidRPr="000A1C8E">
        <w:rPr>
          <w:rFonts w:ascii="Tahoma" w:hAnsi="Tahoma" w:cs="Tahoma"/>
          <w:color w:val="F66400"/>
          <w:sz w:val="22"/>
        </w:rPr>
        <w:t xml:space="preserve"> </w:t>
      </w:r>
    </w:p>
    <w:p w:rsidR="00112BE6" w:rsidRPr="005F1E76" w:rsidRDefault="00112BE6" w:rsidP="00112BE6">
      <w:pPr>
        <w:rPr>
          <w:rFonts w:cs="Tahoma"/>
          <w:sz w:val="16"/>
          <w:szCs w:val="16"/>
        </w:rPr>
      </w:pPr>
    </w:p>
    <w:p w:rsidR="00112BE6" w:rsidRPr="000A1C8E" w:rsidRDefault="00112BE6" w:rsidP="00112BE6">
      <w:pPr>
        <w:ind w:left="720"/>
        <w:rPr>
          <w:rFonts w:cs="Tahoma"/>
        </w:rPr>
      </w:pPr>
      <w:r w:rsidRPr="000A1C8E">
        <w:rPr>
          <w:rFonts w:cs="Tahoma"/>
          <w:b/>
          <w:szCs w:val="20"/>
        </w:rPr>
        <w:t>Serviços Online Incluídos com a CAL Empresarial do Exchange com Serviços 2013</w:t>
      </w:r>
    </w:p>
    <w:p w:rsidR="00112BE6" w:rsidRPr="000A1C8E" w:rsidRDefault="00112BE6" w:rsidP="00112BE6">
      <w:pPr>
        <w:ind w:left="720"/>
        <w:rPr>
          <w:rFonts w:cs="Tahoma"/>
        </w:rPr>
      </w:pPr>
      <w:r w:rsidRPr="000A1C8E">
        <w:rPr>
          <w:rFonts w:cs="Tahoma"/>
          <w:szCs w:val="20"/>
        </w:rPr>
        <w:t xml:space="preserve">A partir de 1o. de abril de 2013, uma licença para CAL Empresarial do Exchange com Serviços 2013 com cobertura ativa do Software Assurance inclui os direitos de Prevenção à Perda de Dados e Exchange Online Protection. </w:t>
      </w:r>
    </w:p>
    <w:p w:rsidR="00112BE6" w:rsidRPr="005F1E76" w:rsidRDefault="00112BE6" w:rsidP="00112BE6">
      <w:pPr>
        <w:ind w:left="720"/>
        <w:rPr>
          <w:rFonts w:cs="Tahoma"/>
          <w:sz w:val="16"/>
          <w:szCs w:val="16"/>
        </w:rPr>
      </w:pPr>
    </w:p>
    <w:p w:rsidR="00112BE6" w:rsidRPr="000A1C8E" w:rsidRDefault="00112BE6" w:rsidP="00112BE6">
      <w:pPr>
        <w:ind w:left="720"/>
        <w:rPr>
          <w:rFonts w:cs="Tahoma"/>
        </w:rPr>
      </w:pPr>
      <w:r w:rsidRPr="000A1C8E">
        <w:rPr>
          <w:rFonts w:cs="Tahoma"/>
          <w:szCs w:val="20"/>
          <w:u w:val="single"/>
        </w:rPr>
        <w:t>Provisionamento</w:t>
      </w:r>
      <w:r w:rsidRPr="000A1C8E">
        <w:rPr>
          <w:rFonts w:cs="Tahoma"/>
          <w:szCs w:val="20"/>
        </w:rPr>
        <w:t>. Para começar a usar esses serviços, o cliente deve entrar em contato com seu Microsoft Partner, que pode iniciar o processo de provisionamento exigido para ativar cada serviço.</w:t>
      </w:r>
    </w:p>
    <w:p w:rsidR="00112BE6" w:rsidRPr="005F1E76" w:rsidRDefault="00112BE6" w:rsidP="00112BE6">
      <w:pPr>
        <w:ind w:left="720"/>
        <w:rPr>
          <w:rFonts w:cs="Tahoma"/>
          <w:sz w:val="16"/>
          <w:szCs w:val="16"/>
        </w:rPr>
      </w:pPr>
    </w:p>
    <w:p w:rsidR="00112BE6" w:rsidRPr="000A1C8E" w:rsidRDefault="00112BE6" w:rsidP="00112BE6">
      <w:pPr>
        <w:ind w:left="720"/>
        <w:rPr>
          <w:rFonts w:cs="Tahoma"/>
        </w:rPr>
      </w:pPr>
      <w:r w:rsidRPr="000A1C8E">
        <w:rPr>
          <w:rFonts w:cs="Tahoma"/>
          <w:szCs w:val="20"/>
          <w:u w:val="single"/>
        </w:rPr>
        <w:t>Termos e Condições Complementares</w:t>
      </w:r>
      <w:r w:rsidRPr="000A1C8E">
        <w:rPr>
          <w:rFonts w:cs="Tahoma"/>
          <w:szCs w:val="20"/>
        </w:rPr>
        <w:t xml:space="preserve">. Os Termos e as Condições Complementares (“Termos Complementares”) na </w:t>
      </w:r>
      <w:hyperlink w:anchor="_Section_10_–" w:history="1">
        <w:r w:rsidRPr="000A1C8E">
          <w:rPr>
            <w:rStyle w:val="Hyperlink"/>
            <w:rFonts w:cs="Tahoma"/>
            <w:szCs w:val="20"/>
          </w:rPr>
          <w:t>Seção 10</w:t>
        </w:r>
      </w:hyperlink>
      <w:r w:rsidRPr="000A1C8E">
        <w:rPr>
          <w:rFonts w:cs="Tahoma"/>
          <w:szCs w:val="20"/>
        </w:rPr>
        <w:t xml:space="preserve"> se aplicam à </w:t>
      </w:r>
      <w:r w:rsidRPr="000A1C8E">
        <w:rPr>
          <w:rFonts w:cs="Tahoma"/>
          <w:snapToGrid w:val="0"/>
        </w:rPr>
        <w:t>compra e ao uso que os clientes fazem dos Serviços Online incluídos na CAL Empresarial do Exchange com Serviços 2013.</w:t>
      </w:r>
    </w:p>
    <w:p w:rsidR="00D70D2C" w:rsidRPr="005F1E76" w:rsidRDefault="00D70D2C" w:rsidP="0084072C">
      <w:pPr>
        <w:ind w:left="540"/>
        <w:rPr>
          <w:rFonts w:cs="Tahoma"/>
          <w:sz w:val="16"/>
          <w:szCs w:val="16"/>
        </w:rPr>
      </w:pPr>
    </w:p>
    <w:p w:rsidR="005F1E76" w:rsidRPr="005F1E76" w:rsidRDefault="005F1E76" w:rsidP="0084072C">
      <w:pPr>
        <w:ind w:left="540"/>
        <w:rPr>
          <w:rFonts w:cs="Tahoma"/>
          <w:sz w:val="16"/>
          <w:szCs w:val="16"/>
        </w:rPr>
      </w:pPr>
    </w:p>
    <w:p w:rsidR="00D70D2C" w:rsidRPr="000A1C8E" w:rsidRDefault="00A560B6" w:rsidP="00D70D2C">
      <w:pPr>
        <w:pStyle w:val="Heading2"/>
        <w:ind w:left="270" w:hanging="270"/>
        <w:rPr>
          <w:rFonts w:ascii="Tahoma" w:hAnsi="Tahoma" w:cs="Tahoma"/>
        </w:rPr>
      </w:pPr>
      <w:bookmarkStart w:id="1243" w:name="_43_Exchange_Enterprise"/>
      <w:bookmarkStart w:id="1244" w:name="_44_Exchange_Online"/>
      <w:bookmarkStart w:id="1245" w:name="_50_Arquivamento_do"/>
      <w:bookmarkStart w:id="1246" w:name="_Toc336338305"/>
      <w:bookmarkStart w:id="1247" w:name="_Toc361829393"/>
      <w:bookmarkStart w:id="1248" w:name="Srv_45ExchOnlineArchivingUserSL"/>
      <w:bookmarkEnd w:id="1243"/>
      <w:bookmarkEnd w:id="1244"/>
      <w:bookmarkEnd w:id="1245"/>
      <w:r w:rsidRPr="000A1C8E">
        <w:rPr>
          <w:rFonts w:ascii="Tahoma" w:hAnsi="Tahoma" w:cs="Tahoma"/>
          <w:color w:val="F26200"/>
          <w:sz w:val="20"/>
          <w:vertAlign w:val="superscript"/>
        </w:rPr>
        <w:t>50</w:t>
      </w:r>
      <w:r w:rsidRPr="000A1C8E">
        <w:rPr>
          <w:rFonts w:ascii="Tahoma" w:hAnsi="Tahoma" w:cs="Tahoma"/>
          <w:color w:val="F26200"/>
        </w:rPr>
        <w:t xml:space="preserve"> </w:t>
      </w:r>
      <w:r w:rsidRPr="000A1C8E">
        <w:rPr>
          <w:rFonts w:ascii="Tahoma" w:hAnsi="Tahoma" w:cs="Tahoma"/>
          <w:color w:val="F26200"/>
          <w:sz w:val="22"/>
        </w:rPr>
        <w:t>Arquivamento do Exchange Online para Exchange Server (SL de Usuário)</w:t>
      </w:r>
      <w:bookmarkEnd w:id="1246"/>
      <w:bookmarkEnd w:id="1247"/>
    </w:p>
    <w:bookmarkEnd w:id="1248"/>
    <w:p w:rsidR="00D70D2C" w:rsidRPr="005F1E76" w:rsidRDefault="00D70D2C" w:rsidP="00D70D2C">
      <w:pPr>
        <w:ind w:left="900"/>
        <w:rPr>
          <w:rFonts w:cs="Tahoma"/>
          <w:sz w:val="16"/>
          <w:szCs w:val="16"/>
        </w:rPr>
      </w:pPr>
    </w:p>
    <w:p w:rsidR="00D70D2C" w:rsidRPr="005F1E76" w:rsidRDefault="00D70D2C" w:rsidP="00E62BC4">
      <w:pPr>
        <w:pStyle w:val="ListParagraph"/>
        <w:rPr>
          <w:rFonts w:ascii="Tahoma" w:hAnsi="Tahoma" w:cs="Tahoma"/>
          <w:sz w:val="18"/>
          <w:szCs w:val="18"/>
        </w:rPr>
      </w:pPr>
      <w:r w:rsidRPr="005F1E76">
        <w:rPr>
          <w:rFonts w:ascii="Tahoma" w:hAnsi="Tahoma" w:cs="Tahoma"/>
          <w:color w:val="000000"/>
          <w:sz w:val="18"/>
          <w:szCs w:val="18"/>
        </w:rPr>
        <w:t>O Arquivamento do Exchange Online para Exchange Server é um serviço online sucessor do Exchange Hosted Archive.</w:t>
      </w:r>
    </w:p>
    <w:p w:rsidR="00D70D2C" w:rsidRPr="005F1E76" w:rsidRDefault="00D70D2C" w:rsidP="00E62BC4">
      <w:pPr>
        <w:pStyle w:val="ListParagraph"/>
        <w:rPr>
          <w:rFonts w:ascii="Tahoma" w:hAnsi="Tahoma" w:cs="Tahoma"/>
          <w:sz w:val="16"/>
          <w:szCs w:val="16"/>
        </w:rPr>
      </w:pPr>
    </w:p>
    <w:p w:rsidR="00D70D2C" w:rsidRPr="000A1C8E" w:rsidRDefault="00D70D2C" w:rsidP="00E62BC4">
      <w:pPr>
        <w:ind w:left="720"/>
        <w:rPr>
          <w:rFonts w:cs="Tahoma"/>
        </w:rPr>
      </w:pPr>
      <w:r w:rsidRPr="000A1C8E">
        <w:rPr>
          <w:rFonts w:cs="Tahoma"/>
          <w:color w:val="000000"/>
          <w:szCs w:val="18"/>
        </w:rPr>
        <w:t>Se você renovar a partir do Exchange Hosted Archive no Arquivamento do Exchange Online para Exchange Server e ainda não tiver migrado para o Exchange Online</w:t>
      </w:r>
      <w:r w:rsidRPr="000A1C8E">
        <w:rPr>
          <w:rFonts w:cs="Tahoma"/>
          <w:color w:val="000000"/>
        </w:rPr>
        <w:t xml:space="preserve"> Archiving,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rsidR="00B23BE6" w:rsidRPr="005F1E76" w:rsidRDefault="00B23BE6" w:rsidP="00E62BC4">
      <w:pPr>
        <w:ind w:left="720"/>
        <w:rPr>
          <w:rFonts w:cs="Tahoma"/>
          <w:sz w:val="16"/>
          <w:szCs w:val="16"/>
        </w:rPr>
      </w:pPr>
    </w:p>
    <w:p w:rsidR="00B23BE6" w:rsidRPr="000A1C8E" w:rsidRDefault="00B23BE6" w:rsidP="0084072C">
      <w:pPr>
        <w:spacing w:after="60"/>
        <w:ind w:left="720"/>
        <w:rPr>
          <w:rFonts w:cs="Tahoma"/>
        </w:rPr>
      </w:pPr>
      <w:r w:rsidRPr="000A1C8E">
        <w:rPr>
          <w:rFonts w:eastAsia="Calibri" w:cs="Tahoma"/>
          <w:b/>
          <w:color w:val="000000"/>
          <w:szCs w:val="18"/>
        </w:rPr>
        <w:t>Nuvem da Comunidade do Governo (apenas para os Estados Unidos)</w:t>
      </w:r>
    </w:p>
    <w:p w:rsidR="00B23BE6" w:rsidRDefault="00B23BE6" w:rsidP="00E62BC4">
      <w:pPr>
        <w:ind w:left="720"/>
        <w:rPr>
          <w:rFonts w:eastAsia="Calibri" w:cs="Tahoma"/>
          <w:color w:val="000000"/>
          <w:szCs w:val="18"/>
        </w:rPr>
      </w:pPr>
      <w:r w:rsidRPr="000A1C8E">
        <w:rPr>
          <w:rFonts w:eastAsia="Calibri" w:cs="Tahoma"/>
          <w:color w:val="000000"/>
          <w:szCs w:val="18"/>
        </w:rPr>
        <w:t>Alguns serviços online na família de produtos do Office 365 (incluindo Arquivamento do Exchange Online para Exchange Server) são oferecidos como serviços de nuvem da comunidade do governo e serviços de nuvem da comunidade não governamental.</w:t>
      </w:r>
      <w:r w:rsidR="00DC6D8B" w:rsidRPr="000A1C8E">
        <w:rPr>
          <w:rFonts w:eastAsia="Calibri" w:cs="Tahoma"/>
          <w:color w:val="000000"/>
          <w:szCs w:val="18"/>
        </w:rPr>
        <w:t xml:space="preserve"> </w:t>
      </w:r>
      <w:r w:rsidRPr="000A1C8E">
        <w:rPr>
          <w:rFonts w:eastAsia="Calibri" w:cs="Tahoma"/>
          <w:color w:val="000000"/>
          <w:szCs w:val="18"/>
        </w:rPr>
        <w:t>Os clientes podem ser provisionados como um ou outro, mas não com uma mistura dos dois.</w:t>
      </w:r>
      <w:r w:rsidR="00DC6D8B" w:rsidRPr="000A1C8E">
        <w:rPr>
          <w:rFonts w:eastAsia="Calibri" w:cs="Tahoma"/>
          <w:color w:val="000000"/>
          <w:szCs w:val="18"/>
        </w:rPr>
        <w:t xml:space="preserve"> </w:t>
      </w:r>
      <w:r w:rsidRPr="000A1C8E">
        <w:rPr>
          <w:rFonts w:eastAsia="Calibri" w:cs="Tahoma"/>
          <w:color w:val="000000"/>
          <w:szCs w:val="18"/>
        </w:rPr>
        <w:t>Os Serviços Online projetados como nuvem de comunidade do governo não podem ser implantados no mesmo domínio que os serviços de nuvem da comunidade não governamental específicos.</w:t>
      </w:r>
      <w:r w:rsidR="00DC6D8B" w:rsidRPr="000A1C8E">
        <w:rPr>
          <w:rFonts w:eastAsia="Calibri" w:cs="Tahoma"/>
          <w:color w:val="000000"/>
          <w:szCs w:val="18"/>
        </w:rPr>
        <w:t xml:space="preserve"> </w:t>
      </w:r>
      <w:r w:rsidRPr="000A1C8E">
        <w:rPr>
          <w:rFonts w:eastAsia="Calibri" w:cs="Tahoma"/>
          <w:color w:val="000000"/>
          <w:szCs w:val="18"/>
        </w:rPr>
        <w:t>Esta limitação se estende a qualquer serviço online que faça parte da família de produtos do Office 365, incluindo Exchange Online, SharePoint Online e Lync Online.</w:t>
      </w:r>
      <w:r w:rsidR="00DC6D8B" w:rsidRPr="000A1C8E">
        <w:rPr>
          <w:rFonts w:eastAsia="Calibri" w:cs="Tahoma"/>
          <w:color w:val="000000"/>
          <w:szCs w:val="18"/>
        </w:rPr>
        <w:t xml:space="preserve"> </w:t>
      </w:r>
    </w:p>
    <w:p w:rsidR="005F1E76" w:rsidRPr="000A1C8E" w:rsidRDefault="005F1E76" w:rsidP="00E62BC4">
      <w:pPr>
        <w:ind w:left="720"/>
        <w:rPr>
          <w:rFonts w:cs="Tahoma"/>
        </w:rPr>
      </w:pPr>
    </w:p>
    <w:p w:rsidR="00B23BE6" w:rsidRPr="000A1C8E" w:rsidRDefault="00B23BE6" w:rsidP="00E62BC4">
      <w:pPr>
        <w:ind w:left="720"/>
        <w:rPr>
          <w:rFonts w:cs="Tahoma"/>
        </w:rPr>
      </w:pPr>
      <w:r w:rsidRPr="000A1C8E">
        <w:rPr>
          <w:rFonts w:eastAsia="Calibri" w:cs="Tahoma"/>
          <w:color w:val="000000"/>
          <w:szCs w:val="18"/>
        </w:rPr>
        <w:lastRenderedPageBreak/>
        <w:t>Assim que um serviço online é provisionado na nuvem de comunidade do governo, ele permanecerá lá pela duração da vigência da assinatura.</w:t>
      </w:r>
      <w:r w:rsidR="00DC6D8B" w:rsidRPr="000A1C8E">
        <w:rPr>
          <w:rFonts w:eastAsia="Calibri" w:cs="Tahoma"/>
          <w:color w:val="000000"/>
          <w:szCs w:val="18"/>
        </w:rPr>
        <w:t xml:space="preserve"> </w:t>
      </w:r>
      <w:r w:rsidRPr="000A1C8E">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C6D8B" w:rsidRPr="000A1C8E">
        <w:rPr>
          <w:rFonts w:eastAsia="Calibri" w:cs="Tahoma"/>
          <w:color w:val="000000"/>
          <w:szCs w:val="18"/>
        </w:rPr>
        <w:t xml:space="preserve"> </w:t>
      </w:r>
      <w:r w:rsidRPr="000A1C8E">
        <w:rPr>
          <w:rFonts w:eastAsia="Calibri" w:cs="Tahoma"/>
          <w:color w:val="000000"/>
          <w:szCs w:val="18"/>
        </w:rPr>
        <w:t>Os Direitos de Uso para serviços de nuvem da comunidade do governo são equivalentes àqueles dos seus diversos locatários padrão.</w:t>
      </w:r>
      <w:r w:rsidR="00DC6D8B" w:rsidRPr="000A1C8E">
        <w:rPr>
          <w:rFonts w:eastAsia="Calibri" w:cs="Tahoma"/>
          <w:color w:val="000000"/>
          <w:szCs w:val="18"/>
        </w:rPr>
        <w:t xml:space="preserve"> </w:t>
      </w:r>
      <w:r w:rsidRPr="000A1C8E">
        <w:rPr>
          <w:rFonts w:eastAsia="Calibri" w:cs="Tahoma"/>
          <w:color w:val="000000"/>
          <w:szCs w:val="18"/>
        </w:rPr>
        <w:t>Os serviços de nuvem da comunidade do governo não estão qualificados para Transições e Reserva de Licença neste momento.</w:t>
      </w:r>
    </w:p>
    <w:p w:rsidR="005D484B" w:rsidRPr="000A1C8E" w:rsidRDefault="005D484B" w:rsidP="003C3A72">
      <w:pPr>
        <w:rPr>
          <w:rFonts w:cs="Tahoma"/>
        </w:rPr>
      </w:pPr>
    </w:p>
    <w:p w:rsidR="007B35CE" w:rsidRPr="000A1C8E" w:rsidRDefault="007B35CE" w:rsidP="003C3A72">
      <w:pPr>
        <w:rPr>
          <w:rFonts w:cs="Tahoma"/>
        </w:rPr>
      </w:pPr>
    </w:p>
    <w:p w:rsidR="005D484B" w:rsidRPr="005F1E76" w:rsidRDefault="00A560B6" w:rsidP="005D484B">
      <w:pPr>
        <w:pStyle w:val="Heading2"/>
        <w:ind w:left="270" w:hanging="270"/>
        <w:rPr>
          <w:rFonts w:ascii="Tahoma" w:hAnsi="Tahoma" w:cs="Tahoma"/>
          <w:sz w:val="22"/>
          <w:szCs w:val="22"/>
        </w:rPr>
      </w:pPr>
      <w:bookmarkStart w:id="1249" w:name="_47__Exchange"/>
      <w:bookmarkStart w:id="1250" w:name="_50__Exchange"/>
      <w:bookmarkStart w:id="1251" w:name="_51_Arquivamento_do"/>
      <w:bookmarkStart w:id="1252" w:name="_Toc361829394"/>
      <w:bookmarkEnd w:id="1249"/>
      <w:bookmarkEnd w:id="1250"/>
      <w:bookmarkEnd w:id="1251"/>
      <w:r w:rsidRPr="000A1C8E">
        <w:rPr>
          <w:rFonts w:ascii="Tahoma" w:hAnsi="Tahoma" w:cs="Tahoma"/>
          <w:color w:val="F26200"/>
          <w:sz w:val="20"/>
          <w:vertAlign w:val="superscript"/>
        </w:rPr>
        <w:t>51</w:t>
      </w:r>
      <w:r w:rsidRPr="000A1C8E">
        <w:rPr>
          <w:rFonts w:ascii="Tahoma" w:hAnsi="Tahoma" w:cs="Tahoma"/>
          <w:color w:val="F26200"/>
        </w:rPr>
        <w:t xml:space="preserve"> </w:t>
      </w:r>
      <w:r w:rsidRPr="005F1E76">
        <w:rPr>
          <w:rFonts w:ascii="Tahoma" w:hAnsi="Tahoma" w:cs="Tahoma"/>
          <w:color w:val="F26200"/>
          <w:sz w:val="22"/>
          <w:szCs w:val="22"/>
        </w:rPr>
        <w:t>Arquivamento do Exchange Online para Exchange Server A (SL de Usuário)</w:t>
      </w:r>
      <w:bookmarkEnd w:id="1252"/>
    </w:p>
    <w:p w:rsidR="005D484B" w:rsidRPr="000A1C8E" w:rsidRDefault="005D484B" w:rsidP="005D484B">
      <w:pPr>
        <w:ind w:left="900"/>
        <w:rPr>
          <w:rFonts w:cs="Tahoma"/>
        </w:rPr>
      </w:pPr>
    </w:p>
    <w:p w:rsidR="005D484B" w:rsidRPr="000A1C8E" w:rsidRDefault="005D484B" w:rsidP="00466E9E">
      <w:pPr>
        <w:ind w:left="720"/>
        <w:rPr>
          <w:rFonts w:cs="Tahoma"/>
        </w:rPr>
      </w:pPr>
      <w:r w:rsidRPr="000A1C8E">
        <w:rPr>
          <w:rFonts w:cs="Tahoma"/>
          <w:szCs w:val="18"/>
        </w:rPr>
        <w:t>Instituições Acadêmicas sob o Enrollment for Education Solutions e Contrato Open Value Subscription para</w:t>
      </w:r>
      <w:r w:rsidR="00466E9E" w:rsidRPr="000A1C8E">
        <w:rPr>
          <w:rFonts w:cs="Tahoma"/>
          <w:szCs w:val="18"/>
        </w:rPr>
        <w:t> </w:t>
      </w:r>
      <w:r w:rsidRPr="000A1C8E">
        <w:rPr>
          <w:rFonts w:cs="Tahoma"/>
          <w:szCs w:val="18"/>
        </w:rPr>
        <w:t>Education Solutions, licenciadas para o Pacote de CALs Empresariais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Consulte as notas do produto do Pacote de CALs Empresariais para obter orientações sobre provisionamento.</w:t>
      </w:r>
    </w:p>
    <w:p w:rsidR="00B23BE6" w:rsidRPr="005F1E76" w:rsidRDefault="00B23BE6" w:rsidP="005F1E76">
      <w:pPr>
        <w:rPr>
          <w:rFonts w:cs="Tahoma"/>
          <w:szCs w:val="18"/>
        </w:rPr>
      </w:pPr>
    </w:p>
    <w:p w:rsidR="00EC1F23" w:rsidRPr="005F1E76" w:rsidRDefault="00EC1F23" w:rsidP="0084072C">
      <w:pPr>
        <w:pStyle w:val="Heading2"/>
        <w:ind w:left="0"/>
        <w:rPr>
          <w:rFonts w:ascii="Tahoma" w:hAnsi="Tahoma" w:cs="Tahoma"/>
          <w:b w:val="0"/>
          <w:bCs/>
          <w:sz w:val="18"/>
          <w:szCs w:val="18"/>
        </w:rPr>
      </w:pPr>
    </w:p>
    <w:p w:rsidR="00EC1F23" w:rsidRPr="000A1C8E" w:rsidRDefault="00A560B6" w:rsidP="00465757">
      <w:pPr>
        <w:pStyle w:val="Heading2"/>
        <w:ind w:left="270" w:hanging="270"/>
        <w:rPr>
          <w:rFonts w:ascii="Tahoma" w:hAnsi="Tahoma" w:cs="Tahoma"/>
        </w:rPr>
      </w:pPr>
      <w:bookmarkStart w:id="1253" w:name="_45_Exchange_Hosted"/>
      <w:bookmarkStart w:id="1254" w:name="_51_Exchange_Hosted"/>
      <w:bookmarkStart w:id="1255" w:name="_Toc336338306"/>
      <w:bookmarkStart w:id="1256" w:name="_Toc361829395"/>
      <w:bookmarkStart w:id="1257" w:name="Srv_44ExchHostArchiveandStorage"/>
      <w:bookmarkEnd w:id="1253"/>
      <w:bookmarkEnd w:id="1254"/>
      <w:r w:rsidRPr="000A1C8E">
        <w:rPr>
          <w:rFonts w:ascii="Tahoma" w:hAnsi="Tahoma" w:cs="Tahoma"/>
          <w:color w:val="F26200"/>
          <w:sz w:val="20"/>
          <w:vertAlign w:val="superscript"/>
        </w:rPr>
        <w:t>52</w:t>
      </w:r>
      <w:r w:rsidRPr="000A1C8E">
        <w:rPr>
          <w:rFonts w:ascii="Tahoma" w:hAnsi="Tahoma" w:cs="Tahoma"/>
          <w:color w:val="F26200"/>
        </w:rPr>
        <w:t xml:space="preserve"> </w:t>
      </w:r>
      <w:r w:rsidRPr="000A1C8E">
        <w:rPr>
          <w:rFonts w:ascii="Tahoma" w:hAnsi="Tahoma" w:cs="Tahoma"/>
          <w:color w:val="F26200"/>
          <w:sz w:val="22"/>
        </w:rPr>
        <w:t>Exchange Hosted Archive (SL de Usuário), Exchange Hosted Archive Extra Storage (SL Complementar)</w:t>
      </w:r>
      <w:bookmarkEnd w:id="1255"/>
      <w:bookmarkEnd w:id="1256"/>
      <w:r w:rsidRPr="000A1C8E">
        <w:rPr>
          <w:rFonts w:ascii="Tahoma" w:hAnsi="Tahoma" w:cs="Tahoma"/>
          <w:color w:val="F26200"/>
          <w:sz w:val="22"/>
        </w:rPr>
        <w:t xml:space="preserve"> </w:t>
      </w:r>
      <w:bookmarkEnd w:id="1257"/>
    </w:p>
    <w:p w:rsidR="00EC1F23" w:rsidRPr="000A1C8E" w:rsidRDefault="00EC1F23" w:rsidP="00EC1F23">
      <w:pPr>
        <w:ind w:left="900"/>
        <w:rPr>
          <w:rFonts w:cs="Tahoma"/>
        </w:rPr>
      </w:pPr>
    </w:p>
    <w:p w:rsidR="00EC1F23" w:rsidRPr="000A1C8E" w:rsidRDefault="00EC1F23" w:rsidP="0084072C">
      <w:pPr>
        <w:spacing w:after="60"/>
        <w:ind w:left="720"/>
        <w:rPr>
          <w:rFonts w:cs="Tahoma"/>
        </w:rPr>
      </w:pPr>
      <w:r w:rsidRPr="000A1C8E">
        <w:rPr>
          <w:rFonts w:eastAsia="Calibri" w:cs="Tahoma"/>
          <w:b/>
          <w:bCs/>
          <w:iCs/>
          <w:color w:val="000000"/>
        </w:rPr>
        <w:t>Outorga de Licença de 1º de maio de 2011 para Clientes do Exchange Hosted Archive</w:t>
      </w:r>
      <w:r w:rsidRPr="000A1C8E">
        <w:rPr>
          <w:rFonts w:eastAsia="Calibri" w:cs="Tahoma"/>
          <w:b/>
          <w:iCs/>
          <w:color w:val="000000"/>
        </w:rPr>
        <w:t xml:space="preserve"> </w:t>
      </w:r>
    </w:p>
    <w:p w:rsidR="00EC1F23" w:rsidRPr="000A1C8E" w:rsidRDefault="00EC1F23" w:rsidP="00466E9E">
      <w:pPr>
        <w:ind w:left="720"/>
        <w:rPr>
          <w:rFonts w:cs="Tahoma"/>
        </w:rPr>
      </w:pPr>
      <w:r w:rsidRPr="000A1C8E">
        <w:rPr>
          <w:rFonts w:eastAsia="Calibri" w:cs="Tahoma"/>
          <w:iCs/>
          <w:color w:val="000000"/>
        </w:rPr>
        <w:t>Os clientes receberão uma quantidade de licenças adicional (“licenças complementares”) igual a 15% do número de licenças do Exchange Hosted Archive (EHA) que eles compraram e que estarão ativos a partir de 1º de maio de 2011 (“licenças qualificadas”).</w:t>
      </w:r>
      <w:r w:rsidR="00DC6D8B" w:rsidRPr="000A1C8E">
        <w:rPr>
          <w:rFonts w:eastAsia="Calibri" w:cs="Tahoma"/>
          <w:iCs/>
          <w:color w:val="000000"/>
        </w:rPr>
        <w:t xml:space="preserve"> </w:t>
      </w:r>
      <w:r w:rsidRPr="000A1C8E">
        <w:rPr>
          <w:rFonts w:eastAsia="Calibri" w:cs="Tahoma"/>
          <w:iCs/>
          <w:color w:val="000000"/>
        </w:rPr>
        <w:t>Desde que a licenças qualificadas do cliente continuem ativas, suas licenças complementares permanecerão válidas até o final do prazo da assinatura que coincide com a</w:t>
      </w:r>
      <w:r w:rsidR="00466E9E" w:rsidRPr="000A1C8E">
        <w:rPr>
          <w:rFonts w:eastAsia="Calibri" w:cs="Tahoma"/>
          <w:iCs/>
          <w:color w:val="000000"/>
        </w:rPr>
        <w:t> </w:t>
      </w:r>
      <w:r w:rsidRPr="000A1C8E">
        <w:rPr>
          <w:rFonts w:eastAsia="Calibri" w:cs="Tahoma"/>
          <w:iCs/>
          <w:color w:val="000000"/>
        </w:rPr>
        <w:t>migração dos clientes de EHA para um Serviço Online sucessor, conforme especificado na tabela de migração a seguir.</w:t>
      </w:r>
      <w:r w:rsidR="00DC6D8B" w:rsidRPr="000A1C8E">
        <w:rPr>
          <w:rFonts w:eastAsia="Calibri" w:cs="Tahoma"/>
          <w:iCs/>
          <w:color w:val="000000"/>
        </w:rPr>
        <w:t xml:space="preserve"> </w:t>
      </w:r>
      <w:r w:rsidRPr="000A1C8E">
        <w:rPr>
          <w:rFonts w:eastAsia="Calibri" w:cs="Tahoma"/>
          <w:iCs/>
          <w:color w:val="000000"/>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rsidR="00BA1490" w:rsidRPr="000A1C8E" w:rsidRDefault="00BA1490" w:rsidP="0084072C">
      <w:pPr>
        <w:rPr>
          <w:rFonts w:cs="Tahoma"/>
        </w:rPr>
      </w:pPr>
    </w:p>
    <w:p w:rsidR="00EA6918" w:rsidRPr="000A1C8E" w:rsidRDefault="00EC1F23" w:rsidP="0084072C">
      <w:pPr>
        <w:spacing w:after="60"/>
        <w:ind w:left="720"/>
        <w:rPr>
          <w:rFonts w:cs="Tahoma"/>
        </w:rPr>
      </w:pPr>
      <w:r w:rsidRPr="000A1C8E">
        <w:rPr>
          <w:rFonts w:eastAsia="Calibri" w:cs="Tahoma"/>
          <w:b/>
          <w:bCs/>
          <w:iCs/>
          <w:color w:val="000000"/>
        </w:rPr>
        <w:t>Outorga de Licença de Migração para Clientes do Exchange Hosted Archive</w:t>
      </w:r>
    </w:p>
    <w:p w:rsidR="00EC1F23" w:rsidRPr="000A1C8E" w:rsidRDefault="00EC1F23" w:rsidP="00466E9E">
      <w:pPr>
        <w:ind w:left="720"/>
        <w:rPr>
          <w:rFonts w:cs="Tahoma"/>
        </w:rPr>
      </w:pPr>
      <w:r w:rsidRPr="000A1C8E">
        <w:rPr>
          <w:rFonts w:eastAsia="Calibri" w:cs="Tahoma"/>
          <w:iCs/>
          <w:color w:val="000000"/>
        </w:rPr>
        <w:t>Os clientes EHA que migram para os Serviços Online sucessores receberão um número total de licenças de</w:t>
      </w:r>
      <w:r w:rsidR="00466E9E" w:rsidRPr="000A1C8E">
        <w:rPr>
          <w:rFonts w:eastAsia="Calibri" w:cs="Tahoma"/>
          <w:iCs/>
          <w:color w:val="000000"/>
        </w:rPr>
        <w:t> </w:t>
      </w:r>
      <w:r w:rsidRPr="000A1C8E">
        <w:rPr>
          <w:rFonts w:eastAsia="Calibri" w:cs="Tahoma"/>
          <w:iCs/>
          <w:color w:val="000000"/>
        </w:rPr>
        <w:t>reposição para os Serviços Online sucessores igual ao número total de licenças EHA qualificadas e complementares, como pode ser visto na tabela a seguir.</w:t>
      </w:r>
      <w:r w:rsidR="00DC6D8B" w:rsidRPr="000A1C8E">
        <w:rPr>
          <w:rFonts w:eastAsia="Calibri" w:cs="Tahoma"/>
          <w:iCs/>
          <w:color w:val="000000"/>
        </w:rPr>
        <w:t xml:space="preserve"> </w:t>
      </w:r>
      <w:r w:rsidRPr="000A1C8E">
        <w:rPr>
          <w:rFonts w:eastAsia="Calibri" w:cs="Tahoma"/>
          <w:iCs/>
          <w:color w:val="000000"/>
        </w:rPr>
        <w:t xml:space="preserve">Essas licenças de reposição expirarão no final do período de assinatura, coincidindo com a migração do cliente de EHA para os Serviços Online sucessores. </w:t>
      </w:r>
    </w:p>
    <w:p w:rsidR="00EC1F23" w:rsidRPr="000A1C8E" w:rsidRDefault="00EC1F23" w:rsidP="00E62BC4">
      <w:pPr>
        <w:ind w:left="720"/>
        <w:rPr>
          <w:rFonts w:cs="Tahoma"/>
        </w:rPr>
      </w:pPr>
    </w:p>
    <w:p w:rsidR="002512D3" w:rsidRPr="000A1C8E" w:rsidRDefault="00EC1F23" w:rsidP="003165D6">
      <w:pPr>
        <w:ind w:left="720"/>
        <w:rPr>
          <w:rFonts w:cs="Tahoma"/>
        </w:rPr>
      </w:pPr>
      <w:r w:rsidRPr="000A1C8E">
        <w:rPr>
          <w:rFonts w:eastAsia="Calibri" w:cs="Tahoma"/>
          <w:iCs/>
          <w:color w:val="000000"/>
        </w:rPr>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DC6D8B" w:rsidRPr="000A1C8E">
        <w:rPr>
          <w:rFonts w:eastAsia="Calibri" w:cs="Tahoma"/>
          <w:iCs/>
          <w:color w:val="000000"/>
        </w:rPr>
        <w:t xml:space="preserve"> </w:t>
      </w:r>
      <w:r w:rsidRPr="000A1C8E">
        <w:rPr>
          <w:rFonts w:eastAsia="Calibri" w:cs="Tahoma"/>
          <w:iCs/>
          <w:color w:val="000000"/>
        </w:rPr>
        <w:t xml:space="preserve">Se a SL de Usuário correspondente for reatribuída a um novo usuário, então o Exchange Online Plano 2 também deverá ser realocada para o mesmo novo usuário. </w:t>
      </w:r>
    </w:p>
    <w:p w:rsidR="00EC1F23" w:rsidRPr="000A1C8E" w:rsidRDefault="00EC1F23" w:rsidP="00EC1F23">
      <w:pPr>
        <w:rPr>
          <w:rFonts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A1C8E" w:rsidTr="00C066F9">
        <w:trPr>
          <w:jc w:val="center"/>
        </w:trPr>
        <w:tc>
          <w:tcPr>
            <w:tcW w:w="7740" w:type="dxa"/>
            <w:gridSpan w:val="2"/>
            <w:shd w:val="clear" w:color="auto" w:fill="FABF8F"/>
          </w:tcPr>
          <w:p w:rsidR="00EC1F23" w:rsidRPr="000A1C8E" w:rsidRDefault="00EC1F23" w:rsidP="00022FBE">
            <w:pPr>
              <w:jc w:val="center"/>
              <w:rPr>
                <w:rFonts w:eastAsia="Calibri" w:cs="Tahoma"/>
                <w:b/>
                <w:iCs/>
                <w:color w:val="000000"/>
              </w:rPr>
            </w:pPr>
            <w:r w:rsidRPr="000A1C8E">
              <w:rPr>
                <w:rFonts w:eastAsia="Calibri" w:cs="Tahoma"/>
                <w:b/>
                <w:iCs/>
                <w:color w:val="000000"/>
              </w:rPr>
              <w:t>Outorga da Licença de Migração</w:t>
            </w:r>
          </w:p>
        </w:tc>
      </w:tr>
      <w:tr w:rsidR="00EC1F23" w:rsidRPr="000A1C8E" w:rsidTr="00C066F9">
        <w:trPr>
          <w:jc w:val="center"/>
        </w:trPr>
        <w:tc>
          <w:tcPr>
            <w:tcW w:w="3960" w:type="dxa"/>
            <w:shd w:val="clear" w:color="auto" w:fill="auto"/>
          </w:tcPr>
          <w:p w:rsidR="00EC1F23" w:rsidRPr="000A1C8E" w:rsidRDefault="00EC1F23" w:rsidP="00022FBE">
            <w:pPr>
              <w:jc w:val="center"/>
              <w:rPr>
                <w:rFonts w:eastAsia="Calibri" w:cs="Tahoma"/>
                <w:iCs/>
                <w:color w:val="000000"/>
              </w:rPr>
            </w:pPr>
            <w:r w:rsidRPr="000A1C8E">
              <w:rPr>
                <w:rFonts w:eastAsia="Calibri" w:cs="Tahoma"/>
                <w:iCs/>
                <w:color w:val="000000"/>
              </w:rPr>
              <w:t>Posição da licença qualificada</w:t>
            </w:r>
          </w:p>
        </w:tc>
        <w:tc>
          <w:tcPr>
            <w:tcW w:w="3780" w:type="dxa"/>
            <w:shd w:val="clear" w:color="auto" w:fill="auto"/>
          </w:tcPr>
          <w:p w:rsidR="00EC1F23" w:rsidRPr="000A1C8E" w:rsidRDefault="00EC1F23" w:rsidP="00022FBE">
            <w:pPr>
              <w:jc w:val="center"/>
              <w:rPr>
                <w:rFonts w:eastAsia="Calibri" w:cs="Tahoma"/>
                <w:iCs/>
                <w:color w:val="000000"/>
              </w:rPr>
            </w:pPr>
            <w:r w:rsidRPr="000A1C8E">
              <w:rPr>
                <w:rFonts w:eastAsia="Calibri" w:cs="Tahoma"/>
                <w:iCs/>
                <w:color w:val="000000"/>
              </w:rPr>
              <w:t>Outorga de Licença</w:t>
            </w:r>
          </w:p>
        </w:tc>
      </w:tr>
      <w:tr w:rsidR="00EC1F23" w:rsidRPr="000A1C8E" w:rsidTr="00C066F9">
        <w:trPr>
          <w:jc w:val="center"/>
        </w:trPr>
        <w:tc>
          <w:tcPr>
            <w:tcW w:w="3960" w:type="dxa"/>
            <w:shd w:val="clear" w:color="auto" w:fill="auto"/>
          </w:tcPr>
          <w:p w:rsidR="00EE53FF" w:rsidRPr="000A1C8E" w:rsidRDefault="00EE53FF" w:rsidP="001051D1">
            <w:pPr>
              <w:spacing w:before="60" w:after="60"/>
              <w:ind w:left="158" w:right="346"/>
              <w:rPr>
                <w:rFonts w:cs="Tahoma"/>
              </w:rPr>
            </w:pPr>
            <w:r w:rsidRPr="000A1C8E">
              <w:rPr>
                <w:rFonts w:eastAsia="Calibri" w:cs="Tahoma"/>
                <w:iCs/>
                <w:color w:val="000000"/>
              </w:rPr>
              <w:t>SL de Usuário EHA (usada junto com uma CAL do Exchange na instalação)</w:t>
            </w:r>
          </w:p>
          <w:p w:rsidR="00EC1F23" w:rsidRPr="000A1C8E" w:rsidRDefault="00EC1F23" w:rsidP="001051D1">
            <w:pPr>
              <w:spacing w:before="60" w:after="60"/>
              <w:ind w:left="158" w:right="346"/>
              <w:rPr>
                <w:rFonts w:cs="Tahoma"/>
              </w:rPr>
            </w:pPr>
            <w:r w:rsidRPr="000A1C8E">
              <w:rPr>
                <w:rFonts w:eastAsia="Calibri" w:cs="Tahoma"/>
                <w:iCs/>
                <w:color w:val="000000"/>
              </w:rPr>
              <w:t>A SL de Usuário do EHA (usada com SLs de Usuário para Exchange Online Standard, Exchange Online Plano</w:t>
            </w:r>
          </w:p>
          <w:p w:rsidR="00EC1F23" w:rsidRPr="000A1C8E" w:rsidRDefault="00EC1F23" w:rsidP="001051D1">
            <w:pPr>
              <w:spacing w:before="60" w:after="60"/>
              <w:ind w:left="158" w:right="346"/>
              <w:rPr>
                <w:rFonts w:eastAsia="Calibri" w:cs="Tahoma"/>
                <w:iCs/>
                <w:color w:val="000000"/>
              </w:rPr>
            </w:pPr>
            <w:r w:rsidRPr="000A1C8E">
              <w:rPr>
                <w:rFonts w:eastAsia="Calibri" w:cs="Tahoma"/>
                <w:iCs/>
                <w:color w:val="000000"/>
              </w:rPr>
              <w:t>2, BPOS Standard, Office 365 E1, BPOS Deskless, Exchange Online Deskless ou Quiosque do Exchange Online)</w:t>
            </w:r>
          </w:p>
        </w:tc>
        <w:tc>
          <w:tcPr>
            <w:tcW w:w="3780" w:type="dxa"/>
            <w:shd w:val="clear" w:color="auto" w:fill="auto"/>
          </w:tcPr>
          <w:p w:rsidR="00EC1F23" w:rsidRPr="000A1C8E" w:rsidRDefault="00EC1F23" w:rsidP="00346F4B">
            <w:pPr>
              <w:numPr>
                <w:ilvl w:val="0"/>
                <w:numId w:val="46"/>
              </w:numPr>
              <w:spacing w:before="60" w:after="60"/>
              <w:ind w:right="342"/>
              <w:rPr>
                <w:rFonts w:eastAsia="Calibri" w:cs="Tahoma"/>
                <w:iCs/>
                <w:color w:val="000000"/>
              </w:rPr>
            </w:pPr>
            <w:r w:rsidRPr="000A1C8E">
              <w:rPr>
                <w:rFonts w:eastAsia="Calibri" w:cs="Tahoma"/>
                <w:iCs/>
                <w:color w:val="000000"/>
              </w:rPr>
              <w:t>SL de Usuário do Exchange Online Plano 2</w:t>
            </w:r>
          </w:p>
        </w:tc>
      </w:tr>
    </w:tbl>
    <w:p w:rsidR="00D57009" w:rsidRPr="000A1C8E" w:rsidRDefault="00D57009">
      <w:pPr>
        <w:rPr>
          <w:rFonts w:cs="Tahoma"/>
        </w:rPr>
      </w:pPr>
    </w:p>
    <w:p w:rsidR="00D74211" w:rsidRPr="000A1C8E" w:rsidRDefault="00D74211">
      <w:pPr>
        <w:rPr>
          <w:rFonts w:cs="Tahoma"/>
        </w:rPr>
      </w:pPr>
    </w:p>
    <w:p w:rsidR="00DD39C7" w:rsidRPr="000A1C8E" w:rsidRDefault="00DD39C7" w:rsidP="0084072C">
      <w:pPr>
        <w:spacing w:after="60"/>
        <w:ind w:left="720"/>
        <w:rPr>
          <w:rFonts w:cs="Tahoma"/>
        </w:rPr>
      </w:pPr>
      <w:r w:rsidRPr="000A1C8E">
        <w:rPr>
          <w:rFonts w:cs="Tahoma"/>
          <w:b/>
          <w:color w:val="000000"/>
        </w:rPr>
        <w:lastRenderedPageBreak/>
        <w:t>Uso Contínuo do Exchange Hosted Archive (EHA) com Assinaturas Ativas para Business Productivity Online Subscription (BPOS) e Exchange Online Standard</w:t>
      </w:r>
    </w:p>
    <w:p w:rsidR="00DD39C7" w:rsidRPr="000A1C8E" w:rsidRDefault="00DD39C7" w:rsidP="00DD39C7">
      <w:pPr>
        <w:ind w:left="720"/>
        <w:rPr>
          <w:rFonts w:cs="Tahoma"/>
        </w:rPr>
      </w:pPr>
      <w:r w:rsidRPr="000A1C8E">
        <w:rPr>
          <w:rFonts w:cs="Tahoma"/>
          <w:iCs/>
          <w:color w:val="000000"/>
        </w:rPr>
        <w:t>Os clientes com assinaturas EHA que estão expirando que ainda não foram migrados para o Office 365 e que estão atualmente implementados no BPOS ou Exchange Online Standard podem continuar a usar o EHA depois da expiração de sua assinatura e até (i) sua migração para o Office 365 ou (ii) expiração de sua assinatura do BPOS ou Exchange Online Standard, o que acontecer primeiro.</w:t>
      </w:r>
      <w:r w:rsidR="00DC6D8B" w:rsidRPr="000A1C8E">
        <w:rPr>
          <w:rFonts w:cs="Tahoma"/>
          <w:iCs/>
          <w:color w:val="000000"/>
        </w:rPr>
        <w:t xml:space="preserve"> </w:t>
      </w:r>
      <w:r w:rsidRPr="000A1C8E">
        <w:rPr>
          <w:rFonts w:cs="Tahoma"/>
          <w:iCs/>
          <w:color w:val="000000"/>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DC6D8B" w:rsidRPr="000A1C8E">
        <w:rPr>
          <w:rFonts w:cs="Tahoma"/>
          <w:iCs/>
          <w:color w:val="000000"/>
        </w:rPr>
        <w:t xml:space="preserve"> </w:t>
      </w:r>
      <w:r w:rsidRPr="000A1C8E">
        <w:rPr>
          <w:rFonts w:cs="Tahoma"/>
          <w:iCs/>
          <w:color w:val="000000"/>
        </w:rPr>
        <w:t>O EHA é licenciado no estado em que se encontra sem nenhum tipo de garantia.</w:t>
      </w:r>
      <w:r w:rsidR="00DC6D8B" w:rsidRPr="000A1C8E">
        <w:rPr>
          <w:rFonts w:cs="Tahoma"/>
          <w:iCs/>
          <w:color w:val="000000"/>
        </w:rPr>
        <w:t xml:space="preserve"> </w:t>
      </w:r>
    </w:p>
    <w:p w:rsidR="00DD39C7" w:rsidRPr="000A1C8E" w:rsidRDefault="00DD39C7" w:rsidP="00DD39C7">
      <w:pPr>
        <w:ind w:left="720"/>
        <w:rPr>
          <w:rFonts w:cs="Tahoma"/>
        </w:rPr>
      </w:pPr>
    </w:p>
    <w:p w:rsidR="00023FE7" w:rsidRPr="005F1E76" w:rsidRDefault="00023FE7" w:rsidP="00B52F10">
      <w:pPr>
        <w:pStyle w:val="Heading2"/>
        <w:rPr>
          <w:rFonts w:ascii="Tahoma" w:hAnsi="Tahoma" w:cs="Tahoma"/>
          <w:b w:val="0"/>
          <w:bCs/>
          <w:sz w:val="18"/>
          <w:szCs w:val="18"/>
        </w:rPr>
      </w:pPr>
    </w:p>
    <w:p w:rsidR="00827D38" w:rsidRPr="000A1C8E" w:rsidRDefault="00A560B6" w:rsidP="00B52F10">
      <w:pPr>
        <w:pStyle w:val="Heading2"/>
        <w:ind w:left="0"/>
        <w:rPr>
          <w:rFonts w:ascii="Tahoma" w:hAnsi="Tahoma" w:cs="Tahoma"/>
        </w:rPr>
      </w:pPr>
      <w:bookmarkStart w:id="1258" w:name="_46_Exchange_Hosted"/>
      <w:bookmarkStart w:id="1259" w:name="_52_Exchange_Hosted"/>
      <w:bookmarkStart w:id="1260" w:name="_53_Exchange_Hosted"/>
      <w:bookmarkStart w:id="1261" w:name="_Toc336338307"/>
      <w:bookmarkStart w:id="1262" w:name="_Toc361829396"/>
      <w:bookmarkStart w:id="1263" w:name="Srv_39ExchangeOnDeskWork"/>
      <w:bookmarkEnd w:id="1258"/>
      <w:bookmarkEnd w:id="1259"/>
      <w:bookmarkEnd w:id="1260"/>
      <w:r w:rsidRPr="000A1C8E">
        <w:rPr>
          <w:rFonts w:ascii="Tahoma" w:hAnsi="Tahoma" w:cs="Tahoma"/>
          <w:color w:val="E25B00"/>
          <w:sz w:val="22"/>
          <w:szCs w:val="22"/>
          <w:vertAlign w:val="superscript"/>
        </w:rPr>
        <w:t>53</w:t>
      </w:r>
      <w:r w:rsidRPr="000A1C8E">
        <w:rPr>
          <w:rFonts w:ascii="Tahoma" w:hAnsi="Tahoma" w:cs="Tahoma"/>
          <w:sz w:val="22"/>
          <w:szCs w:val="22"/>
        </w:rPr>
        <w:t xml:space="preserve"> </w:t>
      </w:r>
      <w:r w:rsidRPr="000A1C8E">
        <w:rPr>
          <w:rFonts w:ascii="Tahoma" w:hAnsi="Tahoma" w:cs="Tahoma"/>
          <w:color w:val="F66400"/>
          <w:sz w:val="22"/>
          <w:szCs w:val="22"/>
        </w:rPr>
        <w:t>Exchange Hosted Encryption (SL de Usuário)</w:t>
      </w:r>
      <w:bookmarkEnd w:id="1261"/>
      <w:bookmarkEnd w:id="1262"/>
    </w:p>
    <w:p w:rsidR="00827D38" w:rsidRPr="000A1C8E" w:rsidRDefault="00827D38" w:rsidP="00827D38">
      <w:pPr>
        <w:ind w:left="900"/>
        <w:rPr>
          <w:rFonts w:cs="Tahoma"/>
        </w:rPr>
      </w:pPr>
    </w:p>
    <w:p w:rsidR="00827D38" w:rsidRPr="000A1C8E" w:rsidRDefault="00827D38" w:rsidP="00E62BC4">
      <w:pPr>
        <w:ind w:left="720"/>
        <w:rPr>
          <w:rFonts w:cs="Tahoma"/>
        </w:rPr>
      </w:pPr>
      <w:r w:rsidRPr="000A1C8E">
        <w:rPr>
          <w:rFonts w:cs="Tahoma"/>
        </w:rPr>
        <w:t>Os clientes deverão usar o mesmo registro de contrato Select, registro de contrato Enterprise ou contrato Open Value ativo para fazer pedidos subsequentes ao pedido inicial.</w:t>
      </w:r>
    </w:p>
    <w:p w:rsidR="00827D38" w:rsidRPr="000A1C8E" w:rsidRDefault="00827D38" w:rsidP="00E62BC4">
      <w:pPr>
        <w:ind w:left="720"/>
        <w:rPr>
          <w:rFonts w:cs="Tahoma"/>
        </w:rPr>
      </w:pPr>
    </w:p>
    <w:p w:rsidR="00023FE7" w:rsidRPr="000A1C8E" w:rsidRDefault="00827D38" w:rsidP="00E62BC4">
      <w:pPr>
        <w:ind w:left="720"/>
        <w:rPr>
          <w:rFonts w:cs="Tahoma"/>
        </w:rPr>
      </w:pPr>
      <w:r w:rsidRPr="000A1C8E">
        <w:rPr>
          <w:rFonts w:cs="Tahoma"/>
        </w:rPr>
        <w:t xml:space="preserve">Consulte a </w:t>
      </w:r>
      <w:hyperlink w:anchor="_Section_10_–" w:history="1">
        <w:r w:rsidRPr="000A1C8E">
          <w:rPr>
            <w:rStyle w:val="Hyperlink"/>
            <w:rFonts w:cs="Tahoma"/>
          </w:rPr>
          <w:t>Seção 10</w:t>
        </w:r>
      </w:hyperlink>
      <w:r w:rsidRPr="000A1C8E">
        <w:rPr>
          <w:rFonts w:cs="Tahoma"/>
        </w:rPr>
        <w:t xml:space="preserve"> para obter informações sobre os termos de pagamento e preços dos serviços online.</w:t>
      </w:r>
    </w:p>
    <w:p w:rsidR="00827D38" w:rsidRPr="000A1C8E" w:rsidRDefault="00827D38" w:rsidP="00827D38">
      <w:pPr>
        <w:ind w:left="900"/>
        <w:rPr>
          <w:rFonts w:cs="Tahoma"/>
        </w:rPr>
      </w:pPr>
    </w:p>
    <w:p w:rsidR="00827D38" w:rsidRPr="000A1C8E" w:rsidRDefault="00827D38" w:rsidP="00827D38">
      <w:pPr>
        <w:ind w:left="900"/>
        <w:rPr>
          <w:rFonts w:cs="Tahoma"/>
        </w:rPr>
      </w:pPr>
    </w:p>
    <w:p w:rsidR="00023FE7" w:rsidRPr="000A1C8E" w:rsidRDefault="00A560B6">
      <w:pPr>
        <w:pStyle w:val="Heading3"/>
        <w:rPr>
          <w:rFonts w:ascii="Tahoma" w:hAnsi="Tahoma" w:cs="Tahoma"/>
        </w:rPr>
      </w:pPr>
      <w:bookmarkStart w:id="1264" w:name="_50_Exchange_Online"/>
      <w:bookmarkStart w:id="1265" w:name="_53_Exchange_Online"/>
      <w:bookmarkStart w:id="1266" w:name="_Toc336338308"/>
      <w:bookmarkStart w:id="1267" w:name="_Toc361829397"/>
      <w:bookmarkStart w:id="1268" w:name="Srv_40ExchangeOnDeskWork"/>
      <w:bookmarkStart w:id="1269" w:name="Srv_45ExchangeOnDeskWork"/>
      <w:bookmarkEnd w:id="1264"/>
      <w:bookmarkEnd w:id="1265"/>
      <w:r w:rsidRPr="000A1C8E">
        <w:rPr>
          <w:rFonts w:ascii="Tahoma" w:hAnsi="Tahoma" w:cs="Tahoma"/>
          <w:caps/>
          <w:color w:val="F66400"/>
          <w:sz w:val="22"/>
          <w:vertAlign w:val="superscript"/>
        </w:rPr>
        <w:t>54</w:t>
      </w:r>
      <w:r w:rsidRPr="000A1C8E">
        <w:rPr>
          <w:rFonts w:ascii="Tahoma" w:hAnsi="Tahoma" w:cs="Tahoma"/>
          <w:color w:val="F66400"/>
          <w:sz w:val="22"/>
        </w:rPr>
        <w:t xml:space="preserve"> Exchange Online Kiosk (SL de Usuário)</w:t>
      </w:r>
      <w:bookmarkEnd w:id="1266"/>
      <w:bookmarkEnd w:id="1267"/>
    </w:p>
    <w:bookmarkEnd w:id="1263"/>
    <w:bookmarkEnd w:id="1268"/>
    <w:bookmarkEnd w:id="1269"/>
    <w:p w:rsidR="00023FE7" w:rsidRPr="005F1E76" w:rsidRDefault="00023FE7">
      <w:pPr>
        <w:pStyle w:val="EndnoteText"/>
        <w:rPr>
          <w:rFonts w:ascii="Tahoma" w:hAnsi="Tahoma" w:cs="Tahoma"/>
          <w:sz w:val="18"/>
          <w:szCs w:val="18"/>
        </w:rPr>
      </w:pPr>
    </w:p>
    <w:p w:rsidR="00040ADC" w:rsidRPr="000A1C8E" w:rsidRDefault="00040ADC" w:rsidP="00E62BC4">
      <w:pPr>
        <w:ind w:left="720"/>
        <w:rPr>
          <w:rFonts w:cs="Tahoma"/>
        </w:rPr>
      </w:pPr>
      <w:r w:rsidRPr="000A1C8E">
        <w:rPr>
          <w:rFonts w:cs="Tahoma"/>
          <w:color w:val="000000"/>
          <w:szCs w:val="18"/>
        </w:rPr>
        <w:t>Não obstante quaisquer disposições em contrário nos contratos de licença dos clientes, entre os usuários qualificados não estão incluídos os usuários licenciados para o Quiosque do Exchange Online.</w:t>
      </w:r>
    </w:p>
    <w:p w:rsidR="00040ADC" w:rsidRPr="000A1C8E" w:rsidRDefault="00040ADC" w:rsidP="00E62BC4">
      <w:pPr>
        <w:ind w:left="720"/>
        <w:rPr>
          <w:rFonts w:cs="Tahoma"/>
        </w:rPr>
      </w:pPr>
    </w:p>
    <w:p w:rsidR="00040ADC" w:rsidRPr="000A1C8E" w:rsidRDefault="00040ADC" w:rsidP="00E62BC4">
      <w:pPr>
        <w:ind w:left="720"/>
        <w:rPr>
          <w:rFonts w:cs="Tahoma"/>
        </w:rPr>
      </w:pPr>
      <w:r w:rsidRPr="000A1C8E">
        <w:rPr>
          <w:rFonts w:cs="Tahoma"/>
          <w:color w:val="000000"/>
          <w:szCs w:val="18"/>
        </w:rPr>
        <w:t>O Quiosque do Exchange Online era conhecido anteriormente como Exchange Online Deskless Worker.</w:t>
      </w:r>
    </w:p>
    <w:p w:rsidR="00352135" w:rsidRPr="000A1C8E" w:rsidRDefault="00352135" w:rsidP="00E62BC4">
      <w:pPr>
        <w:ind w:left="720"/>
        <w:rPr>
          <w:rFonts w:cs="Tahoma"/>
        </w:rPr>
      </w:pPr>
    </w:p>
    <w:p w:rsidR="00702931" w:rsidRPr="000A1C8E" w:rsidRDefault="00702931" w:rsidP="00AF3B19">
      <w:pPr>
        <w:spacing w:after="60"/>
        <w:ind w:left="720"/>
        <w:rPr>
          <w:rFonts w:cs="Tahoma"/>
        </w:rPr>
      </w:pPr>
      <w:r w:rsidRPr="000A1C8E">
        <w:rPr>
          <w:rFonts w:eastAsia="Calibri" w:cs="Tahoma"/>
          <w:b/>
          <w:color w:val="000000"/>
          <w:szCs w:val="18"/>
        </w:rPr>
        <w:t>Nuvem da Comunidade do Governo (apenas para os Estados Unidos)</w:t>
      </w:r>
    </w:p>
    <w:p w:rsidR="00702931" w:rsidRPr="000A1C8E" w:rsidRDefault="00702931" w:rsidP="00E62BC4">
      <w:pPr>
        <w:ind w:left="720"/>
        <w:rPr>
          <w:rFonts w:cs="Tahoma"/>
        </w:rPr>
      </w:pPr>
      <w:r w:rsidRPr="000A1C8E">
        <w:rPr>
          <w:rFonts w:eastAsia="Calibri" w:cs="Tahoma"/>
          <w:color w:val="000000"/>
          <w:szCs w:val="18"/>
        </w:rPr>
        <w:t>Alguns serviços online na família de produtos do Office 365 (incluindo Quiosque do Exchange Online) são oferecidos como serviços de nuvem da comunidade do governo e serviços de nuvem da comunidade não governamental.</w:t>
      </w:r>
      <w:r w:rsidR="00DC6D8B" w:rsidRPr="000A1C8E">
        <w:rPr>
          <w:rFonts w:eastAsia="Calibri" w:cs="Tahoma"/>
          <w:color w:val="000000"/>
          <w:szCs w:val="18"/>
        </w:rPr>
        <w:t xml:space="preserve"> </w:t>
      </w:r>
      <w:r w:rsidRPr="000A1C8E">
        <w:rPr>
          <w:rFonts w:eastAsia="Calibri" w:cs="Tahoma"/>
          <w:color w:val="000000"/>
          <w:szCs w:val="18"/>
        </w:rPr>
        <w:t>Os clientes podem ser provisionados como um ou outro, mas não com uma mistura dos dois.</w:t>
      </w:r>
      <w:r w:rsidR="00DC6D8B" w:rsidRPr="000A1C8E">
        <w:rPr>
          <w:rFonts w:eastAsia="Calibri" w:cs="Tahoma"/>
          <w:color w:val="000000"/>
          <w:szCs w:val="18"/>
        </w:rPr>
        <w:t xml:space="preserve"> </w:t>
      </w:r>
      <w:r w:rsidRPr="000A1C8E">
        <w:rPr>
          <w:rFonts w:eastAsia="Calibri" w:cs="Tahoma"/>
          <w:color w:val="000000"/>
          <w:szCs w:val="18"/>
        </w:rPr>
        <w:t>Os Serviços Online projetados como nuvem de comunidade do governo não podem ser implantados no mesmo domínio que os serviços de nuvem da comunidade não governamental específicos.</w:t>
      </w:r>
      <w:r w:rsidR="00DC6D8B" w:rsidRPr="000A1C8E">
        <w:rPr>
          <w:rFonts w:eastAsia="Calibri" w:cs="Tahoma"/>
          <w:color w:val="000000"/>
          <w:szCs w:val="18"/>
        </w:rPr>
        <w:t xml:space="preserve"> </w:t>
      </w:r>
      <w:r w:rsidRPr="000A1C8E">
        <w:rPr>
          <w:rFonts w:eastAsia="Calibri" w:cs="Tahoma"/>
          <w:color w:val="000000"/>
          <w:szCs w:val="18"/>
        </w:rPr>
        <w:t>Esta limitação se estende a qualquer serviço online que faça parte da família de produtos do Office 365, incluindo Exchange Online, SharePoint Online e Lync Online.</w:t>
      </w:r>
      <w:r w:rsidR="00DC6D8B" w:rsidRPr="000A1C8E">
        <w:rPr>
          <w:rFonts w:eastAsia="Calibri" w:cs="Tahoma"/>
          <w:color w:val="000000"/>
          <w:szCs w:val="18"/>
        </w:rPr>
        <w:t xml:space="preserve"> </w:t>
      </w:r>
    </w:p>
    <w:p w:rsidR="00702931" w:rsidRPr="000A1C8E" w:rsidRDefault="00702931" w:rsidP="00E62BC4">
      <w:pPr>
        <w:ind w:left="720"/>
        <w:rPr>
          <w:rFonts w:cs="Tahoma"/>
        </w:rPr>
      </w:pPr>
    </w:p>
    <w:p w:rsidR="00702931" w:rsidRPr="000A1C8E" w:rsidRDefault="00702931" w:rsidP="00E62BC4">
      <w:pPr>
        <w:ind w:left="720"/>
        <w:rPr>
          <w:rFonts w:cs="Tahoma"/>
        </w:rPr>
      </w:pPr>
      <w:r w:rsidRPr="000A1C8E">
        <w:rPr>
          <w:rFonts w:eastAsia="Calibri" w:cs="Tahoma"/>
          <w:color w:val="000000"/>
          <w:szCs w:val="18"/>
        </w:rPr>
        <w:t>Assim que um serviço online é provisionado na nuvem de comunidade do governo, ele permanecerá lá pela duração da vigência da assinatura.</w:t>
      </w:r>
      <w:r w:rsidR="00DC6D8B" w:rsidRPr="000A1C8E">
        <w:rPr>
          <w:rFonts w:eastAsia="Calibri" w:cs="Tahoma"/>
          <w:color w:val="000000"/>
          <w:szCs w:val="18"/>
        </w:rPr>
        <w:t xml:space="preserve"> </w:t>
      </w:r>
      <w:r w:rsidRPr="000A1C8E">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C6D8B" w:rsidRPr="000A1C8E">
        <w:rPr>
          <w:rFonts w:eastAsia="Calibri" w:cs="Tahoma"/>
          <w:color w:val="000000"/>
          <w:szCs w:val="18"/>
        </w:rPr>
        <w:t xml:space="preserve"> </w:t>
      </w:r>
      <w:r w:rsidRPr="000A1C8E">
        <w:rPr>
          <w:rFonts w:eastAsia="Calibri" w:cs="Tahoma"/>
          <w:color w:val="000000"/>
          <w:szCs w:val="18"/>
        </w:rPr>
        <w:t>Os Direitos de Uso para serviços de nuvem da comunidade do governo são equivalentes àqueles dos seus diversos locatários padrão.</w:t>
      </w:r>
      <w:r w:rsidR="00DC6D8B" w:rsidRPr="000A1C8E">
        <w:rPr>
          <w:rFonts w:eastAsia="Calibri" w:cs="Tahoma"/>
          <w:color w:val="000000"/>
          <w:szCs w:val="18"/>
        </w:rPr>
        <w:t xml:space="preserve"> </w:t>
      </w:r>
    </w:p>
    <w:p w:rsidR="00023FE7" w:rsidRPr="000A1C8E" w:rsidRDefault="00023FE7" w:rsidP="00E62BC4">
      <w:pPr>
        <w:pStyle w:val="Heading2"/>
        <w:rPr>
          <w:rFonts w:ascii="Tahoma" w:hAnsi="Tahoma" w:cs="Tahoma"/>
          <w:sz w:val="18"/>
          <w:szCs w:val="18"/>
        </w:rPr>
      </w:pPr>
      <w:bookmarkStart w:id="1270" w:name="Srv_41ExchangeSvr07EntCAL"/>
    </w:p>
    <w:p w:rsidR="00C066F9" w:rsidRPr="000A1C8E" w:rsidRDefault="00C066F9" w:rsidP="00C066F9">
      <w:pPr>
        <w:ind w:left="720"/>
        <w:rPr>
          <w:rFonts w:cs="Tahoma"/>
        </w:rPr>
      </w:pPr>
    </w:p>
    <w:p w:rsidR="00371299" w:rsidRPr="000A1C8E" w:rsidRDefault="00A560B6" w:rsidP="00B17EFB">
      <w:pPr>
        <w:pStyle w:val="Heading3"/>
        <w:rPr>
          <w:rFonts w:ascii="Tahoma" w:hAnsi="Tahoma" w:cs="Tahoma"/>
        </w:rPr>
      </w:pPr>
      <w:bookmarkStart w:id="1271" w:name="_48_Exchange_Online"/>
      <w:bookmarkStart w:id="1272" w:name="_54_Exchange_Online"/>
      <w:bookmarkStart w:id="1273" w:name="_Toc336338309"/>
      <w:bookmarkStart w:id="1274" w:name="_Toc361829398"/>
      <w:bookmarkStart w:id="1275" w:name="Srv_46ExhangeOnlinePlan1"/>
      <w:bookmarkStart w:id="1276" w:name="Srv_42ExchangeSvr2010EntCAL"/>
      <w:bookmarkStart w:id="1277" w:name="Srv_47ExchangeSvr2010EntCAL"/>
      <w:bookmarkEnd w:id="1271"/>
      <w:bookmarkEnd w:id="1272"/>
      <w:r w:rsidRPr="000A1C8E">
        <w:rPr>
          <w:rFonts w:ascii="Tahoma" w:hAnsi="Tahoma" w:cs="Tahoma"/>
          <w:caps/>
          <w:color w:val="F66400"/>
          <w:sz w:val="22"/>
          <w:szCs w:val="22"/>
          <w:vertAlign w:val="superscript"/>
        </w:rPr>
        <w:t>55</w:t>
      </w:r>
      <w:r w:rsidR="00045E3F">
        <w:rPr>
          <w:rFonts w:ascii="Tahoma" w:hAnsi="Tahoma" w:cs="Tahoma"/>
          <w:caps/>
          <w:color w:val="F66400"/>
          <w:sz w:val="22"/>
          <w:szCs w:val="22"/>
          <w:vertAlign w:val="superscript"/>
        </w:rPr>
        <w:t xml:space="preserve"> </w:t>
      </w:r>
      <w:r w:rsidRPr="000A1C8E">
        <w:rPr>
          <w:rFonts w:ascii="Tahoma" w:hAnsi="Tahoma" w:cs="Tahoma"/>
          <w:color w:val="F66400"/>
          <w:sz w:val="22"/>
          <w:szCs w:val="22"/>
        </w:rPr>
        <w:t>Exchange Online Plano 1</w:t>
      </w:r>
      <w:bookmarkEnd w:id="1273"/>
      <w:bookmarkEnd w:id="1274"/>
    </w:p>
    <w:bookmarkEnd w:id="1275"/>
    <w:p w:rsidR="00371299" w:rsidRPr="000A1C8E" w:rsidRDefault="00371299" w:rsidP="00371299">
      <w:pPr>
        <w:outlineLvl w:val="2"/>
        <w:rPr>
          <w:rFonts w:cs="Tahoma"/>
        </w:rPr>
      </w:pPr>
    </w:p>
    <w:p w:rsidR="00371299" w:rsidRPr="000A1C8E" w:rsidRDefault="00371299" w:rsidP="00371299">
      <w:pPr>
        <w:ind w:left="720"/>
        <w:contextualSpacing/>
        <w:rPr>
          <w:rFonts w:cs="Tahoma"/>
        </w:rPr>
      </w:pPr>
      <w:r w:rsidRPr="000A1C8E">
        <w:rPr>
          <w:rFonts w:cs="Tahoma"/>
          <w:szCs w:val="20"/>
        </w:rPr>
        <w:t>O Exchange Online Plano 1 era conhecido anteriormente como Exchange Online Standard.</w:t>
      </w:r>
    </w:p>
    <w:p w:rsidR="00A61080" w:rsidRPr="000A1C8E" w:rsidRDefault="00A61080" w:rsidP="00C066F9">
      <w:pPr>
        <w:ind w:left="720"/>
        <w:contextualSpacing/>
        <w:rPr>
          <w:rFonts w:cs="Tahoma"/>
        </w:rPr>
      </w:pPr>
    </w:p>
    <w:p w:rsidR="00A61080" w:rsidRPr="00BC0F51" w:rsidRDefault="00A61080" w:rsidP="00A61080">
      <w:pPr>
        <w:ind w:left="720"/>
        <w:rPr>
          <w:rFonts w:ascii="Arial" w:hAnsi="Arial" w:cs="Arial"/>
        </w:rPr>
      </w:pPr>
      <w:r w:rsidRPr="00BC0F51">
        <w:rPr>
          <w:rFonts w:ascii="Arial" w:eastAsia="Calibri" w:hAnsi="Arial" w:cs="Arial"/>
          <w:color w:val="000000"/>
          <w:szCs w:val="18"/>
        </w:rPr>
        <w:t>Não obstante quaisquer disposições em contrário nos Direitos de Uso de Produto, uma SL de Usuário do Exchange Online Plano 1 comprada sob um Contrato para Campus e School não permite acesso ao Exchange Server.</w:t>
      </w:r>
    </w:p>
    <w:p w:rsidR="00B23BE6" w:rsidRPr="000A1C8E" w:rsidRDefault="00B23BE6" w:rsidP="00A61080">
      <w:pPr>
        <w:ind w:left="720"/>
        <w:rPr>
          <w:rFonts w:cs="Tahoma"/>
        </w:rPr>
      </w:pPr>
    </w:p>
    <w:p w:rsidR="00D74211" w:rsidRPr="000A1C8E" w:rsidRDefault="00D74211" w:rsidP="00A61080">
      <w:pPr>
        <w:ind w:left="720"/>
        <w:rPr>
          <w:rFonts w:cs="Tahoma"/>
        </w:rPr>
      </w:pPr>
    </w:p>
    <w:p w:rsidR="00D74211" w:rsidRPr="000A1C8E" w:rsidRDefault="00D74211" w:rsidP="00A61080">
      <w:pPr>
        <w:ind w:left="720"/>
        <w:rPr>
          <w:rFonts w:cs="Tahoma"/>
        </w:rPr>
      </w:pPr>
    </w:p>
    <w:p w:rsidR="00D74211" w:rsidRPr="000A1C8E" w:rsidRDefault="00D74211" w:rsidP="00A61080">
      <w:pPr>
        <w:ind w:left="720"/>
        <w:rPr>
          <w:rFonts w:cs="Tahoma"/>
        </w:rPr>
      </w:pPr>
    </w:p>
    <w:p w:rsidR="00702931" w:rsidRPr="000A1C8E" w:rsidRDefault="00702931" w:rsidP="0067725A">
      <w:pPr>
        <w:spacing w:after="60"/>
        <w:ind w:left="720"/>
        <w:rPr>
          <w:rFonts w:cs="Tahoma"/>
        </w:rPr>
      </w:pPr>
      <w:r w:rsidRPr="000A1C8E">
        <w:rPr>
          <w:rFonts w:eastAsia="Calibri" w:cs="Tahoma"/>
          <w:b/>
          <w:color w:val="000000"/>
          <w:szCs w:val="18"/>
        </w:rPr>
        <w:lastRenderedPageBreak/>
        <w:t>Nuvem da Comunidade do Governo (Apenas para os Estados Unidos)</w:t>
      </w:r>
    </w:p>
    <w:p w:rsidR="00702931" w:rsidRPr="000A1C8E" w:rsidRDefault="00702931" w:rsidP="00702931">
      <w:pPr>
        <w:ind w:left="720"/>
        <w:rPr>
          <w:rFonts w:cs="Tahoma"/>
        </w:rPr>
      </w:pPr>
      <w:r w:rsidRPr="000A1C8E">
        <w:rPr>
          <w:rFonts w:eastAsia="Calibri" w:cs="Tahoma"/>
          <w:color w:val="000000"/>
          <w:szCs w:val="18"/>
        </w:rPr>
        <w:t>Alguns serviços online na família de produtos do Office 365 (incluindo Exchange Online Plano 1) são oferecidos como serviços de nuvem da comunidade do governo e serviços de nuvem da comunidade não governamental.</w:t>
      </w:r>
      <w:r w:rsidR="00DC6D8B" w:rsidRPr="000A1C8E">
        <w:rPr>
          <w:rFonts w:eastAsia="Calibri" w:cs="Tahoma"/>
          <w:color w:val="000000"/>
          <w:szCs w:val="18"/>
        </w:rPr>
        <w:t xml:space="preserve"> </w:t>
      </w:r>
      <w:r w:rsidRPr="000A1C8E">
        <w:rPr>
          <w:rFonts w:eastAsia="Calibri" w:cs="Tahoma"/>
          <w:color w:val="000000"/>
          <w:szCs w:val="18"/>
        </w:rPr>
        <w:t>Os clientes podem ser provisionados como um ou outro, mas não com uma mistura dos dois.</w:t>
      </w:r>
      <w:r w:rsidR="00DC6D8B" w:rsidRPr="000A1C8E">
        <w:rPr>
          <w:rFonts w:eastAsia="Calibri" w:cs="Tahoma"/>
          <w:color w:val="000000"/>
          <w:szCs w:val="18"/>
        </w:rPr>
        <w:t xml:space="preserve"> </w:t>
      </w:r>
      <w:r w:rsidRPr="000A1C8E">
        <w:rPr>
          <w:rFonts w:eastAsia="Calibri" w:cs="Tahoma"/>
          <w:color w:val="000000"/>
          <w:szCs w:val="18"/>
        </w:rPr>
        <w:t>Os Serviços Online projetados como nuvem de comunidade do governo não podem ser implantados no mesmo domínio que os serviços de nuvem da comunidade não governamental específicos.</w:t>
      </w:r>
      <w:r w:rsidR="00DC6D8B" w:rsidRPr="000A1C8E">
        <w:rPr>
          <w:rFonts w:eastAsia="Calibri" w:cs="Tahoma"/>
          <w:color w:val="000000"/>
          <w:szCs w:val="18"/>
        </w:rPr>
        <w:t xml:space="preserve"> </w:t>
      </w:r>
      <w:r w:rsidRPr="000A1C8E">
        <w:rPr>
          <w:rFonts w:eastAsia="Calibri" w:cs="Tahoma"/>
          <w:color w:val="000000"/>
          <w:szCs w:val="18"/>
        </w:rPr>
        <w:t>Esta limitação se estende a qualquer serviço online que faça parte da família de produtos do Office 365, incluindo Exchange Online, SharePoint Online e Lync Online.</w:t>
      </w:r>
      <w:r w:rsidR="00DC6D8B" w:rsidRPr="000A1C8E">
        <w:rPr>
          <w:rFonts w:eastAsia="Calibri" w:cs="Tahoma"/>
          <w:color w:val="000000"/>
          <w:szCs w:val="18"/>
        </w:rPr>
        <w:t xml:space="preserve"> </w:t>
      </w:r>
    </w:p>
    <w:p w:rsidR="00702931" w:rsidRPr="000A1C8E" w:rsidRDefault="00702931" w:rsidP="00702931">
      <w:pPr>
        <w:ind w:left="720"/>
        <w:rPr>
          <w:rFonts w:cs="Tahoma"/>
        </w:rPr>
      </w:pPr>
    </w:p>
    <w:p w:rsidR="00702931" w:rsidRPr="000A1C8E" w:rsidRDefault="00702931" w:rsidP="00702931">
      <w:pPr>
        <w:ind w:left="720"/>
        <w:rPr>
          <w:rFonts w:cs="Tahoma"/>
        </w:rPr>
      </w:pPr>
      <w:r w:rsidRPr="000A1C8E">
        <w:rPr>
          <w:rFonts w:eastAsia="Calibri" w:cs="Tahoma"/>
          <w:color w:val="000000"/>
          <w:szCs w:val="18"/>
        </w:rPr>
        <w:t>Assim que um serviço online é provisionado na nuvem de comunidade do governo, ele permanecerá lá pela duração da vigência da assinatura.</w:t>
      </w:r>
      <w:r w:rsidR="00DC6D8B" w:rsidRPr="000A1C8E">
        <w:rPr>
          <w:rFonts w:eastAsia="Calibri" w:cs="Tahoma"/>
          <w:color w:val="000000"/>
          <w:szCs w:val="18"/>
        </w:rPr>
        <w:t xml:space="preserve"> </w:t>
      </w:r>
      <w:r w:rsidRPr="000A1C8E">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C6D8B" w:rsidRPr="000A1C8E">
        <w:rPr>
          <w:rFonts w:eastAsia="Calibri" w:cs="Tahoma"/>
          <w:color w:val="000000"/>
          <w:szCs w:val="18"/>
        </w:rPr>
        <w:t xml:space="preserve"> </w:t>
      </w:r>
      <w:r w:rsidRPr="000A1C8E">
        <w:rPr>
          <w:rFonts w:eastAsia="Calibri" w:cs="Tahoma"/>
          <w:color w:val="000000"/>
          <w:szCs w:val="18"/>
        </w:rPr>
        <w:t>Os Direitos de Uso para serviços de nuvem da comunidade do governo são equivalentes àqueles dos seus diversos locatários padrão.</w:t>
      </w:r>
      <w:r w:rsidR="00DC6D8B" w:rsidRPr="000A1C8E">
        <w:rPr>
          <w:rFonts w:eastAsia="Calibri" w:cs="Tahoma"/>
          <w:color w:val="000000"/>
          <w:szCs w:val="18"/>
        </w:rPr>
        <w:t xml:space="preserve"> </w:t>
      </w:r>
    </w:p>
    <w:p w:rsidR="00B23BE6" w:rsidRPr="000A1C8E" w:rsidRDefault="00B23BE6" w:rsidP="00A61080">
      <w:pPr>
        <w:ind w:left="720"/>
        <w:rPr>
          <w:rFonts w:cs="Tahoma"/>
        </w:rPr>
      </w:pPr>
    </w:p>
    <w:p w:rsidR="00D70D2C" w:rsidRPr="000A1C8E" w:rsidRDefault="00D70D2C" w:rsidP="00A61080">
      <w:pPr>
        <w:ind w:left="720"/>
        <w:rPr>
          <w:rFonts w:cs="Tahoma"/>
        </w:rPr>
      </w:pPr>
    </w:p>
    <w:p w:rsidR="00D70D2C" w:rsidRPr="000A1C8E" w:rsidRDefault="00A560B6" w:rsidP="00D70D2C">
      <w:pPr>
        <w:pStyle w:val="Heading2"/>
        <w:ind w:left="0"/>
        <w:rPr>
          <w:rFonts w:ascii="Tahoma" w:hAnsi="Tahoma" w:cs="Tahoma"/>
        </w:rPr>
      </w:pPr>
      <w:bookmarkStart w:id="1278" w:name="_49_Exchange_Online"/>
      <w:bookmarkStart w:id="1279" w:name="_55_Exchange_Online"/>
      <w:bookmarkStart w:id="1280" w:name="_Toc361829399"/>
      <w:bookmarkStart w:id="1281" w:name="Srv_50ExchangeOnlinePlan2"/>
      <w:bookmarkEnd w:id="1278"/>
      <w:bookmarkEnd w:id="1279"/>
      <w:r w:rsidRPr="000A1C8E">
        <w:rPr>
          <w:rFonts w:ascii="Tahoma" w:hAnsi="Tahoma" w:cs="Tahoma"/>
          <w:caps/>
          <w:color w:val="F66400"/>
          <w:sz w:val="22"/>
          <w:szCs w:val="20"/>
          <w:vertAlign w:val="superscript"/>
        </w:rPr>
        <w:t>56</w:t>
      </w:r>
      <w:r w:rsidRPr="000A1C8E">
        <w:rPr>
          <w:rFonts w:ascii="Tahoma" w:hAnsi="Tahoma" w:cs="Tahoma"/>
          <w:color w:val="F66400"/>
          <w:sz w:val="22"/>
          <w:szCs w:val="20"/>
        </w:rPr>
        <w:t xml:space="preserve"> Exchange Online Plano 2</w:t>
      </w:r>
      <w:bookmarkEnd w:id="1280"/>
    </w:p>
    <w:bookmarkEnd w:id="1281"/>
    <w:p w:rsidR="00D70D2C" w:rsidRPr="000A1C8E" w:rsidRDefault="00D70D2C" w:rsidP="00D70D2C">
      <w:pPr>
        <w:outlineLvl w:val="2"/>
        <w:rPr>
          <w:rFonts w:cs="Tahoma"/>
        </w:rPr>
      </w:pPr>
    </w:p>
    <w:p w:rsidR="00D70D2C" w:rsidRPr="000A1C8E" w:rsidRDefault="00D70D2C" w:rsidP="00D70D2C">
      <w:pPr>
        <w:pStyle w:val="ListParagraph"/>
        <w:rPr>
          <w:rFonts w:ascii="Tahoma" w:hAnsi="Tahoma" w:cs="Tahoma"/>
        </w:rPr>
      </w:pPr>
      <w:r w:rsidRPr="000A1C8E">
        <w:rPr>
          <w:rFonts w:ascii="Tahoma" w:hAnsi="Tahoma" w:cs="Tahoma"/>
          <w:color w:val="000000"/>
          <w:sz w:val="18"/>
          <w:szCs w:val="18"/>
        </w:rPr>
        <w:t>O Exchange Online Plano 2 é um serviço online sucessor do Exchange Hosted Archive.</w:t>
      </w:r>
    </w:p>
    <w:p w:rsidR="00D70D2C" w:rsidRPr="000A1C8E" w:rsidRDefault="00D70D2C" w:rsidP="00D70D2C">
      <w:pPr>
        <w:pStyle w:val="ListParagraph"/>
        <w:rPr>
          <w:rFonts w:ascii="Tahoma" w:hAnsi="Tahoma" w:cs="Tahoma"/>
        </w:rPr>
      </w:pPr>
    </w:p>
    <w:p w:rsidR="00D70D2C" w:rsidRPr="000A1C8E" w:rsidRDefault="00D70D2C" w:rsidP="00D70D2C">
      <w:pPr>
        <w:ind w:left="720"/>
        <w:rPr>
          <w:rFonts w:cs="Tahoma"/>
        </w:rPr>
      </w:pPr>
      <w:r w:rsidRPr="000A1C8E">
        <w:rPr>
          <w:rFonts w:cs="Tahoma"/>
          <w:color w:val="000000"/>
          <w:szCs w:val="18"/>
        </w:rPr>
        <w:t>Se você renovar a partir do Exchange Hosted Archive no Exchange Online Plano 2 e ainda não tiver migrado para o Exchange Online Plano 2,</w:t>
      </w:r>
      <w:r w:rsidRPr="000A1C8E">
        <w:rPr>
          <w:rFonts w:cs="Tahoma"/>
          <w:color w:val="000000"/>
        </w:rPr>
        <w:t xml:space="preserve"> seus usuários licenciados poderão continuar usando o serviço Exchange Hosted Archive sujeito aos termos do PUR de março de 2011 antes da migração para o Exchange Online Plano 2 e a expiração da sua assinatura do Exchange Online Plano 2.</w:t>
      </w:r>
    </w:p>
    <w:p w:rsidR="00702931" w:rsidRPr="000A1C8E" w:rsidRDefault="00702931" w:rsidP="00D70D2C">
      <w:pPr>
        <w:ind w:left="720"/>
        <w:rPr>
          <w:rFonts w:cs="Tahoma"/>
        </w:rPr>
      </w:pPr>
    </w:p>
    <w:p w:rsidR="00702931" w:rsidRPr="000A1C8E" w:rsidRDefault="00702931" w:rsidP="0067725A">
      <w:pPr>
        <w:spacing w:after="60"/>
        <w:ind w:left="720"/>
        <w:rPr>
          <w:rFonts w:cs="Tahoma"/>
        </w:rPr>
      </w:pPr>
      <w:r w:rsidRPr="000A1C8E">
        <w:rPr>
          <w:rFonts w:eastAsia="Calibri" w:cs="Tahoma"/>
          <w:b/>
          <w:color w:val="000000"/>
          <w:szCs w:val="18"/>
        </w:rPr>
        <w:t>Nuvem da Comunidade do Governo (Apenas para os Estados Unidos)</w:t>
      </w:r>
    </w:p>
    <w:p w:rsidR="00702931" w:rsidRPr="000A1C8E" w:rsidRDefault="00702931" w:rsidP="00702931">
      <w:pPr>
        <w:ind w:left="720"/>
        <w:rPr>
          <w:rFonts w:cs="Tahoma"/>
        </w:rPr>
      </w:pPr>
      <w:r w:rsidRPr="000A1C8E">
        <w:rPr>
          <w:rFonts w:eastAsia="Calibri" w:cs="Tahoma"/>
          <w:color w:val="000000"/>
          <w:szCs w:val="18"/>
        </w:rPr>
        <w:t>Alguns serviços online na família de produtos do Office 365 (incluindo Exchange Online Plano 2) são oferecidos como serviços de nuvem da comunidade do governo e serviços de nuvem da comunidade não governamental.</w:t>
      </w:r>
      <w:r w:rsidR="00DC6D8B" w:rsidRPr="000A1C8E">
        <w:rPr>
          <w:rFonts w:eastAsia="Calibri" w:cs="Tahoma"/>
          <w:color w:val="000000"/>
          <w:szCs w:val="18"/>
        </w:rPr>
        <w:t xml:space="preserve"> </w:t>
      </w:r>
      <w:r w:rsidRPr="000A1C8E">
        <w:rPr>
          <w:rFonts w:eastAsia="Calibri" w:cs="Tahoma"/>
          <w:color w:val="000000"/>
          <w:szCs w:val="18"/>
        </w:rPr>
        <w:t>Os clientes podem ser provisionados como um ou outro, mas não com uma mistura dos dois.</w:t>
      </w:r>
      <w:r w:rsidR="00DC6D8B" w:rsidRPr="000A1C8E">
        <w:rPr>
          <w:rFonts w:eastAsia="Calibri" w:cs="Tahoma"/>
          <w:color w:val="000000"/>
          <w:szCs w:val="18"/>
        </w:rPr>
        <w:t xml:space="preserve"> </w:t>
      </w:r>
      <w:r w:rsidRPr="000A1C8E">
        <w:rPr>
          <w:rFonts w:eastAsia="Calibri" w:cs="Tahoma"/>
          <w:color w:val="000000"/>
          <w:szCs w:val="18"/>
        </w:rPr>
        <w:t>Os Serviços Online projetados como nuvem de comunidade do governo não podem ser implantados no mesmo domínio que os serviços de nuvem da comunidade não governamental específicos.</w:t>
      </w:r>
      <w:r w:rsidR="00DC6D8B" w:rsidRPr="000A1C8E">
        <w:rPr>
          <w:rFonts w:eastAsia="Calibri" w:cs="Tahoma"/>
          <w:color w:val="000000"/>
          <w:szCs w:val="18"/>
        </w:rPr>
        <w:t xml:space="preserve"> </w:t>
      </w:r>
      <w:r w:rsidRPr="000A1C8E">
        <w:rPr>
          <w:rFonts w:eastAsia="Calibri" w:cs="Tahoma"/>
          <w:color w:val="000000"/>
          <w:szCs w:val="18"/>
        </w:rPr>
        <w:t>Esta limitação se estende a qualquer serviço online que faça parte da família de produtos do Office 365, incluindo Exchange Online, SharePoint Online e Lync Online.</w:t>
      </w:r>
      <w:r w:rsidR="00DC6D8B" w:rsidRPr="000A1C8E">
        <w:rPr>
          <w:rFonts w:eastAsia="Calibri" w:cs="Tahoma"/>
          <w:color w:val="000000"/>
          <w:szCs w:val="18"/>
        </w:rPr>
        <w:t xml:space="preserve"> </w:t>
      </w:r>
    </w:p>
    <w:p w:rsidR="00702931" w:rsidRPr="000A1C8E" w:rsidRDefault="00702931" w:rsidP="00702931">
      <w:pPr>
        <w:ind w:left="720"/>
        <w:rPr>
          <w:rFonts w:cs="Tahoma"/>
        </w:rPr>
      </w:pPr>
    </w:p>
    <w:p w:rsidR="00B2460D" w:rsidRPr="000A1C8E" w:rsidRDefault="00702931" w:rsidP="00697E59">
      <w:pPr>
        <w:ind w:left="720"/>
        <w:rPr>
          <w:rFonts w:cs="Tahoma"/>
        </w:rPr>
      </w:pPr>
      <w:r w:rsidRPr="000A1C8E">
        <w:rPr>
          <w:rFonts w:eastAsia="Calibri" w:cs="Tahoma"/>
          <w:color w:val="000000"/>
          <w:szCs w:val="18"/>
        </w:rPr>
        <w:t>Assim que um serviço online é provisionado na nuvem de comunidade do governo, ele permanecerá lá pela duração da vigência da assinatura.</w:t>
      </w:r>
      <w:r w:rsidR="00DC6D8B" w:rsidRPr="000A1C8E">
        <w:rPr>
          <w:rFonts w:eastAsia="Calibri" w:cs="Tahoma"/>
          <w:color w:val="000000"/>
          <w:szCs w:val="18"/>
        </w:rPr>
        <w:t xml:space="preserve"> </w:t>
      </w:r>
      <w:r w:rsidRPr="000A1C8E">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C6D8B" w:rsidRPr="000A1C8E">
        <w:rPr>
          <w:rFonts w:eastAsia="Calibri" w:cs="Tahoma"/>
          <w:color w:val="000000"/>
          <w:szCs w:val="18"/>
        </w:rPr>
        <w:t xml:space="preserve"> </w:t>
      </w:r>
      <w:r w:rsidRPr="000A1C8E">
        <w:rPr>
          <w:rFonts w:eastAsia="Calibri" w:cs="Tahoma"/>
          <w:color w:val="000000"/>
          <w:szCs w:val="18"/>
        </w:rPr>
        <w:t>Os Direitos de Uso para serviços de nuvem da comunidade do governo são equivalentes àqueles dos seus diversos locatários padrão.</w:t>
      </w:r>
      <w:r w:rsidR="00DC6D8B" w:rsidRPr="000A1C8E">
        <w:rPr>
          <w:rFonts w:eastAsia="Calibri" w:cs="Tahoma"/>
          <w:color w:val="000000"/>
          <w:szCs w:val="18"/>
        </w:rPr>
        <w:t xml:space="preserve"> </w:t>
      </w:r>
      <w:bookmarkStart w:id="1282" w:name="_51_Exchange_Server"/>
      <w:bookmarkEnd w:id="1270"/>
      <w:bookmarkEnd w:id="1276"/>
      <w:bookmarkEnd w:id="1277"/>
      <w:bookmarkEnd w:id="1282"/>
    </w:p>
    <w:p w:rsidR="00023FE7" w:rsidRPr="000A1C8E" w:rsidRDefault="00023FE7" w:rsidP="00C066F9">
      <w:pPr>
        <w:pStyle w:val="EndnoteText"/>
        <w:ind w:left="1620" w:hanging="900"/>
        <w:rPr>
          <w:rFonts w:ascii="Tahoma" w:hAnsi="Tahoma" w:cs="Tahoma"/>
        </w:rPr>
      </w:pPr>
      <w:bookmarkStart w:id="1283" w:name="Srv_43ExchangeSvr2010"/>
    </w:p>
    <w:p w:rsidR="00C066F9" w:rsidRPr="000A1C8E" w:rsidRDefault="00C066F9" w:rsidP="00C066F9">
      <w:pPr>
        <w:pStyle w:val="EndnoteText"/>
        <w:ind w:left="1620" w:hanging="900"/>
        <w:rPr>
          <w:rFonts w:ascii="Tahoma" w:hAnsi="Tahoma" w:cs="Tahoma"/>
        </w:rPr>
      </w:pPr>
    </w:p>
    <w:p w:rsidR="00453CAC" w:rsidRPr="000A1C8E" w:rsidRDefault="00A560B6" w:rsidP="009D3013">
      <w:pPr>
        <w:pStyle w:val="Heading2"/>
        <w:ind w:left="0"/>
        <w:rPr>
          <w:rFonts w:ascii="Tahoma" w:hAnsi="Tahoma" w:cs="Tahoma"/>
        </w:rPr>
      </w:pPr>
      <w:bookmarkStart w:id="1284" w:name="_49_Exchange_Server"/>
      <w:bookmarkStart w:id="1285" w:name="_51_50_Exchange"/>
      <w:bookmarkStart w:id="1286" w:name="_56_Exchange_Online"/>
      <w:bookmarkStart w:id="1287" w:name="_57_Exchange_Online"/>
      <w:bookmarkStart w:id="1288" w:name="_Toc361829400"/>
      <w:bookmarkStart w:id="1289" w:name="_Toc336338311"/>
      <w:bookmarkStart w:id="1290" w:name="Srv_50ExchangeServer2010StdCAL"/>
      <w:bookmarkEnd w:id="1283"/>
      <w:bookmarkEnd w:id="1284"/>
      <w:bookmarkEnd w:id="1285"/>
      <w:bookmarkEnd w:id="1286"/>
      <w:bookmarkEnd w:id="1287"/>
      <w:r w:rsidRPr="000A1C8E">
        <w:rPr>
          <w:rFonts w:ascii="Tahoma" w:hAnsi="Tahoma" w:cs="Tahoma"/>
          <w:caps/>
          <w:color w:val="FA6500"/>
          <w:sz w:val="22"/>
          <w:vertAlign w:val="superscript"/>
        </w:rPr>
        <w:t xml:space="preserve">57 </w:t>
      </w:r>
      <w:r w:rsidRPr="000A1C8E">
        <w:rPr>
          <w:rFonts w:ascii="Tahoma" w:hAnsi="Tahoma" w:cs="Tahoma"/>
          <w:color w:val="F66400"/>
          <w:sz w:val="22"/>
          <w:szCs w:val="20"/>
        </w:rPr>
        <w:t>Exchange Online Protection (SL de Usuário)</w:t>
      </w:r>
      <w:bookmarkEnd w:id="1288"/>
    </w:p>
    <w:p w:rsidR="00453CAC" w:rsidRPr="000A1C8E" w:rsidRDefault="00453CAC" w:rsidP="00453CAC">
      <w:pPr>
        <w:ind w:left="720"/>
        <w:rPr>
          <w:rFonts w:cs="Tahoma"/>
        </w:rPr>
      </w:pPr>
    </w:p>
    <w:p w:rsidR="007D4770" w:rsidRPr="000A1C8E" w:rsidRDefault="007D4770" w:rsidP="00453CAC">
      <w:pPr>
        <w:ind w:left="720"/>
        <w:rPr>
          <w:rFonts w:cs="Tahoma"/>
        </w:rPr>
      </w:pPr>
      <w:r w:rsidRPr="000A1C8E">
        <w:rPr>
          <w:rFonts w:cs="Tahoma"/>
          <w:color w:val="444444"/>
          <w:szCs w:val="18"/>
        </w:rPr>
        <w:t>Como esse serviço online é provisionado por domínio, todos os usuários em qualquer domínio coberto precisarão de SLs de Usuário.</w:t>
      </w:r>
      <w:r w:rsidR="00DC6D8B" w:rsidRPr="000A1C8E">
        <w:rPr>
          <w:rFonts w:cs="Tahoma"/>
          <w:color w:val="444444"/>
          <w:szCs w:val="18"/>
        </w:rPr>
        <w:t xml:space="preserve"> </w:t>
      </w:r>
      <w:r w:rsidRPr="000A1C8E">
        <w:rPr>
          <w:rFonts w:cs="Tahoma"/>
          <w:color w:val="444444"/>
          <w:szCs w:val="18"/>
        </w:rPr>
        <w:t>Os clientes que desejarem o serviço para um subconjunto de sua base de usuários poderão criar subdomínios para um provisionamento mais direcionado.</w:t>
      </w:r>
      <w:r w:rsidR="00DC6D8B" w:rsidRPr="000A1C8E">
        <w:rPr>
          <w:rFonts w:cs="Tahoma"/>
          <w:color w:val="444444"/>
          <w:szCs w:val="18"/>
        </w:rPr>
        <w:t xml:space="preserve"> </w:t>
      </w:r>
      <w:r w:rsidRPr="000A1C8E">
        <w:rPr>
          <w:rFonts w:cs="Tahoma"/>
          <w:color w:val="444444"/>
          <w:szCs w:val="18"/>
        </w:rPr>
        <w:t>Somente os usuários no subdomínio coberto precisarão de SLs de Usuário.</w:t>
      </w:r>
    </w:p>
    <w:p w:rsidR="005D484B" w:rsidRPr="000A1C8E" w:rsidRDefault="005D484B" w:rsidP="00453CAC">
      <w:pPr>
        <w:ind w:left="720"/>
        <w:rPr>
          <w:rFonts w:cs="Tahoma"/>
        </w:rPr>
      </w:pPr>
    </w:p>
    <w:p w:rsidR="005D484B" w:rsidRPr="000A1C8E" w:rsidRDefault="005D484B" w:rsidP="005D484B">
      <w:pPr>
        <w:ind w:left="720"/>
        <w:rPr>
          <w:rFonts w:cs="Tahoma"/>
        </w:rPr>
      </w:pPr>
      <w:r w:rsidRPr="000A1C8E">
        <w:rPr>
          <w:rFonts w:cs="Tahoma"/>
          <w:szCs w:val="18"/>
        </w:rPr>
        <w:t>Instituições Acadêmicas sob o Enrollment for Education Solutions e Contrato Open Value Subscription para Education Solutions, licenciadas para o Pacote de CALs Empresariais ou CAL Empresarial com Serviços, com cobertura ativa do Software Assurance, são totalmente licenciadas para Exchange Online Protection, independentemente do seu número de licenças de Pacote de CAL Empresarial ou CAL Empresarial do Exchange com Serviços.</w:t>
      </w:r>
      <w:r w:rsidR="00DC6D8B" w:rsidRPr="000A1C8E">
        <w:rPr>
          <w:rFonts w:cs="Tahoma"/>
          <w:szCs w:val="18"/>
        </w:rPr>
        <w:t xml:space="preserve"> </w:t>
      </w:r>
      <w:r w:rsidRPr="000A1C8E">
        <w:rPr>
          <w:rFonts w:cs="Tahoma"/>
          <w:szCs w:val="18"/>
        </w:rPr>
        <w:t>Consulte as notas do produto do Pacote de CAL Empresarial ou CAL Empresarial do Exchange com Serviços para obter orientações sobre provisionamento.</w:t>
      </w:r>
    </w:p>
    <w:p w:rsidR="00453CAC" w:rsidRPr="000A1C8E" w:rsidRDefault="00453CAC" w:rsidP="00453CAC">
      <w:pPr>
        <w:pStyle w:val="EndnoteText"/>
        <w:ind w:hanging="900"/>
        <w:rPr>
          <w:rFonts w:ascii="Tahoma" w:hAnsi="Tahoma" w:cs="Tahoma"/>
        </w:rPr>
      </w:pPr>
    </w:p>
    <w:p w:rsidR="009D3013" w:rsidRPr="000A1C8E" w:rsidRDefault="00A560B6" w:rsidP="009D3013">
      <w:pPr>
        <w:pStyle w:val="Heading2"/>
        <w:ind w:left="0"/>
        <w:rPr>
          <w:rFonts w:ascii="Tahoma" w:hAnsi="Tahoma" w:cs="Tahoma"/>
        </w:rPr>
      </w:pPr>
      <w:bookmarkStart w:id="1291" w:name="_52_51_Exchange"/>
      <w:bookmarkStart w:id="1292" w:name="_57_Exchange_Server"/>
      <w:bookmarkStart w:id="1293" w:name="_Toc361829401"/>
      <w:bookmarkEnd w:id="1291"/>
      <w:bookmarkEnd w:id="1292"/>
      <w:r w:rsidRPr="000A1C8E">
        <w:rPr>
          <w:rFonts w:ascii="Tahoma" w:hAnsi="Tahoma" w:cs="Tahoma"/>
          <w:caps/>
          <w:color w:val="FA6500"/>
          <w:sz w:val="22"/>
          <w:vertAlign w:val="superscript"/>
        </w:rPr>
        <w:lastRenderedPageBreak/>
        <w:t xml:space="preserve">58 </w:t>
      </w:r>
      <w:r w:rsidRPr="000A1C8E">
        <w:rPr>
          <w:rFonts w:ascii="Tahoma" w:hAnsi="Tahoma" w:cs="Tahoma"/>
          <w:color w:val="FA6500"/>
          <w:sz w:val="22"/>
        </w:rPr>
        <w:t xml:space="preserve">Exchange Server 2013 Enterprise e </w:t>
      </w:r>
      <w:bookmarkEnd w:id="1289"/>
      <w:r w:rsidRPr="000A1C8E">
        <w:rPr>
          <w:rFonts w:ascii="Tahoma" w:hAnsi="Tahoma" w:cs="Tahoma"/>
          <w:color w:val="FA6500"/>
          <w:sz w:val="22"/>
        </w:rPr>
        <w:t>Standard Editions</w:t>
      </w:r>
      <w:bookmarkEnd w:id="1293"/>
    </w:p>
    <w:p w:rsidR="009D3013" w:rsidRPr="000A1C8E" w:rsidRDefault="009D3013" w:rsidP="009D3013">
      <w:pPr>
        <w:ind w:left="720"/>
        <w:rPr>
          <w:rFonts w:cs="Tahoma"/>
        </w:rPr>
      </w:pPr>
    </w:p>
    <w:p w:rsidR="009D3013" w:rsidRPr="000A1C8E" w:rsidRDefault="009D3013" w:rsidP="009D3013">
      <w:pPr>
        <w:ind w:left="720"/>
        <w:rPr>
          <w:rFonts w:cs="Tahoma"/>
        </w:rPr>
      </w:pPr>
      <w:r w:rsidRPr="000A1C8E">
        <w:rPr>
          <w:rFonts w:cs="Tahoma"/>
          <w:color w:val="000000"/>
          <w:szCs w:val="18"/>
        </w:rPr>
        <w:t>Exchange Server 2013 é a versão mais recente do Exchange Server.</w:t>
      </w:r>
    </w:p>
    <w:p w:rsidR="009D3013" w:rsidRPr="000A1C8E" w:rsidRDefault="009D3013" w:rsidP="0067725A">
      <w:pPr>
        <w:rPr>
          <w:rFonts w:cs="Tahoma"/>
        </w:rPr>
      </w:pPr>
    </w:p>
    <w:p w:rsidR="009D3013" w:rsidRPr="000A1C8E" w:rsidRDefault="009D3013" w:rsidP="0067725A">
      <w:pPr>
        <w:spacing w:after="60"/>
        <w:ind w:left="720"/>
        <w:rPr>
          <w:rFonts w:cs="Tahoma"/>
        </w:rPr>
      </w:pPr>
      <w:r w:rsidRPr="000A1C8E">
        <w:rPr>
          <w:rFonts w:cs="Tahoma"/>
          <w:b/>
          <w:color w:val="000000"/>
          <w:szCs w:val="18"/>
        </w:rPr>
        <w:t>Outorga de Licença para Clientes do External Connector do Exchange Server 2010</w:t>
      </w:r>
    </w:p>
    <w:p w:rsidR="009D3013" w:rsidRPr="000A1C8E" w:rsidRDefault="009D3013" w:rsidP="0067725A">
      <w:pPr>
        <w:ind w:left="720"/>
        <w:rPr>
          <w:rFonts w:cs="Tahoma"/>
        </w:rPr>
      </w:pPr>
      <w:r w:rsidRPr="000A1C8E">
        <w:rPr>
          <w:rFonts w:cs="Tahoma"/>
          <w:color w:val="000000"/>
          <w:szCs w:val="18"/>
        </w:rPr>
        <w:t xml:space="preserve">A versão 2010 do External Connector License </w:t>
      </w:r>
      <w:bookmarkStart w:id="1294" w:name="Srv_42ExchangeSvr07"/>
      <w:bookmarkStart w:id="1295" w:name="Srv_48ExchangeSvr2010"/>
      <w:r w:rsidRPr="000A1C8E">
        <w:rPr>
          <w:rFonts w:cs="Tahoma"/>
          <w:color w:val="000000"/>
          <w:szCs w:val="18"/>
        </w:rPr>
        <w:t xml:space="preserve">do Exchange Server 2010 </w:t>
      </w:r>
      <w:bookmarkEnd w:id="1294"/>
      <w:bookmarkEnd w:id="1295"/>
      <w:r w:rsidRPr="000A1C8E">
        <w:rPr>
          <w:rFonts w:cs="Tahoma"/>
          <w:color w:val="000000"/>
          <w:szCs w:val="18"/>
        </w:rPr>
        <w:t>é a versão final dessa licença.</w:t>
      </w:r>
      <w:r w:rsidR="00DC6D8B" w:rsidRPr="000A1C8E">
        <w:rPr>
          <w:rFonts w:cs="Tahoma"/>
          <w:color w:val="000000"/>
          <w:szCs w:val="18"/>
        </w:rPr>
        <w:t xml:space="preserve"> </w:t>
      </w:r>
      <w:r w:rsidRPr="000A1C8E">
        <w:rPr>
          <w:rFonts w:cs="Tahoma"/>
          <w:color w:val="000000"/>
          <w:szCs w:val="18"/>
        </w:rPr>
        <w:t>Tendo isso em vista, os clientes com External Connector Licenses do Exchange Server 2010 com cobertura do Software Assurance ativa a partir de 1º de outubro de 2012 estarão qualificados para a outorga de licença a seguir.</w:t>
      </w:r>
    </w:p>
    <w:p w:rsidR="009D3013" w:rsidRPr="000A1C8E" w:rsidRDefault="009D301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0A1C8E" w:rsidTr="002C3AB1">
        <w:trPr>
          <w:trHeight w:val="332"/>
        </w:trPr>
        <w:tc>
          <w:tcPr>
            <w:tcW w:w="4500" w:type="dxa"/>
            <w:shd w:val="clear" w:color="auto" w:fill="FABF8F"/>
          </w:tcPr>
          <w:p w:rsidR="009D3013" w:rsidRPr="000A1C8E" w:rsidRDefault="009D3013" w:rsidP="002C3AB1">
            <w:pPr>
              <w:rPr>
                <w:rFonts w:cs="Tahoma"/>
                <w:b/>
                <w:color w:val="000000"/>
                <w:szCs w:val="18"/>
              </w:rPr>
            </w:pPr>
            <w:r w:rsidRPr="000A1C8E">
              <w:rPr>
                <w:rFonts w:cs="Tahoma"/>
                <w:b/>
                <w:color w:val="000000"/>
                <w:szCs w:val="18"/>
              </w:rPr>
              <w:t>Licença Qualificada</w:t>
            </w:r>
          </w:p>
        </w:tc>
        <w:tc>
          <w:tcPr>
            <w:tcW w:w="3600" w:type="dxa"/>
            <w:shd w:val="clear" w:color="auto" w:fill="FABF8F"/>
          </w:tcPr>
          <w:p w:rsidR="009D3013" w:rsidRPr="000A1C8E" w:rsidRDefault="009D3013" w:rsidP="002C3AB1">
            <w:pPr>
              <w:rPr>
                <w:rFonts w:cs="Tahoma"/>
                <w:b/>
                <w:color w:val="000000"/>
                <w:szCs w:val="18"/>
              </w:rPr>
            </w:pPr>
            <w:r w:rsidRPr="000A1C8E">
              <w:rPr>
                <w:rFonts w:cs="Tahoma"/>
                <w:b/>
                <w:color w:val="000000"/>
                <w:szCs w:val="18"/>
              </w:rPr>
              <w:t>Licença Complementar e Benefícios</w:t>
            </w:r>
          </w:p>
        </w:tc>
      </w:tr>
      <w:tr w:rsidR="009D3013" w:rsidRPr="000A1C8E" w:rsidTr="002C3AB1">
        <w:trPr>
          <w:trHeight w:val="70"/>
        </w:trPr>
        <w:tc>
          <w:tcPr>
            <w:tcW w:w="4500" w:type="dxa"/>
            <w:shd w:val="clear" w:color="auto" w:fill="auto"/>
          </w:tcPr>
          <w:p w:rsidR="009D3013" w:rsidRPr="000A1C8E" w:rsidRDefault="009D3013" w:rsidP="003678D7">
            <w:pPr>
              <w:rPr>
                <w:rFonts w:cs="Tahoma"/>
                <w:color w:val="000000"/>
                <w:szCs w:val="18"/>
              </w:rPr>
            </w:pPr>
            <w:r w:rsidRPr="000A1C8E">
              <w:rPr>
                <w:rFonts w:cs="Tahoma"/>
                <w:color w:val="000000"/>
                <w:szCs w:val="18"/>
              </w:rPr>
              <w:t>Conector Externo do Exchange Server 2010 com Software Assurance ativo em 1º de outubro de 2012</w:t>
            </w:r>
          </w:p>
        </w:tc>
        <w:tc>
          <w:tcPr>
            <w:tcW w:w="3600" w:type="dxa"/>
            <w:shd w:val="clear" w:color="auto" w:fill="auto"/>
          </w:tcPr>
          <w:p w:rsidR="009D3013" w:rsidRPr="000A1C8E" w:rsidRDefault="009D3013" w:rsidP="002C3AB1">
            <w:pPr>
              <w:rPr>
                <w:rFonts w:cs="Tahoma"/>
                <w:color w:val="000000"/>
                <w:szCs w:val="18"/>
              </w:rPr>
            </w:pPr>
            <w:r w:rsidRPr="000A1C8E">
              <w:rPr>
                <w:rFonts w:cs="Tahoma"/>
                <w:color w:val="000000"/>
                <w:szCs w:val="18"/>
              </w:rPr>
              <w:t>Licença do Exchange Server 2013 Enterprise</w:t>
            </w:r>
          </w:p>
        </w:tc>
      </w:tr>
    </w:tbl>
    <w:p w:rsidR="009D3013" w:rsidRPr="000A1C8E" w:rsidRDefault="009D3013" w:rsidP="0067725A">
      <w:pPr>
        <w:rPr>
          <w:rFonts w:cs="Tahoma"/>
        </w:rPr>
      </w:pPr>
    </w:p>
    <w:p w:rsidR="009D3013" w:rsidRPr="000A1C8E" w:rsidRDefault="009D3013" w:rsidP="009D3013">
      <w:pPr>
        <w:ind w:left="720"/>
        <w:rPr>
          <w:rFonts w:cs="Tahoma"/>
        </w:rPr>
      </w:pPr>
      <w:r w:rsidRPr="000A1C8E">
        <w:rPr>
          <w:rFonts w:cs="Tahoma"/>
          <w:color w:val="000000"/>
          <w:szCs w:val="18"/>
        </w:rPr>
        <w:t>Os termos e as condições a seguir se aplicam à outorga de licença acima:</w:t>
      </w:r>
    </w:p>
    <w:p w:rsidR="009D3013" w:rsidRPr="000A1C8E" w:rsidRDefault="009D3013" w:rsidP="009D3013">
      <w:pPr>
        <w:ind w:left="720"/>
        <w:rPr>
          <w:rFonts w:cs="Tahoma"/>
        </w:rPr>
      </w:pPr>
    </w:p>
    <w:p w:rsidR="009D3013" w:rsidRPr="000A1C8E" w:rsidRDefault="009D3013" w:rsidP="00346F4B">
      <w:pPr>
        <w:numPr>
          <w:ilvl w:val="0"/>
          <w:numId w:val="101"/>
        </w:numPr>
        <w:spacing w:after="60"/>
        <w:ind w:left="1440"/>
        <w:rPr>
          <w:rFonts w:cs="Tahoma"/>
        </w:rPr>
      </w:pPr>
      <w:r w:rsidRPr="000A1C8E">
        <w:rPr>
          <w:rFonts w:cs="Tahoma"/>
          <w:bCs/>
          <w:color w:val="000000"/>
          <w:szCs w:val="18"/>
        </w:rPr>
        <w:t>Caminho de Migração</w:t>
      </w:r>
      <w:r w:rsidRPr="000A1C8E">
        <w:rPr>
          <w:rFonts w:cs="Tahoma"/>
          <w:color w:val="000000"/>
          <w:szCs w:val="18"/>
        </w:rPr>
        <w:t>: os clientes com cobertura do Software Assurance ativa para uma determinada Licença Qualificada a partir de 1º de outubro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DC6D8B" w:rsidRPr="000A1C8E">
        <w:rPr>
          <w:rFonts w:cs="Tahoma"/>
          <w:color w:val="000000"/>
          <w:szCs w:val="18"/>
        </w:rPr>
        <w:t xml:space="preserve"> </w:t>
      </w:r>
    </w:p>
    <w:p w:rsidR="009D3013" w:rsidRPr="000A1C8E" w:rsidRDefault="009D3013" w:rsidP="00D74211">
      <w:pPr>
        <w:numPr>
          <w:ilvl w:val="0"/>
          <w:numId w:val="101"/>
        </w:numPr>
        <w:spacing w:after="60"/>
        <w:ind w:left="1440"/>
        <w:rPr>
          <w:rFonts w:cs="Tahoma"/>
        </w:rPr>
      </w:pPr>
      <w:r w:rsidRPr="000A1C8E">
        <w:rPr>
          <w:rFonts w:cs="Tahoma"/>
          <w:color w:val="000000"/>
          <w:szCs w:val="18"/>
        </w:rPr>
        <w:t>Direitos de uso: O direito de usar o software sob as Licenças Complementares nessa oferta expirará quando o direito de usar o software sob as Licenças Qualificadas expirar.</w:t>
      </w:r>
      <w:r w:rsidR="00DC6D8B" w:rsidRPr="000A1C8E">
        <w:rPr>
          <w:rFonts w:cs="Tahoma"/>
          <w:color w:val="000000"/>
          <w:szCs w:val="18"/>
        </w:rPr>
        <w:t xml:space="preserve"> </w:t>
      </w:r>
      <w:r w:rsidRPr="000A1C8E">
        <w:rPr>
          <w:rFonts w:cs="Tahoma"/>
          <w:color w:val="000000"/>
          <w:szCs w:val="18"/>
        </w:rPr>
        <w:t>O uso desse software é regido pelos direitos de uso do software e pelos termos e condições do contrato de Licenciamento por Volume do cliente.</w:t>
      </w:r>
      <w:r w:rsidR="00DC6D8B" w:rsidRPr="000A1C8E">
        <w:rPr>
          <w:rFonts w:cs="Tahoma"/>
          <w:color w:val="000000"/>
          <w:szCs w:val="18"/>
        </w:rPr>
        <w:t xml:space="preserve"> </w:t>
      </w:r>
      <w:r w:rsidRPr="000A1C8E">
        <w:rPr>
          <w:rFonts w:cs="Tahoma"/>
          <w:color w:val="000000"/>
          <w:szCs w:val="18"/>
        </w:rPr>
        <w:t>Essa nota de condição do produto e a evidência do cliente da</w:t>
      </w:r>
      <w:r w:rsidR="00D74211" w:rsidRPr="000A1C8E">
        <w:rPr>
          <w:rFonts w:cs="Tahoma"/>
          <w:color w:val="000000"/>
          <w:szCs w:val="18"/>
        </w:rPr>
        <w:t> </w:t>
      </w:r>
      <w:r w:rsidRPr="000A1C8E">
        <w:rPr>
          <w:rFonts w:cs="Tahoma"/>
          <w:color w:val="000000"/>
          <w:szCs w:val="18"/>
        </w:rPr>
        <w:t>Licença Qualificada e do Software Assurance do cliente juntas comprovam o direito de usar o software sob a Licença Complementar nessa oferta.</w:t>
      </w:r>
      <w:r w:rsidR="00DC6D8B" w:rsidRPr="000A1C8E">
        <w:rPr>
          <w:rFonts w:cs="Tahoma"/>
          <w:color w:val="000000"/>
          <w:szCs w:val="18"/>
        </w:rPr>
        <w:t xml:space="preserve"> </w:t>
      </w:r>
    </w:p>
    <w:p w:rsidR="009D3013" w:rsidRPr="000A1C8E" w:rsidRDefault="009D3013" w:rsidP="00017C18">
      <w:pPr>
        <w:numPr>
          <w:ilvl w:val="0"/>
          <w:numId w:val="8"/>
        </w:numPr>
        <w:spacing w:after="60"/>
        <w:ind w:left="1440"/>
        <w:rPr>
          <w:rFonts w:cs="Tahoma"/>
        </w:rPr>
      </w:pPr>
      <w:r w:rsidRPr="000A1C8E">
        <w:rPr>
          <w:rFonts w:cs="Tahoma"/>
          <w:color w:val="000000"/>
          <w:szCs w:val="18"/>
        </w:rPr>
        <w:t>Licença e Software Assurance (L&amp;SA): A Licença Complementar inclui a cobertura do Software Assurance.</w:t>
      </w:r>
      <w:r w:rsidR="00DC6D8B" w:rsidRPr="000A1C8E">
        <w:rPr>
          <w:rFonts w:cs="Tahoma"/>
          <w:color w:val="000000"/>
          <w:szCs w:val="18"/>
        </w:rPr>
        <w:t xml:space="preserve"> </w:t>
      </w:r>
      <w:r w:rsidRPr="000A1C8E">
        <w:rPr>
          <w:rFonts w:cs="Tahoma"/>
          <w:color w:val="000000"/>
          <w:szCs w:val="18"/>
        </w:rPr>
        <w:t>A cobertura do Software Assurance sobre a Licença Complementar expirará quando a</w:t>
      </w:r>
      <w:r w:rsidR="00017C18" w:rsidRPr="000A1C8E">
        <w:rPr>
          <w:rFonts w:cs="Tahoma"/>
          <w:color w:val="000000"/>
          <w:szCs w:val="18"/>
        </w:rPr>
        <w:t> </w:t>
      </w:r>
      <w:r w:rsidRPr="000A1C8E">
        <w:rPr>
          <w:rFonts w:cs="Tahoma"/>
          <w:color w:val="000000"/>
          <w:szCs w:val="18"/>
        </w:rPr>
        <w:t>cobertura da Licença Qualificada expirar.</w:t>
      </w:r>
      <w:r w:rsidR="00DC6D8B" w:rsidRPr="000A1C8E">
        <w:rPr>
          <w:rFonts w:cs="Tahoma"/>
          <w:color w:val="000000"/>
          <w:szCs w:val="18"/>
        </w:rPr>
        <w:t xml:space="preserve"> </w:t>
      </w:r>
      <w:r w:rsidRPr="000A1C8E">
        <w:rPr>
          <w:rFonts w:cs="Tahoma"/>
          <w:color w:val="000000"/>
          <w:szCs w:val="18"/>
        </w:rPr>
        <w:t>No término da cobertura do Software Assurance para a</w:t>
      </w:r>
      <w:r w:rsidR="00017C18" w:rsidRPr="000A1C8E">
        <w:rPr>
          <w:rFonts w:cs="Tahoma"/>
          <w:color w:val="000000"/>
          <w:szCs w:val="18"/>
        </w:rPr>
        <w:t> </w:t>
      </w:r>
      <w:r w:rsidRPr="000A1C8E">
        <w:rPr>
          <w:rFonts w:cs="Tahoma"/>
          <w:color w:val="000000"/>
          <w:szCs w:val="18"/>
        </w:rPr>
        <w:t>Licença Qualificada, o cliente poderá renovar o Software Assurance para a Licença Complementar sem precisar adquirir uma nova licença separadamente.</w:t>
      </w:r>
    </w:p>
    <w:p w:rsidR="009D3013" w:rsidRPr="000A1C8E" w:rsidRDefault="009D3013" w:rsidP="00017C18">
      <w:pPr>
        <w:numPr>
          <w:ilvl w:val="0"/>
          <w:numId w:val="102"/>
        </w:numPr>
        <w:spacing w:after="60"/>
        <w:ind w:left="1440"/>
        <w:rPr>
          <w:rFonts w:cs="Tahoma"/>
        </w:rPr>
      </w:pPr>
      <w:r w:rsidRPr="000A1C8E">
        <w:rPr>
          <w:rFonts w:eastAsia="Calibri" w:cs="Tahoma"/>
          <w:color w:val="000000"/>
          <w:szCs w:val="18"/>
        </w:rPr>
        <w:t>Adequações (“true-ups”)</w:t>
      </w:r>
      <w:r w:rsidRPr="000A1C8E">
        <w:rPr>
          <w:rFonts w:eastAsia="Calibri" w:cs="Tahoma"/>
          <w:b/>
          <w:color w:val="000000"/>
          <w:szCs w:val="18"/>
        </w:rPr>
        <w:t>:</w:t>
      </w:r>
      <w:r w:rsidR="00DC6D8B" w:rsidRPr="000A1C8E">
        <w:rPr>
          <w:rFonts w:eastAsia="Calibri" w:cs="Tahoma"/>
          <w:color w:val="000000"/>
          <w:szCs w:val="18"/>
        </w:rPr>
        <w:t xml:space="preserve"> </w:t>
      </w:r>
      <w:r w:rsidRPr="000A1C8E">
        <w:rPr>
          <w:rFonts w:eastAsia="Calibri" w:cs="Tahoma"/>
          <w:color w:val="000000"/>
          <w:szCs w:val="18"/>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0A1C8E">
        <w:rPr>
          <w:rFonts w:cs="Tahoma"/>
          <w:color w:val="000000"/>
          <w:szCs w:val="18"/>
        </w:rPr>
        <w:t>anuais do</w:t>
      </w:r>
      <w:r w:rsidR="00017C18" w:rsidRPr="000A1C8E">
        <w:rPr>
          <w:rFonts w:cs="Tahoma"/>
          <w:color w:val="000000"/>
          <w:szCs w:val="18"/>
        </w:rPr>
        <w:t> </w:t>
      </w:r>
      <w:r w:rsidRPr="000A1C8E">
        <w:rPr>
          <w:rFonts w:cs="Tahoma"/>
          <w:color w:val="000000"/>
          <w:szCs w:val="18"/>
        </w:rPr>
        <w:t>cliente também são Licenças Qualificadas.</w:t>
      </w:r>
    </w:p>
    <w:p w:rsidR="009D3013" w:rsidRPr="000A1C8E" w:rsidRDefault="009D3013" w:rsidP="00346F4B">
      <w:pPr>
        <w:numPr>
          <w:ilvl w:val="0"/>
          <w:numId w:val="102"/>
        </w:numPr>
        <w:spacing w:after="60"/>
        <w:ind w:left="1440"/>
        <w:rPr>
          <w:rFonts w:cs="Tahoma"/>
          <w:spacing w:val="-2"/>
        </w:rPr>
      </w:pPr>
      <w:r w:rsidRPr="000A1C8E">
        <w:rPr>
          <w:rFonts w:cs="Tahoma"/>
          <w:color w:val="000000"/>
          <w:spacing w:val="-2"/>
          <w:szCs w:val="18"/>
        </w:rPr>
        <w:t>Contratos Subscription:</w:t>
      </w:r>
      <w:r w:rsidR="00DC6D8B" w:rsidRPr="000A1C8E">
        <w:rPr>
          <w:rFonts w:cs="Tahoma"/>
          <w:color w:val="000000"/>
          <w:spacing w:val="-2"/>
          <w:szCs w:val="18"/>
        </w:rPr>
        <w:t xml:space="preserve"> </w:t>
      </w:r>
      <w:r w:rsidRPr="000A1C8E">
        <w:rPr>
          <w:rFonts w:cs="Tahoma"/>
          <w:color w:val="000000"/>
          <w:spacing w:val="-2"/>
          <w:szCs w:val="18"/>
        </w:rPr>
        <w:t xml:space="preserve">Para Enterprise Subscription, </w:t>
      </w:r>
      <w:r w:rsidRPr="000A1C8E">
        <w:rPr>
          <w:rFonts w:cs="Tahoma"/>
          <w:spacing w:val="-2"/>
          <w:szCs w:val="18"/>
        </w:rPr>
        <w:t>Open Value Subscription, Campus e School, Enrollment for Education Solutions e Open Value Subscription – Education Solutions, os mesmos direitos serão outorgados temporariamente sob as mesmas condições</w:t>
      </w:r>
      <w:r w:rsidRPr="000A1C8E">
        <w:rPr>
          <w:rFonts w:cs="Tahoma"/>
          <w:color w:val="000000"/>
          <w:spacing w:val="-2"/>
          <w:szCs w:val="18"/>
        </w:rPr>
        <w:t xml:space="preserve"> até o final do prazo do registro atual (ou prazo do contrato no caso do Open Value).</w:t>
      </w:r>
      <w:r w:rsidR="00DC6D8B" w:rsidRPr="000A1C8E">
        <w:rPr>
          <w:rFonts w:cs="Tahoma"/>
          <w:color w:val="000000"/>
          <w:spacing w:val="-2"/>
          <w:szCs w:val="18"/>
        </w:rPr>
        <w:t xml:space="preserve"> </w:t>
      </w:r>
      <w:r w:rsidRPr="000A1C8E">
        <w:rPr>
          <w:rFonts w:cs="Tahoma"/>
          <w:color w:val="000000"/>
          <w:spacing w:val="-2"/>
          <w:szCs w:val="18"/>
        </w:rPr>
        <w:t>O cliente deverá manter uma cobertura contínua da assinatura.</w:t>
      </w:r>
      <w:r w:rsidR="00DC6D8B" w:rsidRPr="000A1C8E">
        <w:rPr>
          <w:rFonts w:cs="Tahoma"/>
          <w:color w:val="000000"/>
          <w:spacing w:val="-2"/>
          <w:szCs w:val="18"/>
        </w:rPr>
        <w:t xml:space="preserve"> </w:t>
      </w:r>
      <w:bookmarkStart w:id="1296" w:name="_Toc336338313"/>
      <w:r w:rsidRPr="000A1C8E">
        <w:rPr>
          <w:rFonts w:cs="Tahoma"/>
          <w:color w:val="000000"/>
          <w:spacing w:val="-2"/>
          <w:szCs w:val="18"/>
        </w:rPr>
        <w:t>Esses direitos só se tornarão permanentes se a opção de compra (“buy-out”) for exercida e continuarão sujeitos a todos os termos e condições do contrato de licença do cliente.</w:t>
      </w:r>
    </w:p>
    <w:p w:rsidR="009D3013" w:rsidRPr="000A1C8E" w:rsidRDefault="009D3013" w:rsidP="00346F4B">
      <w:pPr>
        <w:numPr>
          <w:ilvl w:val="0"/>
          <w:numId w:val="103"/>
        </w:numPr>
        <w:spacing w:after="60"/>
        <w:ind w:left="1440"/>
        <w:rPr>
          <w:rFonts w:cs="Tahoma"/>
        </w:rPr>
      </w:pPr>
      <w:r w:rsidRPr="000A1C8E">
        <w:rPr>
          <w:rFonts w:cs="Tahoma"/>
          <w:szCs w:val="18"/>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rsidR="009D3013" w:rsidRPr="005F1E76" w:rsidRDefault="009D3013" w:rsidP="00346F4B">
      <w:pPr>
        <w:pStyle w:val="ListParagraph"/>
        <w:numPr>
          <w:ilvl w:val="0"/>
          <w:numId w:val="87"/>
        </w:numPr>
        <w:spacing w:after="60"/>
        <w:ind w:left="1980"/>
        <w:contextualSpacing w:val="0"/>
        <w:rPr>
          <w:rFonts w:ascii="Tahoma" w:hAnsi="Tahoma" w:cs="Tahoma"/>
          <w:sz w:val="18"/>
          <w:szCs w:val="18"/>
        </w:rPr>
      </w:pPr>
      <w:r w:rsidRPr="005F1E76">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73424F" w:rsidRPr="005F1E76" w:rsidRDefault="0073424F" w:rsidP="00346F4B">
      <w:pPr>
        <w:pStyle w:val="ListParagraph"/>
        <w:numPr>
          <w:ilvl w:val="0"/>
          <w:numId w:val="87"/>
        </w:numPr>
        <w:spacing w:after="60"/>
        <w:ind w:left="1980"/>
        <w:contextualSpacing w:val="0"/>
        <w:rPr>
          <w:rFonts w:ascii="Tahoma" w:hAnsi="Tahoma" w:cs="Tahoma"/>
          <w:sz w:val="18"/>
          <w:szCs w:val="18"/>
        </w:rPr>
      </w:pPr>
      <w:r w:rsidRPr="005F1E76">
        <w:rPr>
          <w:rFonts w:ascii="Tahoma" w:hAnsi="Tahoma" w:cs="Tahoma"/>
          <w:sz w:val="18"/>
          <w:szCs w:val="18"/>
        </w:rPr>
        <w:t>Esses direitos só se tornarão permanentes se a opção de compra (“buy-out”) for exercida e continuarão sujeitos a todos os termos e condições do contrato de licença do cliente.</w:t>
      </w:r>
    </w:p>
    <w:p w:rsidR="004069A4" w:rsidRPr="000A1C8E" w:rsidRDefault="004069A4" w:rsidP="009D3013">
      <w:pPr>
        <w:pStyle w:val="EndnoteText"/>
        <w:ind w:left="540"/>
        <w:rPr>
          <w:rFonts w:ascii="Tahoma" w:hAnsi="Tahoma" w:cs="Tahoma"/>
        </w:rPr>
      </w:pPr>
    </w:p>
    <w:p w:rsidR="009D3013" w:rsidRPr="000A1C8E" w:rsidRDefault="009D3013" w:rsidP="009D3013">
      <w:pPr>
        <w:pStyle w:val="EndnoteText"/>
        <w:ind w:left="540"/>
        <w:rPr>
          <w:rFonts w:ascii="Tahoma" w:hAnsi="Tahoma" w:cs="Tahoma"/>
        </w:rPr>
      </w:pPr>
    </w:p>
    <w:p w:rsidR="00017C18" w:rsidRPr="000A1C8E" w:rsidRDefault="00017C18" w:rsidP="009D3013">
      <w:pPr>
        <w:pStyle w:val="EndnoteText"/>
        <w:ind w:left="540"/>
        <w:rPr>
          <w:rFonts w:ascii="Tahoma" w:hAnsi="Tahoma" w:cs="Tahoma"/>
        </w:rPr>
      </w:pPr>
    </w:p>
    <w:p w:rsidR="00017C18" w:rsidRPr="000A1C8E" w:rsidRDefault="00017C18" w:rsidP="009D3013">
      <w:pPr>
        <w:pStyle w:val="EndnoteText"/>
        <w:ind w:left="540"/>
        <w:rPr>
          <w:rFonts w:ascii="Tahoma" w:hAnsi="Tahoma" w:cs="Tahoma"/>
        </w:rPr>
      </w:pPr>
    </w:p>
    <w:p w:rsidR="004069A4" w:rsidRPr="000A1C8E" w:rsidRDefault="00A560B6" w:rsidP="004069A4">
      <w:pPr>
        <w:pStyle w:val="Heading3"/>
        <w:rPr>
          <w:rFonts w:ascii="Tahoma" w:hAnsi="Tahoma" w:cs="Tahoma"/>
        </w:rPr>
      </w:pPr>
      <w:bookmarkStart w:id="1297" w:name="_50_Exchange_Server"/>
      <w:bookmarkStart w:id="1298" w:name="_53_52_Exchange"/>
      <w:bookmarkStart w:id="1299" w:name="_58_Exchange_Server"/>
      <w:bookmarkStart w:id="1300" w:name="_59_CAL_do"/>
      <w:bookmarkStart w:id="1301" w:name="_Toc361829402"/>
      <w:bookmarkEnd w:id="1297"/>
      <w:bookmarkEnd w:id="1298"/>
      <w:bookmarkEnd w:id="1299"/>
      <w:bookmarkEnd w:id="1300"/>
      <w:r w:rsidRPr="000A1C8E">
        <w:rPr>
          <w:rFonts w:ascii="Tahoma" w:hAnsi="Tahoma" w:cs="Tahoma"/>
          <w:caps/>
          <w:color w:val="F66400"/>
          <w:sz w:val="22"/>
          <w:vertAlign w:val="superscript"/>
        </w:rPr>
        <w:lastRenderedPageBreak/>
        <w:t>59</w:t>
      </w:r>
      <w:r w:rsidRPr="000A1C8E">
        <w:rPr>
          <w:rFonts w:ascii="Tahoma" w:hAnsi="Tahoma" w:cs="Tahoma"/>
          <w:color w:val="F66400"/>
          <w:sz w:val="22"/>
        </w:rPr>
        <w:t xml:space="preserve"> CAL do Exchange Server 2010 Standard</w:t>
      </w:r>
      <w:bookmarkEnd w:id="1296"/>
      <w:bookmarkEnd w:id="1301"/>
    </w:p>
    <w:bookmarkEnd w:id="1290"/>
    <w:p w:rsidR="004069A4" w:rsidRPr="000A1C8E" w:rsidRDefault="004069A4" w:rsidP="004069A4">
      <w:pPr>
        <w:rPr>
          <w:rFonts w:cs="Tahoma"/>
        </w:rPr>
      </w:pPr>
    </w:p>
    <w:p w:rsidR="004069A4" w:rsidRPr="000A1C8E" w:rsidRDefault="004069A4" w:rsidP="005427B6">
      <w:pPr>
        <w:spacing w:after="60"/>
        <w:ind w:left="720"/>
        <w:rPr>
          <w:rFonts w:cs="Tahoma"/>
        </w:rPr>
      </w:pPr>
      <w:r w:rsidRPr="000A1C8E">
        <w:rPr>
          <w:rFonts w:cs="Tahoma"/>
          <w:b/>
          <w:color w:val="000000"/>
          <w:szCs w:val="18"/>
        </w:rPr>
        <w:t>Pastas Padrão Gerenciadas licenciadas com a CAL do Exchange Server 2010 Standard</w:t>
      </w:r>
    </w:p>
    <w:p w:rsidR="004069A4" w:rsidRPr="000A1C8E" w:rsidRDefault="004069A4" w:rsidP="00017C18">
      <w:pPr>
        <w:ind w:left="720"/>
        <w:rPr>
          <w:rFonts w:cs="Tahoma"/>
        </w:rPr>
      </w:pPr>
      <w:r w:rsidRPr="000A1C8E">
        <w:rPr>
          <w:rFonts w:cs="Tahoma"/>
          <w:color w:val="000000"/>
          <w:szCs w:val="18"/>
        </w:rPr>
        <w:t>O direito de acessar a funcionalidade de Pasta Padrão Gerenciada do Exchange Server 2010 é conferido sob</w:t>
      </w:r>
      <w:r w:rsidR="00017C18" w:rsidRPr="000A1C8E">
        <w:rPr>
          <w:rFonts w:cs="Tahoma"/>
          <w:color w:val="000000"/>
          <w:szCs w:val="18"/>
        </w:rPr>
        <w:t> </w:t>
      </w:r>
      <w:r w:rsidRPr="000A1C8E">
        <w:rPr>
          <w:rFonts w:cs="Tahoma"/>
          <w:color w:val="000000"/>
          <w:szCs w:val="18"/>
        </w:rPr>
        <w:t>a CAL do Exchange Server 2010 Standard e CALs equivalentes.</w:t>
      </w:r>
      <w:r w:rsidR="00DC6D8B" w:rsidRPr="000A1C8E">
        <w:rPr>
          <w:rFonts w:cs="Tahoma"/>
          <w:color w:val="000000"/>
          <w:szCs w:val="18"/>
        </w:rPr>
        <w:t xml:space="preserve"> </w:t>
      </w:r>
      <w:r w:rsidRPr="000A1C8E">
        <w:rPr>
          <w:rFonts w:cs="Tahoma"/>
          <w:color w:val="000000"/>
          <w:szCs w:val="18"/>
        </w:rPr>
        <w:t xml:space="preserve">Uma CAL do Exchange Server 2010 Enterprise ou equivalente é necessária para acessar a funcionalidade de Pasta Personalizada Gerenciada, mas não a de Pasta Padrão Gerenciada. </w:t>
      </w:r>
    </w:p>
    <w:p w:rsidR="004069A4" w:rsidRPr="000A1C8E" w:rsidRDefault="004069A4" w:rsidP="00E62BC4">
      <w:pPr>
        <w:ind w:left="720"/>
        <w:rPr>
          <w:rFonts w:cs="Tahoma"/>
        </w:rPr>
      </w:pPr>
    </w:p>
    <w:p w:rsidR="00031547" w:rsidRPr="000A1C8E" w:rsidRDefault="00031547" w:rsidP="005427B6">
      <w:pPr>
        <w:spacing w:after="60"/>
        <w:ind w:left="720"/>
        <w:rPr>
          <w:rFonts w:cs="Tahoma"/>
        </w:rPr>
      </w:pPr>
      <w:r w:rsidRPr="000A1C8E">
        <w:rPr>
          <w:rFonts w:cs="Tahoma"/>
          <w:b/>
          <w:color w:val="000000"/>
          <w:szCs w:val="18"/>
        </w:rPr>
        <w:t>Pesquisa em Várias Caixas de Correio Licenciadas com a CAL Padrão do Exchange Server 2010</w:t>
      </w:r>
    </w:p>
    <w:p w:rsidR="00031547" w:rsidRPr="000A1C8E" w:rsidRDefault="00031547" w:rsidP="00BA1490">
      <w:pPr>
        <w:ind w:left="720"/>
        <w:rPr>
          <w:rFonts w:cs="Tahoma"/>
        </w:rPr>
      </w:pPr>
      <w:r w:rsidRPr="000A1C8E">
        <w:rPr>
          <w:rFonts w:cs="Tahoma"/>
          <w:bCs/>
          <w:szCs w:val="20"/>
        </w:rPr>
        <w:t>Estamos atualizando os direitos de uso do Exchange Server 2010 para refletir que o direito de acessar a funcionalidade de Pesquisa Cruzada em Caixa de Correio no Exchange Server 2010 é conferido de acordo com as CALs Padrão do Exchange Server 2010 e CALs equivalentes. Essa atualização é aplicável a todas as licenças do Exchange Server 2010.</w:t>
      </w:r>
    </w:p>
    <w:p w:rsidR="004D0019" w:rsidRPr="000A1C8E" w:rsidRDefault="004D0019" w:rsidP="00E62BC4">
      <w:pPr>
        <w:ind w:left="720"/>
        <w:rPr>
          <w:rFonts w:cs="Tahoma"/>
        </w:rPr>
      </w:pPr>
    </w:p>
    <w:p w:rsidR="004069A4" w:rsidRPr="000A1C8E" w:rsidRDefault="004069A4" w:rsidP="005427B6">
      <w:pPr>
        <w:spacing w:after="60"/>
        <w:ind w:left="720"/>
        <w:rPr>
          <w:rFonts w:cs="Tahoma"/>
        </w:rPr>
      </w:pPr>
      <w:r w:rsidRPr="000A1C8E">
        <w:rPr>
          <w:rFonts w:cs="Tahoma"/>
          <w:b/>
          <w:color w:val="000000"/>
          <w:szCs w:val="18"/>
        </w:rPr>
        <w:t>CALs Somente para Aluno (Licença Academic Open e Academic Select)</w:t>
      </w:r>
    </w:p>
    <w:p w:rsidR="004069A4" w:rsidRPr="000A1C8E" w:rsidRDefault="004069A4" w:rsidP="00E62BC4">
      <w:pPr>
        <w:ind w:left="720"/>
        <w:rPr>
          <w:rFonts w:cs="Tahoma"/>
        </w:rPr>
      </w:pPr>
      <w:r w:rsidRPr="000A1C8E">
        <w:rPr>
          <w:rFonts w:cs="Tahoma"/>
          <w:szCs w:val="20"/>
        </w:rPr>
        <w:t>As CALs Somente para Aluno estão restritas a PCs de propriedade de um aluno ou de uma instituição licenciados dedicados a um aluno individual e NÃO se destinam ao uso em laboratórios ou salas de aula.</w:t>
      </w:r>
    </w:p>
    <w:p w:rsidR="00DD14E6" w:rsidRPr="000A1C8E" w:rsidRDefault="00DD14E6" w:rsidP="005427B6">
      <w:pPr>
        <w:rPr>
          <w:rFonts w:cs="Tahoma"/>
        </w:rPr>
      </w:pPr>
      <w:bookmarkStart w:id="1302" w:name="Srv_43ExchangeSvr07StdCAL"/>
      <w:bookmarkStart w:id="1303" w:name="Srv_44ExchangeSvr2010StdCAL"/>
    </w:p>
    <w:p w:rsidR="005427B6" w:rsidRPr="000A1C8E" w:rsidRDefault="005427B6" w:rsidP="005427B6">
      <w:pPr>
        <w:rPr>
          <w:rFonts w:cs="Tahoma"/>
        </w:rPr>
      </w:pPr>
    </w:p>
    <w:p w:rsidR="00CC1B99" w:rsidRPr="000A1C8E" w:rsidRDefault="00A560B6" w:rsidP="00CC1B99">
      <w:pPr>
        <w:pStyle w:val="Heading3"/>
        <w:rPr>
          <w:rFonts w:ascii="Tahoma" w:hAnsi="Tahoma" w:cs="Tahoma"/>
        </w:rPr>
      </w:pPr>
      <w:bookmarkStart w:id="1304" w:name="_53_Forefront_Endpoint"/>
      <w:bookmarkStart w:id="1305" w:name="_59_Forefront_Endpoint"/>
      <w:bookmarkStart w:id="1306" w:name="_60_Forefront_Endpoint"/>
      <w:bookmarkStart w:id="1307" w:name="_Toc336338314"/>
      <w:bookmarkStart w:id="1308" w:name="_Toc361829403"/>
      <w:bookmarkStart w:id="1309" w:name="Srv_51ForfrontEndpointProtection"/>
      <w:bookmarkStart w:id="1310" w:name="Srv_50ForfrontEndpointProtection"/>
      <w:bookmarkStart w:id="1311" w:name="Srv_42ExchangeSvr07StdCAL"/>
      <w:bookmarkEnd w:id="1304"/>
      <w:bookmarkEnd w:id="1305"/>
      <w:bookmarkEnd w:id="1306"/>
      <w:r w:rsidRPr="000A1C8E">
        <w:rPr>
          <w:rFonts w:ascii="Tahoma" w:hAnsi="Tahoma" w:cs="Tahoma"/>
          <w:caps/>
          <w:color w:val="F66400"/>
          <w:sz w:val="22"/>
          <w:vertAlign w:val="superscript"/>
        </w:rPr>
        <w:t>60</w:t>
      </w:r>
      <w:r w:rsidRPr="000A1C8E">
        <w:rPr>
          <w:rFonts w:ascii="Tahoma" w:hAnsi="Tahoma" w:cs="Tahoma"/>
          <w:color w:val="F66400"/>
          <w:sz w:val="22"/>
        </w:rPr>
        <w:t xml:space="preserve"> Forefront Endpoint Protection</w:t>
      </w:r>
      <w:bookmarkEnd w:id="1307"/>
      <w:bookmarkEnd w:id="1308"/>
    </w:p>
    <w:bookmarkEnd w:id="1309"/>
    <w:bookmarkEnd w:id="1310"/>
    <w:p w:rsidR="00CC1B99" w:rsidRPr="000A1C8E" w:rsidRDefault="00CC1B99" w:rsidP="00E62BC4">
      <w:pPr>
        <w:ind w:left="720"/>
        <w:rPr>
          <w:rFonts w:cs="Tahoma"/>
        </w:rPr>
      </w:pPr>
    </w:p>
    <w:p w:rsidR="008A1A57" w:rsidRPr="000A1C8E" w:rsidRDefault="008A1A57" w:rsidP="00E62BC4">
      <w:pPr>
        <w:tabs>
          <w:tab w:val="left" w:pos="1920"/>
        </w:tabs>
        <w:ind w:left="720"/>
        <w:rPr>
          <w:rFonts w:cs="Tahoma"/>
        </w:rPr>
      </w:pPr>
      <w:r w:rsidRPr="000A1C8E">
        <w:rPr>
          <w:rFonts w:cs="Tahoma"/>
        </w:rPr>
        <w:t xml:space="preserve">A partir de 1º de abril de 2012, o </w:t>
      </w:r>
      <w:r w:rsidRPr="000A1C8E">
        <w:rPr>
          <w:rFonts w:eastAsia="Calibri" w:cs="Tahoma"/>
          <w:szCs w:val="18"/>
        </w:rPr>
        <w:t xml:space="preserve">Forefront Endpoint Protection, como uma oferta para proteção do cliente, será substituído pelo </w:t>
      </w:r>
      <w:r w:rsidRPr="000A1C8E">
        <w:rPr>
          <w:rFonts w:cs="Tahoma"/>
        </w:rPr>
        <w:t>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rsidR="008A1A57" w:rsidRPr="000A1C8E" w:rsidRDefault="008A1A57" w:rsidP="00E62BC4">
      <w:pPr>
        <w:tabs>
          <w:tab w:val="left" w:pos="1920"/>
        </w:tabs>
        <w:ind w:left="720"/>
        <w:rPr>
          <w:rFonts w:cs="Tahoma"/>
        </w:rPr>
      </w:pPr>
    </w:p>
    <w:p w:rsidR="008A1A57" w:rsidRPr="000A1C8E" w:rsidRDefault="008A1A57" w:rsidP="00017C18">
      <w:pPr>
        <w:tabs>
          <w:tab w:val="left" w:pos="1920"/>
        </w:tabs>
        <w:ind w:left="720"/>
        <w:rPr>
          <w:rFonts w:cs="Tahoma"/>
        </w:rPr>
      </w:pPr>
      <w:r w:rsidRPr="000A1C8E">
        <w:rPr>
          <w:rFonts w:eastAsia="Calibri" w:cs="Tahoma"/>
          <w:szCs w:val="18"/>
        </w:rPr>
        <w:t xml:space="preserve">Os usuários com assinaturas do Forefront Endpoint Protection </w:t>
      </w:r>
      <w:r w:rsidRPr="000A1C8E">
        <w:rPr>
          <w:rFonts w:cs="Tahoma"/>
        </w:rPr>
        <w:t>e que ajudam o serviço a proteger os dispositivos do cliente, podem fazer atualização para o System Center 2012 Endpoint Protection para a</w:t>
      </w:r>
      <w:r w:rsidR="00017C18" w:rsidRPr="000A1C8E">
        <w:rPr>
          <w:rFonts w:cs="Tahoma"/>
        </w:rPr>
        <w:t> </w:t>
      </w:r>
      <w:r w:rsidRPr="000A1C8E">
        <w:rPr>
          <w:rFonts w:cs="Tahoma"/>
        </w:rPr>
        <w:t>mesma finalidade.</w:t>
      </w:r>
    </w:p>
    <w:p w:rsidR="008A1A57" w:rsidRPr="000A1C8E" w:rsidRDefault="008A1A57" w:rsidP="00E62BC4">
      <w:pPr>
        <w:tabs>
          <w:tab w:val="left" w:pos="1920"/>
        </w:tabs>
        <w:ind w:left="720"/>
        <w:rPr>
          <w:rFonts w:cs="Tahoma"/>
        </w:rPr>
      </w:pPr>
    </w:p>
    <w:p w:rsidR="008A1A57" w:rsidRPr="000A1C8E" w:rsidRDefault="008A1A57" w:rsidP="00017C18">
      <w:pPr>
        <w:tabs>
          <w:tab w:val="left" w:pos="1920"/>
        </w:tabs>
        <w:ind w:left="720"/>
        <w:rPr>
          <w:rFonts w:cs="Tahoma"/>
        </w:rPr>
      </w:pPr>
      <w:r w:rsidRPr="000A1C8E">
        <w:rPr>
          <w:rFonts w:eastAsia="Calibri" w:cs="Tahoma"/>
          <w:szCs w:val="18"/>
        </w:rPr>
        <w:t>Os usuários com assinaturas ativas do Forefront Endpoint Protection</w:t>
      </w:r>
      <w:r w:rsidRPr="000A1C8E">
        <w:rPr>
          <w:rFonts w:cs="Tahoma"/>
        </w:rPr>
        <w:t xml:space="preserve"> e que ajudam o serviço a proteger os</w:t>
      </w:r>
      <w:r w:rsidR="00017C18" w:rsidRPr="000A1C8E">
        <w:rPr>
          <w:rFonts w:cs="Tahoma"/>
        </w:rPr>
        <w:t> </w:t>
      </w:r>
      <w:r w:rsidRPr="000A1C8E">
        <w:rPr>
          <w:rFonts w:cs="Tahoma"/>
        </w:rPr>
        <w:t>dispositivos do servidor, podem continuar usando o serviço Forefront Endpoint Protection.</w:t>
      </w:r>
    </w:p>
    <w:p w:rsidR="008A1A57" w:rsidRPr="000A1C8E" w:rsidRDefault="008A1A57" w:rsidP="00E62BC4">
      <w:pPr>
        <w:ind w:left="720"/>
        <w:rPr>
          <w:rFonts w:cs="Tahoma"/>
        </w:rPr>
      </w:pPr>
    </w:p>
    <w:p w:rsidR="008A1A57" w:rsidRPr="000A1C8E" w:rsidRDefault="008A1A57" w:rsidP="00E62BC4">
      <w:pPr>
        <w:ind w:left="720"/>
        <w:rPr>
          <w:rFonts w:cs="Tahoma"/>
        </w:rPr>
      </w:pPr>
      <w:r w:rsidRPr="000A1C8E">
        <w:rPr>
          <w:rFonts w:eastAsia="Calibri" w:cs="Tahoma"/>
          <w:szCs w:val="18"/>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DC6D8B" w:rsidRPr="000A1C8E">
        <w:rPr>
          <w:rFonts w:eastAsia="Calibri" w:cs="Tahoma"/>
          <w:szCs w:val="18"/>
        </w:rPr>
        <w:t xml:space="preserve"> </w:t>
      </w:r>
    </w:p>
    <w:p w:rsidR="008A1A57" w:rsidRPr="000A1C8E" w:rsidRDefault="008A1A57" w:rsidP="00E62BC4">
      <w:pPr>
        <w:ind w:left="720"/>
        <w:rPr>
          <w:rFonts w:cs="Tahoma"/>
        </w:rPr>
      </w:pPr>
    </w:p>
    <w:p w:rsidR="008A1A57" w:rsidRPr="000A1C8E" w:rsidRDefault="005427B6" w:rsidP="005427B6">
      <w:pPr>
        <w:spacing w:after="60"/>
        <w:ind w:left="720"/>
        <w:rPr>
          <w:rFonts w:cs="Tahoma"/>
        </w:rPr>
      </w:pPr>
      <w:r w:rsidRPr="000A1C8E">
        <w:rPr>
          <w:rFonts w:eastAsia="Calibri" w:cs="Tahoma"/>
          <w:b/>
          <w:szCs w:val="18"/>
        </w:rPr>
        <w:t>Uso Doméstico</w:t>
      </w:r>
    </w:p>
    <w:p w:rsidR="008A1A57" w:rsidRPr="000A1C8E" w:rsidRDefault="008A1A57" w:rsidP="00E62BC4">
      <w:pPr>
        <w:ind w:left="720"/>
        <w:rPr>
          <w:rFonts w:cs="Tahoma"/>
        </w:rPr>
      </w:pPr>
      <w:r w:rsidRPr="000A1C8E">
        <w:rPr>
          <w:rFonts w:eastAsia="Calibri" w:cs="Tahoma"/>
          <w:szCs w:val="18"/>
        </w:rPr>
        <w:t>Os clientes com as Licenças de Assinatura do Usuário atuais para qualificação do Forefront Endpoint Protection 2010 como programa de Uso Doméstico.</w:t>
      </w:r>
    </w:p>
    <w:p w:rsidR="00BA1490" w:rsidRPr="000A1C8E" w:rsidRDefault="00BA1490" w:rsidP="00BA1490">
      <w:pPr>
        <w:rPr>
          <w:rFonts w:cs="Tahoma"/>
        </w:rPr>
      </w:pPr>
      <w:bookmarkStart w:id="1312" w:name="_Toc254758297"/>
      <w:bookmarkStart w:id="1313" w:name="Srv_44ForefrontOnSecforExch"/>
      <w:bookmarkStart w:id="1314" w:name="Srv_43ForefrontOnSecforExch"/>
      <w:bookmarkEnd w:id="1302"/>
      <w:bookmarkEnd w:id="1303"/>
      <w:bookmarkEnd w:id="1311"/>
    </w:p>
    <w:p w:rsidR="00BA1490" w:rsidRPr="000A1C8E" w:rsidRDefault="00BA1490" w:rsidP="00BA1490">
      <w:pPr>
        <w:rPr>
          <w:rFonts w:cs="Tahoma"/>
        </w:rPr>
      </w:pPr>
    </w:p>
    <w:p w:rsidR="009E4FDD" w:rsidRPr="000A1C8E" w:rsidRDefault="00A560B6" w:rsidP="009E4FDD">
      <w:pPr>
        <w:pStyle w:val="Heading3"/>
        <w:rPr>
          <w:rFonts w:ascii="Tahoma" w:hAnsi="Tahoma" w:cs="Tahoma"/>
        </w:rPr>
      </w:pPr>
      <w:bookmarkStart w:id="1315" w:name="_54_Forefront_Identity"/>
      <w:bookmarkStart w:id="1316" w:name="_60_Forefront_Identity"/>
      <w:bookmarkStart w:id="1317" w:name="_Toc336338315"/>
      <w:bookmarkStart w:id="1318" w:name="_Toc361829404"/>
      <w:bookmarkStart w:id="1319" w:name="Srv_43ForefrontIdMgr2010"/>
      <w:bookmarkStart w:id="1320" w:name="Srv_48ForefrontIdMgr2010"/>
      <w:bookmarkStart w:id="1321" w:name="Srv_45ForefrontIdMgr2010"/>
      <w:bookmarkEnd w:id="1315"/>
      <w:bookmarkEnd w:id="1316"/>
      <w:r w:rsidRPr="000A1C8E">
        <w:rPr>
          <w:rFonts w:ascii="Tahoma" w:hAnsi="Tahoma" w:cs="Tahoma"/>
          <w:caps/>
          <w:color w:val="F66400"/>
          <w:sz w:val="22"/>
          <w:vertAlign w:val="superscript"/>
        </w:rPr>
        <w:t xml:space="preserve">61 </w:t>
      </w:r>
      <w:r w:rsidRPr="000A1C8E">
        <w:rPr>
          <w:rFonts w:ascii="Tahoma" w:hAnsi="Tahoma" w:cs="Tahoma"/>
          <w:color w:val="F66400"/>
          <w:sz w:val="22"/>
        </w:rPr>
        <w:t>Forefront Identity Manager 2010</w:t>
      </w:r>
      <w:bookmarkEnd w:id="1312"/>
      <w:r w:rsidRPr="000A1C8E">
        <w:rPr>
          <w:rFonts w:ascii="Tahoma" w:hAnsi="Tahoma" w:cs="Tahoma"/>
          <w:color w:val="F66400"/>
          <w:sz w:val="22"/>
        </w:rPr>
        <w:t xml:space="preserve"> R2</w:t>
      </w:r>
      <w:bookmarkEnd w:id="1317"/>
      <w:bookmarkEnd w:id="1318"/>
    </w:p>
    <w:bookmarkEnd w:id="1319"/>
    <w:bookmarkEnd w:id="1320"/>
    <w:bookmarkEnd w:id="1321"/>
    <w:p w:rsidR="009E4FDD" w:rsidRPr="000A1C8E" w:rsidRDefault="009E4FDD" w:rsidP="009E4FDD">
      <w:pPr>
        <w:ind w:left="720"/>
        <w:rPr>
          <w:rFonts w:cs="Tahoma"/>
        </w:rPr>
      </w:pPr>
    </w:p>
    <w:p w:rsidR="009E4FDD" w:rsidRPr="000A1C8E" w:rsidRDefault="009E4FDD" w:rsidP="005427B6">
      <w:pPr>
        <w:spacing w:after="60"/>
        <w:ind w:left="720"/>
        <w:rPr>
          <w:rFonts w:cs="Tahoma"/>
        </w:rPr>
      </w:pPr>
      <w:r w:rsidRPr="000A1C8E">
        <w:rPr>
          <w:rFonts w:cs="Tahoma"/>
          <w:b/>
          <w:color w:val="000000"/>
          <w:szCs w:val="18"/>
        </w:rPr>
        <w:t>Versão</w:t>
      </w:r>
    </w:p>
    <w:p w:rsidR="009E4FDD" w:rsidRPr="000A1C8E" w:rsidRDefault="009E4FDD" w:rsidP="005427B6">
      <w:pPr>
        <w:ind w:left="720"/>
        <w:rPr>
          <w:rFonts w:cs="Tahoma"/>
        </w:rPr>
      </w:pPr>
      <w:r w:rsidRPr="000A1C8E">
        <w:rPr>
          <w:rFonts w:cs="Tahoma"/>
          <w:color w:val="000000"/>
          <w:szCs w:val="18"/>
        </w:rPr>
        <w:t>O Forefront Identity Manager 2010 R2 é a próxima versão do Forefront Identity Manager 2010.</w:t>
      </w:r>
    </w:p>
    <w:p w:rsidR="005427B6" w:rsidRPr="000A1C8E" w:rsidRDefault="005427B6" w:rsidP="005427B6">
      <w:pPr>
        <w:rPr>
          <w:rFonts w:cs="Tahoma"/>
        </w:rPr>
      </w:pPr>
    </w:p>
    <w:p w:rsidR="005427B6" w:rsidRPr="000A1C8E" w:rsidRDefault="005427B6" w:rsidP="005427B6">
      <w:pPr>
        <w:rPr>
          <w:rFonts w:cs="Tahoma"/>
        </w:rPr>
      </w:pPr>
    </w:p>
    <w:p w:rsidR="00936C19" w:rsidRPr="000A1C8E" w:rsidRDefault="00A560B6" w:rsidP="005427B6">
      <w:pPr>
        <w:pStyle w:val="Heading2"/>
        <w:ind w:left="0"/>
        <w:rPr>
          <w:rFonts w:ascii="Tahoma" w:hAnsi="Tahoma" w:cs="Tahoma"/>
        </w:rPr>
      </w:pPr>
      <w:bookmarkStart w:id="1322" w:name="_55_Forefront_Identity"/>
      <w:bookmarkStart w:id="1323" w:name="_61_Forefront_Identity"/>
      <w:bookmarkStart w:id="1324" w:name="_62_Forefront_Identity"/>
      <w:bookmarkStart w:id="1325" w:name="_Toc336338316"/>
      <w:bookmarkStart w:id="1326" w:name="Srv_54ForefrontIDMgrWinLiveEd"/>
      <w:bookmarkStart w:id="1327" w:name="_Toc361829405"/>
      <w:bookmarkStart w:id="1328" w:name="Srv_46ForefrontOnlineProforExch"/>
      <w:bookmarkEnd w:id="1322"/>
      <w:bookmarkEnd w:id="1323"/>
      <w:bookmarkEnd w:id="1324"/>
      <w:r w:rsidRPr="000A1C8E">
        <w:rPr>
          <w:rFonts w:ascii="Tahoma" w:hAnsi="Tahoma" w:cs="Tahoma"/>
          <w:caps/>
          <w:color w:val="F26200"/>
          <w:sz w:val="20"/>
          <w:vertAlign w:val="superscript"/>
        </w:rPr>
        <w:t>62</w:t>
      </w:r>
      <w:r w:rsidRPr="000A1C8E">
        <w:rPr>
          <w:rFonts w:ascii="Tahoma" w:hAnsi="Tahoma" w:cs="Tahoma"/>
          <w:color w:val="F26200"/>
        </w:rPr>
        <w:t xml:space="preserve"> </w:t>
      </w:r>
      <w:r w:rsidRPr="000A1C8E">
        <w:rPr>
          <w:rFonts w:ascii="Tahoma" w:hAnsi="Tahoma" w:cs="Tahoma"/>
          <w:color w:val="F26200"/>
          <w:sz w:val="22"/>
        </w:rPr>
        <w:t>Forefront Identity Manager 2010 – Windows Live Edition</w:t>
      </w:r>
      <w:bookmarkEnd w:id="1325"/>
      <w:bookmarkEnd w:id="1326"/>
      <w:bookmarkEnd w:id="1327"/>
    </w:p>
    <w:p w:rsidR="005427B6" w:rsidRPr="000A1C8E" w:rsidRDefault="005427B6" w:rsidP="005427B6">
      <w:pPr>
        <w:rPr>
          <w:rFonts w:cs="Tahoma"/>
        </w:rPr>
      </w:pPr>
    </w:p>
    <w:p w:rsidR="005D346C" w:rsidRPr="000A1C8E" w:rsidRDefault="005D346C" w:rsidP="005427B6">
      <w:pPr>
        <w:spacing w:after="60"/>
        <w:ind w:left="720"/>
        <w:rPr>
          <w:rFonts w:cs="Tahoma"/>
        </w:rPr>
      </w:pPr>
      <w:r w:rsidRPr="000A1C8E">
        <w:rPr>
          <w:rFonts w:cs="Tahoma"/>
          <w:b/>
          <w:color w:val="000000"/>
          <w:szCs w:val="18"/>
        </w:rPr>
        <w:t>Versão</w:t>
      </w:r>
    </w:p>
    <w:p w:rsidR="005D346C" w:rsidRPr="000A1C8E" w:rsidRDefault="005D346C" w:rsidP="00E62BC4">
      <w:pPr>
        <w:ind w:left="720"/>
        <w:rPr>
          <w:rFonts w:cs="Tahoma"/>
        </w:rPr>
      </w:pPr>
      <w:r w:rsidRPr="000A1C8E">
        <w:rPr>
          <w:rFonts w:cs="Tahoma"/>
          <w:color w:val="000000"/>
        </w:rPr>
        <w:t>O Forefront Identity Manager 2010 – Windows Live Edition é a próxima versão do Identity Lifecycle Manager 2007 – Windows Live Edition</w:t>
      </w:r>
    </w:p>
    <w:p w:rsidR="005D484B" w:rsidRPr="000A1C8E" w:rsidRDefault="00A560B6" w:rsidP="005D484B">
      <w:pPr>
        <w:pStyle w:val="Heading3"/>
        <w:rPr>
          <w:rFonts w:ascii="Tahoma" w:hAnsi="Tahoma" w:cs="Tahoma"/>
        </w:rPr>
      </w:pPr>
      <w:bookmarkStart w:id="1329" w:name="_59_Forefront_Online"/>
      <w:bookmarkStart w:id="1330" w:name="_62_Forefront_Online"/>
      <w:bookmarkStart w:id="1331" w:name="_63_Forefront_Online"/>
      <w:bookmarkStart w:id="1332" w:name="_Toc336338317"/>
      <w:bookmarkStart w:id="1333" w:name="_Toc343596542"/>
      <w:bookmarkStart w:id="1334" w:name="_Toc361829406"/>
      <w:bookmarkEnd w:id="1329"/>
      <w:bookmarkEnd w:id="1330"/>
      <w:bookmarkEnd w:id="1331"/>
      <w:r w:rsidRPr="000A1C8E">
        <w:rPr>
          <w:rFonts w:ascii="Tahoma" w:hAnsi="Tahoma" w:cs="Tahoma"/>
          <w:caps/>
          <w:color w:val="F66400"/>
          <w:sz w:val="22"/>
          <w:vertAlign w:val="superscript"/>
        </w:rPr>
        <w:lastRenderedPageBreak/>
        <w:t>63</w:t>
      </w:r>
      <w:r w:rsidRPr="000A1C8E">
        <w:rPr>
          <w:rFonts w:ascii="Tahoma" w:hAnsi="Tahoma" w:cs="Tahoma"/>
          <w:color w:val="F66400"/>
          <w:sz w:val="22"/>
        </w:rPr>
        <w:t xml:space="preserve"> Forefront Online Protection para Exchange (SL de Dispositivo e Usuário)</w:t>
      </w:r>
      <w:bookmarkEnd w:id="1332"/>
      <w:bookmarkEnd w:id="1333"/>
      <w:bookmarkEnd w:id="1334"/>
    </w:p>
    <w:p w:rsidR="005D484B" w:rsidRPr="000A1C8E" w:rsidRDefault="005D484B" w:rsidP="005D484B">
      <w:pPr>
        <w:pStyle w:val="EndnoteText"/>
        <w:tabs>
          <w:tab w:val="center" w:pos="5306"/>
        </w:tabs>
        <w:ind w:left="0"/>
        <w:rPr>
          <w:rFonts w:ascii="Tahoma" w:hAnsi="Tahoma" w:cs="Tahoma"/>
        </w:rPr>
      </w:pPr>
    </w:p>
    <w:p w:rsidR="005D484B" w:rsidRPr="000A1C8E" w:rsidRDefault="005D484B" w:rsidP="005D484B">
      <w:pPr>
        <w:spacing w:after="200" w:line="276" w:lineRule="auto"/>
        <w:ind w:left="720"/>
        <w:rPr>
          <w:rFonts w:cs="Tahoma"/>
        </w:rPr>
      </w:pPr>
      <w:r w:rsidRPr="000A1C8E">
        <w:rPr>
          <w:rFonts w:eastAsia="Calibri" w:cs="Tahoma"/>
          <w:bCs/>
          <w:color w:val="000000"/>
          <w:szCs w:val="18"/>
        </w:rPr>
        <w:t>Para o Forefront Online Security para Exchange (anteriormente, Exchange Hosted Filtering),</w:t>
      </w:r>
      <w:r w:rsidR="00DC6D8B" w:rsidRPr="000A1C8E">
        <w:rPr>
          <w:rFonts w:eastAsia="Calibri" w:cs="Tahoma"/>
          <w:bCs/>
          <w:color w:val="FF0000"/>
          <w:szCs w:val="18"/>
        </w:rPr>
        <w:t xml:space="preserve"> </w:t>
      </w:r>
      <w:r w:rsidRPr="000A1C8E">
        <w:rPr>
          <w:rFonts w:eastAsia="Calibri" w:cs="Tahoma"/>
          <w:bCs/>
          <w:color w:val="000000"/>
          <w:szCs w:val="18"/>
        </w:rPr>
        <w:t>os clientes deverão usar o mesmo registro de contrato Select, registro de contrato Enterprise ou contrato Open Value ativo para fazer pedidos subsequentes ao pedido inicial.</w:t>
      </w:r>
    </w:p>
    <w:p w:rsidR="005D484B" w:rsidRPr="000A1C8E" w:rsidRDefault="005D484B" w:rsidP="00017C18">
      <w:pPr>
        <w:ind w:left="720"/>
        <w:rPr>
          <w:rFonts w:cs="Tahoma"/>
        </w:rPr>
      </w:pPr>
      <w:r w:rsidRPr="000A1C8E">
        <w:rPr>
          <w:rFonts w:cs="Tahoma"/>
          <w:bCs/>
          <w:color w:val="000000"/>
          <w:szCs w:val="18"/>
        </w:rPr>
        <w:t>Como esse serviço online é provisionado por domínio, todos os usuários (ou dispositivos) em qualquer domínio coberto precisarão de SLs de Usuário (ou Dispositivo).</w:t>
      </w:r>
      <w:r w:rsidR="00DC6D8B" w:rsidRPr="000A1C8E">
        <w:rPr>
          <w:rFonts w:cs="Tahoma"/>
          <w:bCs/>
          <w:color w:val="000000"/>
          <w:szCs w:val="18"/>
        </w:rPr>
        <w:t xml:space="preserve"> </w:t>
      </w:r>
      <w:r w:rsidRPr="000A1C8E">
        <w:rPr>
          <w:rFonts w:cs="Tahoma"/>
          <w:bCs/>
          <w:color w:val="000000"/>
          <w:szCs w:val="18"/>
        </w:rPr>
        <w:t>Os clientes que desejarem o serviço para um</w:t>
      </w:r>
      <w:r w:rsidR="00017C18" w:rsidRPr="000A1C8E">
        <w:rPr>
          <w:rFonts w:cs="Tahoma"/>
          <w:bCs/>
          <w:color w:val="000000"/>
          <w:szCs w:val="18"/>
        </w:rPr>
        <w:t> </w:t>
      </w:r>
      <w:r w:rsidRPr="000A1C8E">
        <w:rPr>
          <w:rFonts w:cs="Tahoma"/>
          <w:bCs/>
          <w:color w:val="000000"/>
          <w:szCs w:val="18"/>
        </w:rPr>
        <w:t>subconjunto de sua base de usuários (ou base de dispositivos) poderão criar subdomínios para um provisionamento mais direcionado.</w:t>
      </w:r>
      <w:r w:rsidR="00DC6D8B" w:rsidRPr="000A1C8E">
        <w:rPr>
          <w:rFonts w:cs="Tahoma"/>
          <w:bCs/>
          <w:color w:val="000000"/>
          <w:szCs w:val="18"/>
        </w:rPr>
        <w:t xml:space="preserve"> </w:t>
      </w:r>
      <w:r w:rsidRPr="000A1C8E">
        <w:rPr>
          <w:rFonts w:cs="Tahoma"/>
          <w:bCs/>
          <w:color w:val="000000"/>
          <w:szCs w:val="18"/>
        </w:rPr>
        <w:t>Somente os usuários (ou dispositivos) no subdomínio coberto precisarão de SLs de Usuário (ou Dispositivo).</w:t>
      </w:r>
    </w:p>
    <w:p w:rsidR="005D484B" w:rsidRPr="000A1C8E" w:rsidRDefault="005D484B" w:rsidP="005D484B">
      <w:pPr>
        <w:pStyle w:val="EndnoteText"/>
        <w:ind w:left="720"/>
        <w:rPr>
          <w:rFonts w:ascii="Tahoma" w:hAnsi="Tahoma" w:cs="Tahoma"/>
        </w:rPr>
      </w:pPr>
    </w:p>
    <w:p w:rsidR="005D484B" w:rsidRPr="000A1C8E" w:rsidRDefault="005D484B" w:rsidP="003C3A72">
      <w:pPr>
        <w:pStyle w:val="PlainText"/>
        <w:ind w:left="720"/>
        <w:rPr>
          <w:rFonts w:ascii="Tahoma" w:hAnsi="Tahoma" w:cs="Tahoma"/>
        </w:rPr>
      </w:pPr>
      <w:r w:rsidRPr="000A1C8E">
        <w:rPr>
          <w:rFonts w:ascii="Tahoma" w:hAnsi="Tahoma" w:cs="Tahoma"/>
          <w:bCs/>
          <w:color w:val="000000"/>
          <w:sz w:val="18"/>
          <w:szCs w:val="20"/>
        </w:rPr>
        <w:t>Consulte a</w:t>
      </w:r>
      <w:hyperlink w:anchor="_Section_10_–" w:history="1">
        <w:r w:rsidRPr="000A1C8E">
          <w:rPr>
            <w:rStyle w:val="Hyperlink"/>
            <w:rFonts w:ascii="Tahoma" w:hAnsi="Tahoma" w:cs="Tahoma"/>
            <w:sz w:val="18"/>
          </w:rPr>
          <w:t xml:space="preserve"> Seção 10</w:t>
        </w:r>
      </w:hyperlink>
      <w:r w:rsidRPr="000A1C8E">
        <w:rPr>
          <w:rFonts w:ascii="Tahoma" w:hAnsi="Tahoma" w:cs="Tahoma"/>
          <w:bCs/>
          <w:color w:val="000000"/>
          <w:sz w:val="18"/>
          <w:szCs w:val="20"/>
        </w:rPr>
        <w:t xml:space="preserve"> para obter informações sobre os termos de pagamento e preços dos serviços online. </w:t>
      </w:r>
    </w:p>
    <w:p w:rsidR="005D346C" w:rsidRPr="000A1C8E" w:rsidRDefault="005D346C" w:rsidP="005D346C">
      <w:pPr>
        <w:rPr>
          <w:rFonts w:cs="Tahoma"/>
        </w:rPr>
      </w:pPr>
    </w:p>
    <w:p w:rsidR="00BF1889" w:rsidRPr="000A1C8E" w:rsidRDefault="00BF1889" w:rsidP="00697E59">
      <w:pPr>
        <w:pStyle w:val="EndnoteText"/>
        <w:ind w:left="0"/>
        <w:rPr>
          <w:rFonts w:ascii="Tahoma" w:hAnsi="Tahoma" w:cs="Tahoma"/>
        </w:rPr>
      </w:pPr>
      <w:bookmarkStart w:id="1335" w:name="Srv_47ForefrontProforExcSvrandShare"/>
      <w:bookmarkEnd w:id="1313"/>
      <w:bookmarkEnd w:id="1314"/>
      <w:bookmarkEnd w:id="1328"/>
    </w:p>
    <w:p w:rsidR="00273685" w:rsidRPr="000A1C8E" w:rsidRDefault="00A560B6" w:rsidP="00273685">
      <w:pPr>
        <w:pStyle w:val="Heading3"/>
        <w:ind w:left="270" w:hanging="270"/>
        <w:rPr>
          <w:rFonts w:ascii="Tahoma" w:hAnsi="Tahoma" w:cs="Tahoma"/>
        </w:rPr>
      </w:pPr>
      <w:bookmarkStart w:id="1336" w:name="_54_Forefront_Protection"/>
      <w:bookmarkStart w:id="1337" w:name="_55_Forefront_Protection"/>
      <w:bookmarkStart w:id="1338" w:name="_60_Forefront_Protection"/>
      <w:bookmarkStart w:id="1339" w:name="_63_Forefront_Protection"/>
      <w:bookmarkStart w:id="1340" w:name="_Toc336338318"/>
      <w:bookmarkStart w:id="1341" w:name="_Toc361829407"/>
      <w:bookmarkStart w:id="1342" w:name="Srv_44ForefrontSecforExcSharep"/>
      <w:bookmarkStart w:id="1343" w:name="Srv_45ForefrontSecforExcSharep"/>
      <w:bookmarkStart w:id="1344" w:name="Srv_48ForefrontProtectionSuite"/>
      <w:bookmarkEnd w:id="1335"/>
      <w:bookmarkEnd w:id="1336"/>
      <w:bookmarkEnd w:id="1337"/>
      <w:bookmarkEnd w:id="1338"/>
      <w:bookmarkEnd w:id="1339"/>
      <w:r w:rsidRPr="000A1C8E">
        <w:rPr>
          <w:rFonts w:ascii="Tahoma" w:hAnsi="Tahoma" w:cs="Tahoma"/>
          <w:caps/>
          <w:color w:val="F66400"/>
          <w:sz w:val="22"/>
          <w:vertAlign w:val="superscript"/>
        </w:rPr>
        <w:t>64</w:t>
      </w:r>
      <w:r w:rsidRPr="000A1C8E">
        <w:rPr>
          <w:rFonts w:ascii="Tahoma" w:hAnsi="Tahoma" w:cs="Tahoma"/>
          <w:color w:val="F66400"/>
          <w:sz w:val="22"/>
        </w:rPr>
        <w:t xml:space="preserve"> Forefront Protection 2010 para Exchange Server (SL de Usuário e Dispositivo), Forefront Protection 2010 para SharePoint (SL de Usuário e Dispositivo)</w:t>
      </w:r>
      <w:bookmarkEnd w:id="1340"/>
      <w:r w:rsidRPr="000A1C8E">
        <w:rPr>
          <w:rFonts w:ascii="Tahoma" w:hAnsi="Tahoma" w:cs="Tahoma"/>
          <w:color w:val="F66400"/>
          <w:sz w:val="22"/>
        </w:rPr>
        <w:t xml:space="preserve"> e Forefront Protection 2010 para Sites de Internet (SL Complementar)</w:t>
      </w:r>
      <w:bookmarkEnd w:id="1341"/>
    </w:p>
    <w:bookmarkEnd w:id="1342"/>
    <w:bookmarkEnd w:id="1343"/>
    <w:p w:rsidR="00273685" w:rsidRPr="000A1C8E" w:rsidRDefault="00273685" w:rsidP="00273685">
      <w:pPr>
        <w:ind w:left="720"/>
        <w:rPr>
          <w:rFonts w:cs="Tahoma"/>
        </w:rPr>
      </w:pPr>
    </w:p>
    <w:p w:rsidR="00273685" w:rsidRPr="000A1C8E" w:rsidRDefault="00273685" w:rsidP="00017C18">
      <w:pPr>
        <w:ind w:left="720"/>
        <w:rPr>
          <w:rFonts w:cs="Tahoma"/>
        </w:rPr>
      </w:pPr>
      <w:r w:rsidRPr="000A1C8E">
        <w:rPr>
          <w:rFonts w:cs="Tahoma"/>
          <w:bCs/>
          <w:color w:val="000000"/>
          <w:szCs w:val="18"/>
        </w:rPr>
        <w:t>Forefront Protection 2010 para SharePoint, Forefront Protection 2010 para Exchange Server e Forefront Protection 2010 para Sites de Internet não estarão mais disponíveis a partir de 1º de dezembro de 2012. Os</w:t>
      </w:r>
      <w:r w:rsidR="00017C18" w:rsidRPr="000A1C8E">
        <w:rPr>
          <w:rFonts w:cs="Tahoma"/>
          <w:bCs/>
          <w:color w:val="000000"/>
          <w:szCs w:val="18"/>
        </w:rPr>
        <w:t> </w:t>
      </w:r>
      <w:r w:rsidRPr="000A1C8E">
        <w:rPr>
          <w:rFonts w:cs="Tahoma"/>
          <w:bCs/>
          <w:color w:val="000000"/>
          <w:szCs w:val="18"/>
        </w:rPr>
        <w:t xml:space="preserve">clientes existentes com assinaturas ativas para os serviços online a partir de 30 de novembro de 2012 poderão continuar a usar os serviços online até 31 de dezembro de 2015. </w:t>
      </w:r>
      <w:r w:rsidRPr="000A1C8E">
        <w:rPr>
          <w:rFonts w:cs="Tahoma"/>
        </w:rPr>
        <w:t>Os clientes existentes também poderão adicionar novos usuários, conforme necessário, sem qualquer exigência de pedidos de Licenças adicionais de Assinaturas do Usuário.</w:t>
      </w:r>
      <w:r w:rsidR="00DC6D8B" w:rsidRPr="000A1C8E">
        <w:rPr>
          <w:rFonts w:cs="Tahoma"/>
        </w:rPr>
        <w:t xml:space="preserve"> </w:t>
      </w:r>
      <w:r w:rsidRPr="000A1C8E">
        <w:rPr>
          <w:rFonts w:cs="Tahoma"/>
          <w:bCs/>
          <w:color w:val="000000"/>
          <w:szCs w:val="18"/>
        </w:rPr>
        <w:t xml:space="preserve">O uso contínuo dos serviços online permanece sujeito aos termos e às condições do contrato de Licenciamento por Volume do cliente, dos direitos de uso do produto do serviço online e dos termos e das condições aqui. </w:t>
      </w:r>
    </w:p>
    <w:p w:rsidR="00273685" w:rsidRPr="000A1C8E" w:rsidRDefault="00273685" w:rsidP="00273685">
      <w:pPr>
        <w:ind w:left="720"/>
        <w:rPr>
          <w:rFonts w:cs="Tahoma"/>
        </w:rPr>
      </w:pPr>
    </w:p>
    <w:p w:rsidR="00273685" w:rsidRPr="000A1C8E" w:rsidRDefault="00273685" w:rsidP="00221A57">
      <w:pPr>
        <w:spacing w:after="60"/>
        <w:ind w:left="720"/>
        <w:rPr>
          <w:rFonts w:cs="Tahoma"/>
        </w:rPr>
      </w:pPr>
      <w:r w:rsidRPr="000A1C8E">
        <w:rPr>
          <w:rFonts w:cs="Tahoma"/>
          <w:b/>
          <w:szCs w:val="20"/>
        </w:rPr>
        <w:t>Direito de migração para o Forefront Protection 2010 for Exchange Server</w:t>
      </w:r>
    </w:p>
    <w:p w:rsidR="00273685" w:rsidRPr="000A1C8E" w:rsidRDefault="00273685" w:rsidP="00221A57">
      <w:pPr>
        <w:ind w:left="720"/>
        <w:rPr>
          <w:rFonts w:cs="Tahoma"/>
        </w:rPr>
      </w:pPr>
      <w:r w:rsidRPr="000A1C8E">
        <w:rPr>
          <w:rFonts w:cs="Tahoma"/>
          <w:color w:val="000000"/>
          <w:szCs w:val="20"/>
        </w:rPr>
        <w:t>Os clientes de Licenciamento por Volume que adquiriram uma licença para o Forefront Protection 2010 for Exchange Server estão qualificados para usar o Antigen para Exchange, o Antigen para Gateways SMTP e o Antigen Spam Manager no lugar do Forefront Protection 2010 para Exchange Server.</w:t>
      </w:r>
      <w:r w:rsidR="00DC6D8B" w:rsidRPr="000A1C8E">
        <w:rPr>
          <w:rFonts w:cs="Tahoma"/>
          <w:color w:val="000000"/>
          <w:szCs w:val="20"/>
        </w:rPr>
        <w:t xml:space="preserve"> </w:t>
      </w:r>
      <w:r w:rsidRPr="000A1C8E">
        <w:rPr>
          <w:rFonts w:cs="Tahoma"/>
          <w:color w:val="000000"/>
          <w:szCs w:val="20"/>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rsidR="00273685" w:rsidRPr="000A1C8E" w:rsidRDefault="00273685" w:rsidP="00221A57">
      <w:pPr>
        <w:ind w:left="720"/>
        <w:rPr>
          <w:rFonts w:cs="Tahoma"/>
        </w:rPr>
      </w:pPr>
    </w:p>
    <w:p w:rsidR="00273685" w:rsidRPr="000A1C8E" w:rsidRDefault="00273685" w:rsidP="00221A57">
      <w:pPr>
        <w:ind w:left="720"/>
        <w:rPr>
          <w:rFonts w:cs="Tahoma"/>
        </w:rPr>
      </w:pPr>
      <w:r w:rsidRPr="000A1C8E">
        <w:rPr>
          <w:rFonts w:cs="Tahoma"/>
          <w:color w:val="000000"/>
          <w:szCs w:val="20"/>
        </w:rPr>
        <w:t>*O direito de usar o Antigen no lugar do Forefront Security não se aplica aos clientes que inicialmente adquirirem licenças para um ou mais dos serviços Antigen e migrarem para o Forefront Protection 2010 for Exchange Server.</w:t>
      </w:r>
      <w:r w:rsidR="00DC6D8B" w:rsidRPr="000A1C8E">
        <w:rPr>
          <w:rFonts w:cs="Tahoma"/>
          <w:color w:val="000000"/>
          <w:szCs w:val="20"/>
        </w:rPr>
        <w:t xml:space="preserve"> </w:t>
      </w:r>
      <w:r w:rsidRPr="000A1C8E">
        <w:rPr>
          <w:rFonts w:cs="Tahoma"/>
          <w:color w:val="000000"/>
          <w:szCs w:val="20"/>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DC6D8B" w:rsidRPr="000A1C8E">
        <w:rPr>
          <w:rFonts w:cs="Tahoma"/>
          <w:color w:val="000000"/>
          <w:szCs w:val="20"/>
        </w:rPr>
        <w:t xml:space="preserve"> </w:t>
      </w:r>
    </w:p>
    <w:p w:rsidR="00D57009" w:rsidRPr="000A1C8E" w:rsidRDefault="00D57009">
      <w:pPr>
        <w:rPr>
          <w:rFonts w:cs="Tahoma"/>
        </w:rPr>
      </w:pPr>
    </w:p>
    <w:p w:rsidR="00273685" w:rsidRPr="000A1C8E" w:rsidRDefault="00273685" w:rsidP="007B35CE">
      <w:pPr>
        <w:keepNext/>
        <w:spacing w:after="60"/>
        <w:ind w:left="720"/>
        <w:rPr>
          <w:rFonts w:cs="Tahoma"/>
        </w:rPr>
      </w:pPr>
      <w:r w:rsidRPr="000A1C8E">
        <w:rPr>
          <w:rFonts w:cs="Tahoma"/>
          <w:b/>
          <w:szCs w:val="20"/>
        </w:rPr>
        <w:t>Direito de downgrade do Forefront Security for SharePoint</w:t>
      </w:r>
    </w:p>
    <w:p w:rsidR="00273685" w:rsidRPr="000A1C8E" w:rsidRDefault="00273685" w:rsidP="00221A57">
      <w:pPr>
        <w:ind w:left="720"/>
        <w:rPr>
          <w:rFonts w:cs="Tahoma"/>
        </w:rPr>
      </w:pPr>
      <w:r w:rsidRPr="000A1C8E">
        <w:rPr>
          <w:rFonts w:cs="Tahoma"/>
          <w:szCs w:val="20"/>
        </w:rPr>
        <w:t>Os clientes de Licenciamento por Volume que adquiriram uma licença para o Forefront Protection 2010 para SharePoint estão qualificados para fazer downgrade para e usar o Antigen para SharePoint no lugar de suas licenças do Forefront Protection 2010 para SharePoint.</w:t>
      </w:r>
      <w:r w:rsidR="00DC6D8B" w:rsidRPr="000A1C8E">
        <w:rPr>
          <w:rFonts w:cs="Tahoma"/>
          <w:szCs w:val="20"/>
        </w:rPr>
        <w:t xml:space="preserve"> </w:t>
      </w:r>
      <w:r w:rsidRPr="000A1C8E">
        <w:rPr>
          <w:rFonts w:cs="Tahoma"/>
          <w:szCs w:val="20"/>
        </w:rPr>
        <w:t>O uso do Antigen para SharePoint está sujeito ao respectivo contrato de licença e aos direitos de uso do Forefront Protection 2010 for SharePoint. Os direitos dos clientes de usar o Antigen para SharePoint expirarão quando os direitos sob a licença do Forefront Protection 2010 for SharePoint expirarem.</w:t>
      </w:r>
    </w:p>
    <w:p w:rsidR="00273685" w:rsidRPr="000A1C8E" w:rsidRDefault="00273685" w:rsidP="00221A57">
      <w:pPr>
        <w:ind w:left="720"/>
        <w:rPr>
          <w:rFonts w:cs="Tahoma"/>
        </w:rPr>
      </w:pPr>
    </w:p>
    <w:p w:rsidR="00273685" w:rsidRPr="000A1C8E" w:rsidRDefault="00273685" w:rsidP="00221A57">
      <w:pPr>
        <w:ind w:left="720"/>
        <w:rPr>
          <w:rFonts w:cs="Tahoma"/>
        </w:rPr>
      </w:pPr>
      <w:r w:rsidRPr="000A1C8E">
        <w:rPr>
          <w:rFonts w:cs="Tahoma"/>
          <w:bCs/>
          <w:color w:val="000000"/>
          <w:szCs w:val="20"/>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Internet Sites.</w:t>
      </w:r>
    </w:p>
    <w:p w:rsidR="00273685" w:rsidRPr="000A1C8E" w:rsidRDefault="00273685" w:rsidP="00221A57">
      <w:pPr>
        <w:pStyle w:val="EndnoteText"/>
        <w:ind w:left="720"/>
        <w:rPr>
          <w:rFonts w:ascii="Tahoma" w:hAnsi="Tahoma" w:cs="Tahoma"/>
        </w:rPr>
      </w:pPr>
    </w:p>
    <w:p w:rsidR="00023FE7" w:rsidRPr="000A1C8E" w:rsidRDefault="00273685" w:rsidP="00221A57">
      <w:pPr>
        <w:pStyle w:val="EndnoteText"/>
        <w:ind w:left="720"/>
        <w:rPr>
          <w:rFonts w:ascii="Tahoma" w:hAnsi="Tahoma" w:cs="Tahoma"/>
        </w:rPr>
      </w:pPr>
      <w:r w:rsidRPr="000A1C8E">
        <w:rPr>
          <w:rFonts w:ascii="Tahoma" w:hAnsi="Tahoma" w:cs="Tahoma"/>
          <w:bCs/>
          <w:color w:val="000000"/>
          <w:sz w:val="18"/>
          <w:szCs w:val="20"/>
        </w:rPr>
        <w:t>Consulte a</w:t>
      </w:r>
      <w:hyperlink w:anchor="_Section_10_–" w:history="1">
        <w:r w:rsidRPr="000A1C8E">
          <w:rPr>
            <w:rStyle w:val="Hyperlink"/>
            <w:rFonts w:ascii="Tahoma" w:hAnsi="Tahoma" w:cs="Tahoma"/>
            <w:sz w:val="18"/>
          </w:rPr>
          <w:t xml:space="preserve"> Seção 10</w:t>
        </w:r>
      </w:hyperlink>
      <w:r w:rsidRPr="000A1C8E">
        <w:rPr>
          <w:rFonts w:ascii="Tahoma" w:hAnsi="Tahoma" w:cs="Tahoma"/>
          <w:bCs/>
          <w:color w:val="000000"/>
          <w:sz w:val="18"/>
          <w:szCs w:val="20"/>
        </w:rPr>
        <w:t xml:space="preserve"> para obter informações sobre os termos de pagamento e preços dos serviços online.</w:t>
      </w:r>
    </w:p>
    <w:p w:rsidR="00796FF5" w:rsidRPr="000A1C8E" w:rsidRDefault="00A560B6" w:rsidP="00796FF5">
      <w:pPr>
        <w:pStyle w:val="Heading3"/>
        <w:rPr>
          <w:rFonts w:ascii="Tahoma" w:hAnsi="Tahoma" w:cs="Tahoma"/>
        </w:rPr>
      </w:pPr>
      <w:bookmarkStart w:id="1345" w:name="_61_Forefront_Protection"/>
      <w:bookmarkStart w:id="1346" w:name="_64_Forefront_Protection"/>
      <w:bookmarkStart w:id="1347" w:name="_65_Forefront_Protection"/>
      <w:bookmarkStart w:id="1348" w:name="_Toc336338319"/>
      <w:bookmarkStart w:id="1349" w:name="_Toc361829408"/>
      <w:bookmarkStart w:id="1350" w:name="Srv_45ForefrontSecfoOffComm"/>
      <w:bookmarkStart w:id="1351" w:name="Srv_46ForefrontSecfoOffComm"/>
      <w:bookmarkEnd w:id="1345"/>
      <w:bookmarkEnd w:id="1346"/>
      <w:bookmarkEnd w:id="1347"/>
      <w:r w:rsidRPr="000A1C8E">
        <w:rPr>
          <w:rFonts w:ascii="Tahoma" w:hAnsi="Tahoma" w:cs="Tahoma"/>
          <w:caps/>
          <w:color w:val="F66400"/>
          <w:sz w:val="22"/>
          <w:vertAlign w:val="superscript"/>
        </w:rPr>
        <w:lastRenderedPageBreak/>
        <w:t>65</w:t>
      </w:r>
      <w:r w:rsidRPr="000A1C8E">
        <w:rPr>
          <w:rFonts w:ascii="Tahoma" w:hAnsi="Tahoma" w:cs="Tahoma"/>
          <w:color w:val="F66400"/>
          <w:sz w:val="22"/>
        </w:rPr>
        <w:t xml:space="preserve"> Forefront Protection Suite (Dispositivo e Usuário)</w:t>
      </w:r>
      <w:bookmarkEnd w:id="1348"/>
      <w:bookmarkEnd w:id="1349"/>
    </w:p>
    <w:bookmarkEnd w:id="1344"/>
    <w:p w:rsidR="00796FF5" w:rsidRPr="000A1C8E" w:rsidRDefault="00796FF5" w:rsidP="00796FF5">
      <w:pPr>
        <w:rPr>
          <w:rFonts w:cs="Tahoma"/>
        </w:rPr>
      </w:pPr>
    </w:p>
    <w:p w:rsidR="009115D6" w:rsidRPr="000A1C8E" w:rsidRDefault="009115D6" w:rsidP="00796FF5">
      <w:pPr>
        <w:ind w:left="720"/>
        <w:rPr>
          <w:rFonts w:cs="Tahoma"/>
        </w:rPr>
      </w:pPr>
      <w:r w:rsidRPr="000A1C8E">
        <w:rPr>
          <w:rFonts w:cs="Tahoma"/>
          <w:bCs/>
          <w:color w:val="000000"/>
          <w:szCs w:val="18"/>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DC6D8B" w:rsidRPr="000A1C8E">
        <w:rPr>
          <w:rFonts w:cs="Tahoma"/>
          <w:bCs/>
          <w:color w:val="000000"/>
          <w:szCs w:val="18"/>
        </w:rPr>
        <w:t xml:space="preserve"> </w:t>
      </w:r>
      <w:r w:rsidRPr="000A1C8E">
        <w:rPr>
          <w:rFonts w:cs="Tahoma"/>
          <w:bCs/>
          <w:color w:val="000000"/>
          <w:szCs w:val="18"/>
        </w:rPr>
        <w:t xml:space="preserve">Esses clientes também podem continuar a usar os componentes do </w:t>
      </w:r>
      <w:r w:rsidRPr="000A1C8E">
        <w:rPr>
          <w:rFonts w:cs="Tahoma"/>
          <w:color w:val="000000"/>
          <w:szCs w:val="20"/>
        </w:rPr>
        <w:t xml:space="preserve">Forefront Security para Office Communications Server, Forefront Protection 2010 para Exchange Server, Forefront Threat Management Gateway Web Protection Service e Forefront Protection 2010 para SharePoint Server </w:t>
      </w:r>
      <w:r w:rsidRPr="000A1C8E">
        <w:rPr>
          <w:rFonts w:cs="Tahoma"/>
          <w:bCs/>
          <w:color w:val="000000"/>
          <w:szCs w:val="18"/>
        </w:rPr>
        <w:t xml:space="preserve">do pacote até 31 de dezembro de 2015. </w:t>
      </w:r>
      <w:r w:rsidRPr="000A1C8E">
        <w:rPr>
          <w:rFonts w:cs="Tahoma"/>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0A1C8E">
        <w:rPr>
          <w:rFonts w:cs="Tahoma"/>
          <w:bCs/>
          <w:szCs w:val="18"/>
        </w:rPr>
        <w:t xml:space="preserve"> </w:t>
      </w:r>
      <w:r w:rsidRPr="000A1C8E">
        <w:rPr>
          <w:rFonts w:cs="Tahoma"/>
          <w:bCs/>
          <w:color w:val="000000"/>
          <w:szCs w:val="18"/>
        </w:rPr>
        <w:t>O uso contínuo dos serviços online dos componentes permanece sujeito aos termos e às condições do contrato de Licenciamento por Volume do cliente, dos direitos de uso do produto dos serviços online e dos termos e das condições aqui.</w:t>
      </w:r>
    </w:p>
    <w:p w:rsidR="009115D6" w:rsidRPr="000A1C8E" w:rsidRDefault="009115D6" w:rsidP="00796FF5">
      <w:pPr>
        <w:ind w:left="720"/>
        <w:rPr>
          <w:rFonts w:cs="Tahoma"/>
        </w:rPr>
      </w:pPr>
    </w:p>
    <w:p w:rsidR="00796FF5" w:rsidRPr="000A1C8E" w:rsidRDefault="00796FF5" w:rsidP="00796FF5">
      <w:pPr>
        <w:ind w:left="720"/>
        <w:rPr>
          <w:rFonts w:cs="Tahoma"/>
        </w:rPr>
      </w:pPr>
      <w:r w:rsidRPr="000A1C8E">
        <w:rPr>
          <w:rFonts w:cs="Tahoma"/>
          <w:color w:val="000000"/>
          <w:szCs w:val="20"/>
        </w:rPr>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rsidR="00796FF5" w:rsidRPr="000A1C8E" w:rsidRDefault="00796FF5" w:rsidP="00796FF5">
      <w:pPr>
        <w:ind w:left="720"/>
        <w:rPr>
          <w:rFonts w:cs="Tahoma"/>
        </w:rPr>
      </w:pPr>
    </w:p>
    <w:p w:rsidR="006E5A58" w:rsidRPr="000A1C8E" w:rsidRDefault="00796FF5" w:rsidP="00221A57">
      <w:pPr>
        <w:ind w:left="720"/>
        <w:rPr>
          <w:rFonts w:cs="Tahoma"/>
        </w:rPr>
      </w:pPr>
      <w:r w:rsidRPr="000A1C8E">
        <w:rPr>
          <w:rFonts w:cs="Tahoma"/>
          <w:bCs/>
          <w:color w:val="000000"/>
          <w:szCs w:val="20"/>
        </w:rPr>
        <w:t xml:space="preserve">Consulte a </w:t>
      </w:r>
      <w:r w:rsidRPr="000A1C8E">
        <w:rPr>
          <w:rFonts w:cs="Tahoma"/>
        </w:rPr>
        <w:t>Seção 5</w:t>
      </w:r>
      <w:r w:rsidRPr="000A1C8E">
        <w:rPr>
          <w:rFonts w:cs="Tahoma"/>
          <w:bCs/>
          <w:color w:val="000000"/>
          <w:szCs w:val="20"/>
        </w:rPr>
        <w:t xml:space="preserve"> para obter informações sobre os termos de pagamento e preços dos serviços online. </w:t>
      </w:r>
    </w:p>
    <w:p w:rsidR="00796FF5" w:rsidRPr="000A1C8E" w:rsidRDefault="00796FF5" w:rsidP="00221A57">
      <w:pPr>
        <w:rPr>
          <w:rFonts w:cs="Tahoma"/>
        </w:rPr>
      </w:pPr>
    </w:p>
    <w:p w:rsidR="009C2B6B" w:rsidRPr="000A1C8E" w:rsidRDefault="009C2B6B" w:rsidP="00221A57">
      <w:pPr>
        <w:rPr>
          <w:rFonts w:cs="Tahoma"/>
        </w:rPr>
      </w:pPr>
    </w:p>
    <w:p w:rsidR="00023FE7" w:rsidRPr="000A1C8E" w:rsidRDefault="00A560B6">
      <w:pPr>
        <w:pStyle w:val="Heading3"/>
        <w:rPr>
          <w:rFonts w:ascii="Tahoma" w:hAnsi="Tahoma" w:cs="Tahoma"/>
          <w:spacing w:val="-2"/>
        </w:rPr>
      </w:pPr>
      <w:bookmarkStart w:id="1352" w:name="_65_Forefront_Security"/>
      <w:bookmarkStart w:id="1353" w:name="_66_Forefront_Security"/>
      <w:bookmarkStart w:id="1354" w:name="_Toc336338320"/>
      <w:bookmarkStart w:id="1355" w:name="_Toc361829409"/>
      <w:bookmarkStart w:id="1356" w:name="Srv_49ForefrontSecfoOffComm"/>
      <w:bookmarkEnd w:id="1352"/>
      <w:bookmarkEnd w:id="1353"/>
      <w:r w:rsidRPr="000A1C8E">
        <w:rPr>
          <w:rFonts w:ascii="Tahoma" w:hAnsi="Tahoma" w:cs="Tahoma"/>
          <w:caps/>
          <w:color w:val="F66400"/>
          <w:spacing w:val="-2"/>
          <w:sz w:val="22"/>
          <w:vertAlign w:val="superscript"/>
        </w:rPr>
        <w:t xml:space="preserve">66 </w:t>
      </w:r>
      <w:r w:rsidRPr="000A1C8E">
        <w:rPr>
          <w:rFonts w:ascii="Tahoma" w:hAnsi="Tahoma" w:cs="Tahoma"/>
          <w:color w:val="F66400"/>
          <w:spacing w:val="-2"/>
          <w:sz w:val="22"/>
        </w:rPr>
        <w:t>Forefront Security para Office Communications Server (SL de Usuário e Dispositivo)</w:t>
      </w:r>
      <w:bookmarkEnd w:id="1354"/>
      <w:bookmarkEnd w:id="1355"/>
    </w:p>
    <w:bookmarkEnd w:id="1356"/>
    <w:p w:rsidR="00023FE7" w:rsidRPr="000A1C8E" w:rsidRDefault="00023FE7">
      <w:pPr>
        <w:pStyle w:val="EndnoteText"/>
        <w:ind w:left="0"/>
        <w:rPr>
          <w:rFonts w:ascii="Tahoma" w:hAnsi="Tahoma" w:cs="Tahoma"/>
        </w:rPr>
      </w:pPr>
    </w:p>
    <w:bookmarkEnd w:id="1350"/>
    <w:bookmarkEnd w:id="1351"/>
    <w:p w:rsidR="009115D6" w:rsidRPr="000A1C8E" w:rsidRDefault="009115D6" w:rsidP="009115D6">
      <w:pPr>
        <w:ind w:left="720"/>
        <w:rPr>
          <w:rFonts w:cs="Tahoma"/>
        </w:rPr>
      </w:pPr>
      <w:r w:rsidRPr="000A1C8E">
        <w:rPr>
          <w:rFonts w:cs="Tahoma"/>
          <w:bCs/>
          <w:color w:val="000000"/>
          <w:szCs w:val="18"/>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0A1C8E">
        <w:rPr>
          <w:rFonts w:cs="Tahoma"/>
        </w:rPr>
        <w:t>Os clientes existentes também poderão adicionar novos usuários, conforme necessário, sem qualquer exigência de pedidos de Licenças adicionais de Assinaturas do Usuário.</w:t>
      </w:r>
      <w:r w:rsidR="00DC6D8B" w:rsidRPr="000A1C8E">
        <w:rPr>
          <w:rFonts w:cs="Tahoma"/>
        </w:rPr>
        <w:t xml:space="preserve"> </w:t>
      </w:r>
      <w:r w:rsidRPr="000A1C8E">
        <w:rPr>
          <w:rFonts w:cs="Tahoma"/>
          <w:bCs/>
          <w:color w:val="000000"/>
          <w:szCs w:val="18"/>
        </w:rPr>
        <w:t xml:space="preserve">O uso contínuo do serviço online permanece sujeito aos termos e às condições do contrato de Licenciamento por Volume do cliente, dos direitos de uso do produto do serviço online e dos termos e das condições aqui. </w:t>
      </w:r>
    </w:p>
    <w:p w:rsidR="009115D6" w:rsidRPr="000A1C8E" w:rsidRDefault="009115D6" w:rsidP="009115D6">
      <w:pPr>
        <w:ind w:left="720"/>
        <w:rPr>
          <w:rFonts w:cs="Tahoma"/>
        </w:rPr>
      </w:pPr>
    </w:p>
    <w:p w:rsidR="00023FE7" w:rsidRPr="000A1C8E" w:rsidRDefault="00023FE7" w:rsidP="00E62BC4">
      <w:pPr>
        <w:pStyle w:val="EndnoteText"/>
        <w:ind w:left="720"/>
        <w:rPr>
          <w:rFonts w:ascii="Tahoma" w:hAnsi="Tahoma" w:cs="Tahoma"/>
        </w:rPr>
      </w:pPr>
      <w:r w:rsidRPr="000A1C8E">
        <w:rPr>
          <w:rFonts w:ascii="Tahoma" w:hAnsi="Tahoma" w:cs="Tahoma"/>
          <w:bCs/>
          <w:color w:val="000000"/>
          <w:sz w:val="18"/>
          <w:szCs w:val="20"/>
        </w:rPr>
        <w:t>Todos os usuários (ou dispositivos) que acessarem um servidor protegido precisarão de SLs de Usuário (ou Dispositivo).</w:t>
      </w:r>
      <w:r w:rsidR="00DC6D8B" w:rsidRPr="000A1C8E">
        <w:rPr>
          <w:rFonts w:ascii="Tahoma" w:hAnsi="Tahoma" w:cs="Tahoma"/>
          <w:bCs/>
          <w:color w:val="000000"/>
          <w:sz w:val="18"/>
          <w:szCs w:val="20"/>
        </w:rPr>
        <w:t xml:space="preserve"> </w:t>
      </w:r>
      <w:r w:rsidRPr="000A1C8E">
        <w:rPr>
          <w:rFonts w:ascii="Tahoma" w:hAnsi="Tahoma" w:cs="Tahoma"/>
          <w:bCs/>
          <w:color w:val="000000"/>
          <w:sz w:val="18"/>
          <w:szCs w:val="20"/>
        </w:rPr>
        <w:t>Este serviço online era conhecido como Antigen para Mensagens Instantâneas.</w:t>
      </w:r>
      <w:r w:rsidR="00DC6D8B" w:rsidRPr="000A1C8E">
        <w:rPr>
          <w:rFonts w:ascii="Tahoma" w:hAnsi="Tahoma" w:cs="Tahoma"/>
          <w:bCs/>
          <w:color w:val="000000"/>
          <w:sz w:val="18"/>
          <w:szCs w:val="20"/>
        </w:rPr>
        <w:t xml:space="preserve"> </w:t>
      </w:r>
    </w:p>
    <w:p w:rsidR="00023FE7" w:rsidRPr="000A1C8E" w:rsidRDefault="00023FE7" w:rsidP="00697E59">
      <w:pPr>
        <w:rPr>
          <w:rFonts w:cs="Tahoma"/>
        </w:rPr>
      </w:pPr>
      <w:bookmarkStart w:id="1357" w:name="Srv_48ForefrontSvrSecMgmtConsole"/>
    </w:p>
    <w:p w:rsidR="00EE30F1" w:rsidRPr="000A1C8E" w:rsidRDefault="00EE30F1" w:rsidP="00221A57">
      <w:pPr>
        <w:rPr>
          <w:rFonts w:cs="Tahoma"/>
        </w:rPr>
      </w:pPr>
      <w:bookmarkStart w:id="1358" w:name="_49_Forefront_Threat"/>
      <w:bookmarkStart w:id="1359" w:name="Srv_52ForefrontUnifiedAccessGtwy2010"/>
      <w:bookmarkStart w:id="1360" w:name="Srv_56ForefrontUnifiedAccessGtwy2010"/>
      <w:bookmarkEnd w:id="1357"/>
      <w:bookmarkEnd w:id="1358"/>
    </w:p>
    <w:p w:rsidR="0079439D" w:rsidRPr="000A1C8E" w:rsidRDefault="00A560B6" w:rsidP="00221A57">
      <w:pPr>
        <w:pStyle w:val="Heading3"/>
        <w:rPr>
          <w:rFonts w:ascii="Tahoma" w:hAnsi="Tahoma" w:cs="Tahoma"/>
        </w:rPr>
      </w:pPr>
      <w:bookmarkStart w:id="1361" w:name="_50__Forefront"/>
      <w:bookmarkStart w:id="1362" w:name="_57_Forefront_Threat"/>
      <w:bookmarkStart w:id="1363" w:name="_66_Forefront_Threat"/>
      <w:bookmarkStart w:id="1364" w:name="_67_Forefront_Threat"/>
      <w:bookmarkStart w:id="1365" w:name="_Toc336338321"/>
      <w:bookmarkStart w:id="1366" w:name="Srv_51ForefrontThreatMgmtGtwy2010"/>
      <w:bookmarkStart w:id="1367" w:name="_Toc361829410"/>
      <w:bookmarkEnd w:id="1361"/>
      <w:bookmarkEnd w:id="1362"/>
      <w:bookmarkEnd w:id="1363"/>
      <w:bookmarkEnd w:id="1364"/>
      <w:r w:rsidRPr="000A1C8E">
        <w:rPr>
          <w:rFonts w:ascii="Tahoma" w:hAnsi="Tahoma" w:cs="Tahoma"/>
          <w:caps/>
          <w:color w:val="F66400"/>
          <w:sz w:val="22"/>
          <w:vertAlign w:val="superscript"/>
        </w:rPr>
        <w:t xml:space="preserve">67 </w:t>
      </w:r>
      <w:r w:rsidRPr="000A1C8E">
        <w:rPr>
          <w:rFonts w:ascii="Tahoma" w:hAnsi="Tahoma" w:cs="Tahoma"/>
          <w:color w:val="F66400"/>
          <w:sz w:val="22"/>
        </w:rPr>
        <w:t xml:space="preserve">Forefront Threat Management Gateway </w:t>
      </w:r>
      <w:bookmarkEnd w:id="1365"/>
      <w:r w:rsidRPr="000A1C8E">
        <w:rPr>
          <w:rFonts w:ascii="Tahoma" w:hAnsi="Tahoma" w:cs="Tahoma"/>
          <w:color w:val="F66400"/>
          <w:sz w:val="22"/>
        </w:rPr>
        <w:t>Web Protection Service</w:t>
      </w:r>
      <w:bookmarkEnd w:id="1366"/>
      <w:bookmarkEnd w:id="1367"/>
    </w:p>
    <w:p w:rsidR="00221A57" w:rsidRPr="000A1C8E" w:rsidRDefault="00221A57" w:rsidP="00221A57">
      <w:pPr>
        <w:rPr>
          <w:rFonts w:cs="Tahoma"/>
        </w:rPr>
      </w:pPr>
    </w:p>
    <w:p w:rsidR="00586FCE" w:rsidRPr="000A1C8E" w:rsidRDefault="0079439D" w:rsidP="00221A57">
      <w:pPr>
        <w:ind w:left="720"/>
        <w:rPr>
          <w:rFonts w:cs="Tahoma"/>
        </w:rPr>
      </w:pPr>
      <w:bookmarkStart w:id="1368" w:name="_Toc336338322"/>
      <w:r w:rsidRPr="000A1C8E">
        <w:rPr>
          <w:rFonts w:cs="Tahoma"/>
          <w:bCs/>
          <w:color w:val="000000"/>
          <w:szCs w:val="18"/>
        </w:rPr>
        <w:t xml:space="preserve">O Forefront Threat Management Gateway Web Protection Service não estará mais disponível a partir de 1º de dezembro de 2012. Os clientes com assinaturas ativas para o serviço online a partir de 30 de novembro de 2012 poderão continuar a usar o serviço online até 31 de dezembro de 2015. </w:t>
      </w:r>
      <w:r w:rsidRPr="000A1C8E">
        <w:rPr>
          <w:rFonts w:cs="Tahoma"/>
        </w:rPr>
        <w:t>Os clientes existentes também poderão adicionar novos usuários, conforme necessário, sem qualquer exigência de pedidos de Licenças adicionais de Assinaturas do Usuário.</w:t>
      </w:r>
      <w:r w:rsidR="00DC6D8B" w:rsidRPr="000A1C8E">
        <w:rPr>
          <w:rFonts w:cs="Tahoma"/>
          <w:bCs/>
          <w:szCs w:val="18"/>
        </w:rPr>
        <w:t xml:space="preserve"> </w:t>
      </w:r>
      <w:r w:rsidRPr="000A1C8E">
        <w:rPr>
          <w:rFonts w:cs="Tahoma"/>
          <w:bCs/>
          <w:color w:val="000000"/>
          <w:szCs w:val="18"/>
        </w:rPr>
        <w:t xml:space="preserve">O uso contínuo do serviço online permanece sujeito aos termos e às condições do contrato de Licenciamento por Volume do cliente, dos direitos de uso do produto do serviço online e dos termos e das condições aqui. </w:t>
      </w:r>
    </w:p>
    <w:p w:rsidR="00221A57" w:rsidRPr="000A1C8E" w:rsidRDefault="00221A57" w:rsidP="00221A57">
      <w:pPr>
        <w:rPr>
          <w:rFonts w:cs="Tahoma"/>
        </w:rPr>
      </w:pPr>
    </w:p>
    <w:p w:rsidR="00221A57" w:rsidRPr="000A1C8E" w:rsidRDefault="00221A57" w:rsidP="00221A57">
      <w:pPr>
        <w:rPr>
          <w:rFonts w:cs="Tahoma"/>
        </w:rPr>
      </w:pPr>
    </w:p>
    <w:p w:rsidR="009E4FDD" w:rsidRPr="000A1C8E" w:rsidRDefault="00A560B6" w:rsidP="009E4FDD">
      <w:pPr>
        <w:pStyle w:val="Heading3"/>
        <w:rPr>
          <w:rFonts w:ascii="Tahoma" w:hAnsi="Tahoma" w:cs="Tahoma"/>
        </w:rPr>
      </w:pPr>
      <w:bookmarkStart w:id="1369" w:name="_67_Forefront_Unified"/>
      <w:bookmarkStart w:id="1370" w:name="_68_Forefront_Unified"/>
      <w:bookmarkStart w:id="1371" w:name="_Toc361829411"/>
      <w:bookmarkEnd w:id="1369"/>
      <w:bookmarkEnd w:id="1370"/>
      <w:r w:rsidRPr="000A1C8E">
        <w:rPr>
          <w:rFonts w:ascii="Tahoma" w:hAnsi="Tahoma" w:cs="Tahoma"/>
          <w:caps/>
          <w:color w:val="F66400"/>
          <w:sz w:val="22"/>
          <w:vertAlign w:val="superscript"/>
        </w:rPr>
        <w:t xml:space="preserve">68 </w:t>
      </w:r>
      <w:r w:rsidRPr="000A1C8E">
        <w:rPr>
          <w:rFonts w:ascii="Tahoma" w:hAnsi="Tahoma" w:cs="Tahoma"/>
          <w:color w:val="F66400"/>
          <w:sz w:val="22"/>
        </w:rPr>
        <w:t>Forefront Unified Access Gateway 2010</w:t>
      </w:r>
      <w:bookmarkEnd w:id="1368"/>
      <w:bookmarkEnd w:id="1371"/>
    </w:p>
    <w:bookmarkEnd w:id="1359"/>
    <w:bookmarkEnd w:id="1360"/>
    <w:p w:rsidR="009E4FDD" w:rsidRPr="000A1C8E" w:rsidRDefault="009E4FDD" w:rsidP="009E4FDD">
      <w:pPr>
        <w:rPr>
          <w:rFonts w:cs="Tahoma"/>
        </w:rPr>
      </w:pPr>
    </w:p>
    <w:p w:rsidR="009E4FDD" w:rsidRPr="000A1C8E" w:rsidRDefault="009E4FDD" w:rsidP="00221A57">
      <w:pPr>
        <w:spacing w:after="60"/>
        <w:ind w:left="720"/>
        <w:rPr>
          <w:rFonts w:cs="Tahoma"/>
        </w:rPr>
      </w:pPr>
      <w:r w:rsidRPr="000A1C8E">
        <w:rPr>
          <w:rFonts w:cs="Tahoma"/>
          <w:b/>
          <w:color w:val="000000"/>
          <w:szCs w:val="18"/>
        </w:rPr>
        <w:t>Versão</w:t>
      </w:r>
    </w:p>
    <w:p w:rsidR="009E4FDD" w:rsidRPr="000A1C8E" w:rsidRDefault="009E4FDD" w:rsidP="009E4FDD">
      <w:pPr>
        <w:ind w:left="720"/>
        <w:rPr>
          <w:rFonts w:cs="Tahoma"/>
          <w:spacing w:val="-2"/>
        </w:rPr>
      </w:pPr>
      <w:r w:rsidRPr="000A1C8E">
        <w:rPr>
          <w:rFonts w:cs="Tahoma"/>
          <w:color w:val="000000"/>
          <w:spacing w:val="-2"/>
          <w:szCs w:val="18"/>
        </w:rPr>
        <w:t>O Forefront Unified Access Gateway 2010 é a próxima versão do Whale Intelligent Application Gateway 2007.</w:t>
      </w:r>
    </w:p>
    <w:p w:rsidR="00EE30F1" w:rsidRPr="000A1C8E" w:rsidRDefault="00EE30F1">
      <w:pPr>
        <w:ind w:left="720"/>
        <w:rPr>
          <w:rFonts w:cs="Tahoma"/>
        </w:rPr>
      </w:pPr>
    </w:p>
    <w:p w:rsidR="001979E9" w:rsidRPr="000A1C8E" w:rsidRDefault="001979E9">
      <w:pPr>
        <w:ind w:left="720"/>
        <w:rPr>
          <w:rFonts w:cs="Tahoma"/>
        </w:rPr>
      </w:pPr>
    </w:p>
    <w:p w:rsidR="00017C18" w:rsidRPr="000A1C8E" w:rsidRDefault="00017C18">
      <w:pPr>
        <w:ind w:left="720"/>
        <w:rPr>
          <w:rFonts w:cs="Tahoma"/>
        </w:rPr>
      </w:pPr>
    </w:p>
    <w:p w:rsidR="00017C18" w:rsidRPr="000A1C8E" w:rsidRDefault="00017C18">
      <w:pPr>
        <w:ind w:left="720"/>
        <w:rPr>
          <w:rFonts w:cs="Tahoma"/>
        </w:rPr>
      </w:pPr>
    </w:p>
    <w:p w:rsidR="00017C18" w:rsidRPr="000A1C8E" w:rsidRDefault="00017C18">
      <w:pPr>
        <w:ind w:left="720"/>
        <w:rPr>
          <w:rFonts w:cs="Tahoma"/>
        </w:rPr>
      </w:pPr>
    </w:p>
    <w:p w:rsidR="00023FE7" w:rsidRPr="000A1C8E" w:rsidRDefault="00A560B6" w:rsidP="00416294">
      <w:pPr>
        <w:pStyle w:val="Heading3"/>
        <w:rPr>
          <w:rFonts w:ascii="Tahoma" w:hAnsi="Tahoma" w:cs="Tahoma"/>
        </w:rPr>
      </w:pPr>
      <w:bookmarkStart w:id="1372" w:name="_51_High_Performance"/>
      <w:bookmarkStart w:id="1373" w:name="_63_61_HPC"/>
      <w:bookmarkStart w:id="1374" w:name="_68_HPC_Pack"/>
      <w:bookmarkStart w:id="1375" w:name="_69_HPC_Pack"/>
      <w:bookmarkStart w:id="1376" w:name="_Toc336338323"/>
      <w:bookmarkStart w:id="1377" w:name="_Toc361829412"/>
      <w:bookmarkStart w:id="1378" w:name="Srv_48HighPerfComputingPack"/>
      <w:bookmarkStart w:id="1379" w:name="Srv_54HighPerfComputingPack"/>
      <w:bookmarkStart w:id="1380" w:name="Srv_49HighPerfComputingPack"/>
      <w:bookmarkEnd w:id="1372"/>
      <w:bookmarkEnd w:id="1373"/>
      <w:bookmarkEnd w:id="1374"/>
      <w:bookmarkEnd w:id="1375"/>
      <w:r w:rsidRPr="000A1C8E">
        <w:rPr>
          <w:rFonts w:ascii="Tahoma" w:hAnsi="Tahoma" w:cs="Tahoma"/>
          <w:caps/>
          <w:color w:val="F66400"/>
          <w:sz w:val="22"/>
          <w:vertAlign w:val="superscript"/>
        </w:rPr>
        <w:lastRenderedPageBreak/>
        <w:t xml:space="preserve">69 </w:t>
      </w:r>
      <w:r w:rsidRPr="000A1C8E">
        <w:rPr>
          <w:rFonts w:ascii="Tahoma" w:hAnsi="Tahoma" w:cs="Tahoma"/>
          <w:color w:val="F66400"/>
          <w:sz w:val="22"/>
        </w:rPr>
        <w:t>HPC Pack 2008 R2 Enterprise</w:t>
      </w:r>
      <w:bookmarkEnd w:id="1376"/>
      <w:bookmarkEnd w:id="1377"/>
    </w:p>
    <w:bookmarkEnd w:id="1378"/>
    <w:bookmarkEnd w:id="1379"/>
    <w:p w:rsidR="00023FE7" w:rsidRPr="000A1C8E" w:rsidRDefault="00023FE7" w:rsidP="00416294">
      <w:pPr>
        <w:ind w:left="720"/>
        <w:rPr>
          <w:rFonts w:cs="Tahoma"/>
        </w:rPr>
      </w:pPr>
    </w:p>
    <w:bookmarkEnd w:id="1380"/>
    <w:p w:rsidR="00221A57" w:rsidRPr="000A1C8E" w:rsidRDefault="001978C7" w:rsidP="00221A57">
      <w:pPr>
        <w:spacing w:after="60"/>
        <w:ind w:left="720"/>
        <w:rPr>
          <w:rFonts w:cs="Tahoma"/>
        </w:rPr>
      </w:pPr>
      <w:r w:rsidRPr="000A1C8E">
        <w:rPr>
          <w:rFonts w:cs="Tahoma"/>
          <w:b/>
          <w:color w:val="000000"/>
        </w:rPr>
        <w:t>Outorgas de licença associadas ao término da validade do HPC Pack Enterprise</w:t>
      </w:r>
    </w:p>
    <w:p w:rsidR="00221A57" w:rsidRPr="000A1C8E" w:rsidRDefault="001978C7" w:rsidP="00221A57">
      <w:pPr>
        <w:ind w:left="720"/>
        <w:rPr>
          <w:rFonts w:cs="Tahoma"/>
        </w:rPr>
      </w:pPr>
      <w:r w:rsidRPr="000A1C8E">
        <w:rPr>
          <w:rFonts w:cs="Tahoma"/>
          <w:color w:val="000000"/>
        </w:rPr>
        <w:t xml:space="preserve">O HPC Pack 2008 R2 Enterprise será a última versão do HPC Pack Enterprise vendido em Licenciamento por Volume. Versões futuras estarão disponíveis como download gratuito. Os clientes de Licenciamento por 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(“Licenças Qualificadas”) poderão </w:t>
      </w:r>
      <w:r w:rsidRPr="000A1C8E">
        <w:rPr>
          <w:rFonts w:eastAsia="Calibri" w:cs="Tahoma"/>
          <w:szCs w:val="18"/>
        </w:rPr>
        <w:t>usar o software Windows Server 2012 Standard. Para facilitar tal uso, para cada duas Licenças Qualificadas que o cliente possui, ele terá uma licença do processador Windows Server 2012 Standard mediante a disponibilização do Windows Server 2012.</w:t>
      </w:r>
    </w:p>
    <w:p w:rsidR="001978C7" w:rsidRPr="000A1C8E" w:rsidRDefault="001978C7" w:rsidP="00221A57">
      <w:pPr>
        <w:ind w:left="720"/>
        <w:rPr>
          <w:rFonts w:cs="Tahoma"/>
        </w:rPr>
      </w:pPr>
      <w:r w:rsidRPr="000A1C8E">
        <w:rPr>
          <w:rFonts w:eastAsia="Calibri" w:cs="Tahoma"/>
          <w:szCs w:val="18"/>
        </w:rPr>
        <w:t xml:space="preserve"> </w:t>
      </w:r>
    </w:p>
    <w:p w:rsidR="001978C7" w:rsidRPr="000A1C8E" w:rsidRDefault="001978C7" w:rsidP="00346F4B">
      <w:pPr>
        <w:numPr>
          <w:ilvl w:val="0"/>
          <w:numId w:val="56"/>
        </w:numPr>
        <w:tabs>
          <w:tab w:val="clear" w:pos="360"/>
          <w:tab w:val="left" w:pos="1440"/>
        </w:tabs>
        <w:spacing w:after="60"/>
        <w:ind w:left="1440"/>
        <w:rPr>
          <w:rFonts w:cs="Tahoma"/>
        </w:rPr>
      </w:pPr>
      <w:r w:rsidRPr="000A1C8E">
        <w:rPr>
          <w:rFonts w:cs="Tahoma"/>
          <w:color w:val="000000"/>
        </w:rPr>
        <w:t>Se um cliente tiver um número ímpar de licenças do HPC Pack Enterprise, o cliente precisará arredondar para cima para o próximo número par para determinar sua concessão.</w:t>
      </w:r>
      <w:r w:rsidR="00DC6D8B" w:rsidRPr="000A1C8E">
        <w:rPr>
          <w:rFonts w:cs="Tahoma"/>
          <w:color w:val="000000"/>
        </w:rPr>
        <w:t xml:space="preserve"> </w:t>
      </w:r>
      <w:r w:rsidRPr="000A1C8E">
        <w:rPr>
          <w:rFonts w:cs="Tahoma"/>
          <w:color w:val="000000"/>
        </w:rPr>
        <w:t>Por exemplo, um cliente que tenha três licenças do HPC Pack Enterprise receberá no total duas licenças do Windows Server 2012 Standard.</w:t>
      </w:r>
    </w:p>
    <w:p w:rsidR="001978C7" w:rsidRPr="000A1C8E" w:rsidRDefault="001978C7" w:rsidP="00346F4B">
      <w:pPr>
        <w:pStyle w:val="ListParagraph"/>
        <w:numPr>
          <w:ilvl w:val="0"/>
          <w:numId w:val="56"/>
        </w:numPr>
        <w:tabs>
          <w:tab w:val="clear" w:pos="360"/>
          <w:tab w:val="left" w:pos="1440"/>
        </w:tabs>
        <w:spacing w:after="60"/>
        <w:ind w:left="1440"/>
        <w:contextualSpacing w:val="0"/>
        <w:rPr>
          <w:rFonts w:ascii="Tahoma" w:hAnsi="Tahoma" w:cs="Tahoma"/>
        </w:rPr>
      </w:pPr>
      <w:r w:rsidRPr="000A1C8E">
        <w:rPr>
          <w:rFonts w:ascii="Tahoma" w:eastAsia="Calibri" w:hAnsi="Tahoma" w:cs="Tahoma"/>
          <w:sz w:val="18"/>
          <w:szCs w:val="18"/>
        </w:rPr>
        <w:t>As licenças adquiridas sob esta concessão incluirão cobertura do Software Assurance.</w:t>
      </w:r>
      <w:r w:rsidR="00DC6D8B" w:rsidRPr="000A1C8E">
        <w:rPr>
          <w:rFonts w:ascii="Tahoma" w:eastAsia="Calibri" w:hAnsi="Tahoma" w:cs="Tahoma"/>
          <w:sz w:val="18"/>
          <w:szCs w:val="18"/>
        </w:rPr>
        <w:t xml:space="preserve"> </w:t>
      </w:r>
      <w:r w:rsidRPr="000A1C8E">
        <w:rPr>
          <w:rFonts w:ascii="Tahoma" w:eastAsia="Calibri" w:hAnsi="Tahoma" w:cs="Tahoma"/>
          <w:sz w:val="18"/>
          <w:szCs w:val="18"/>
        </w:rPr>
        <w:t>Tal cobertura expira quando a cobertura correspondente nas Licenças Qualificadas expirar.</w:t>
      </w:r>
    </w:p>
    <w:p w:rsidR="001978C7" w:rsidRPr="000A1C8E" w:rsidRDefault="001978C7" w:rsidP="00017C18">
      <w:pPr>
        <w:pStyle w:val="ListParagraph"/>
        <w:numPr>
          <w:ilvl w:val="0"/>
          <w:numId w:val="56"/>
        </w:numPr>
        <w:tabs>
          <w:tab w:val="clear" w:pos="360"/>
          <w:tab w:val="left" w:pos="1440"/>
        </w:tabs>
        <w:spacing w:after="60"/>
        <w:ind w:left="1440"/>
        <w:contextualSpacing w:val="0"/>
        <w:rPr>
          <w:rFonts w:ascii="Tahoma" w:hAnsi="Tahoma" w:cs="Tahoma"/>
        </w:rPr>
      </w:pPr>
      <w:r w:rsidRPr="000A1C8E">
        <w:rPr>
          <w:rFonts w:ascii="Tahoma" w:eastAsia="Calibri" w:hAnsi="Tahoma" w:cs="Tahoma"/>
          <w:sz w:val="18"/>
          <w:szCs w:val="18"/>
        </w:rPr>
        <w:t>Se os clientes adquiriram direitos perpétuos para usar o software sob as Licenças Qualificadas, as</w:t>
      </w:r>
      <w:r w:rsidR="00017C18" w:rsidRPr="000A1C8E">
        <w:rPr>
          <w:rFonts w:ascii="Tahoma" w:eastAsia="Calibri" w:hAnsi="Tahoma" w:cs="Tahoma"/>
          <w:sz w:val="18"/>
          <w:szCs w:val="18"/>
        </w:rPr>
        <w:t> </w:t>
      </w:r>
      <w:r w:rsidRPr="000A1C8E">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1978C7" w:rsidRPr="000A1C8E" w:rsidRDefault="001978C7" w:rsidP="00346F4B">
      <w:pPr>
        <w:numPr>
          <w:ilvl w:val="0"/>
          <w:numId w:val="56"/>
        </w:numPr>
        <w:tabs>
          <w:tab w:val="clear" w:pos="360"/>
          <w:tab w:val="left" w:pos="1440"/>
          <w:tab w:val="left" w:pos="2160"/>
        </w:tabs>
        <w:spacing w:after="60"/>
        <w:ind w:left="1440"/>
        <w:rPr>
          <w:rFonts w:cs="Tahoma"/>
        </w:rPr>
      </w:pPr>
      <w:r w:rsidRPr="000A1C8E">
        <w:rPr>
          <w:rFonts w:eastAsia="Calibri" w:cs="Tahoma"/>
          <w:szCs w:val="18"/>
        </w:rPr>
        <w:t xml:space="preserve">Na atualização para o Windows Server 2012 Standard sob essa concessão, as licenças existentes </w:t>
      </w:r>
      <w:r w:rsidRPr="000A1C8E">
        <w:rPr>
          <w:rFonts w:cs="Tahoma"/>
          <w:color w:val="000000"/>
        </w:rPr>
        <w:t>do HPC Pack Enterprise</w:t>
      </w:r>
      <w:r w:rsidRPr="000A1C8E">
        <w:rPr>
          <w:rFonts w:eastAsia="Calibri" w:cs="Tahoma"/>
          <w:szCs w:val="18"/>
        </w:rPr>
        <w:t xml:space="preserve"> do cliente permanecerão válidas.</w:t>
      </w:r>
    </w:p>
    <w:p w:rsidR="001978C7" w:rsidRPr="000A1C8E" w:rsidRDefault="001978C7" w:rsidP="00346F4B">
      <w:pPr>
        <w:numPr>
          <w:ilvl w:val="0"/>
          <w:numId w:val="56"/>
        </w:numPr>
        <w:tabs>
          <w:tab w:val="clear" w:pos="360"/>
          <w:tab w:val="left" w:pos="1440"/>
          <w:tab w:val="left" w:pos="2160"/>
        </w:tabs>
        <w:spacing w:after="60"/>
        <w:ind w:left="1440"/>
        <w:rPr>
          <w:rFonts w:cs="Tahoma"/>
        </w:rPr>
      </w:pPr>
      <w:r w:rsidRPr="000A1C8E">
        <w:rPr>
          <w:rFonts w:cs="Tahoma"/>
          <w:color w:val="000000"/>
        </w:rPr>
        <w:t xml:space="preserve">As licenças do HPC Pack 2008 R2 Enterprise </w:t>
      </w:r>
      <w:r w:rsidRPr="000A1C8E">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 propósitos da concessão supracitada.</w:t>
      </w:r>
    </w:p>
    <w:p w:rsidR="001978C7" w:rsidRPr="000A1C8E" w:rsidRDefault="001978C7" w:rsidP="00346F4B">
      <w:pPr>
        <w:numPr>
          <w:ilvl w:val="0"/>
          <w:numId w:val="56"/>
        </w:numPr>
        <w:tabs>
          <w:tab w:val="clear" w:pos="360"/>
          <w:tab w:val="left" w:pos="1440"/>
          <w:tab w:val="left" w:pos="2160"/>
        </w:tabs>
        <w:spacing w:after="60"/>
        <w:ind w:left="1440"/>
        <w:rPr>
          <w:rFonts w:cs="Tahoma"/>
          <w:spacing w:val="-2"/>
        </w:rPr>
      </w:pPr>
      <w:r w:rsidRPr="000A1C8E">
        <w:rPr>
          <w:rFonts w:cs="Tahoma"/>
          <w:bCs/>
          <w:color w:val="000000"/>
          <w:spacing w:val="-2"/>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221A57" w:rsidRPr="000A1C8E" w:rsidRDefault="00221A57" w:rsidP="00221A57">
      <w:pPr>
        <w:tabs>
          <w:tab w:val="left" w:pos="1440"/>
          <w:tab w:val="left" w:pos="2160"/>
        </w:tabs>
        <w:ind w:left="1080"/>
        <w:contextualSpacing/>
        <w:rPr>
          <w:rFonts w:cs="Tahoma"/>
        </w:rPr>
      </w:pPr>
    </w:p>
    <w:p w:rsidR="00221A57" w:rsidRPr="000A1C8E" w:rsidRDefault="001978C7" w:rsidP="00B1475C">
      <w:pPr>
        <w:spacing w:after="60"/>
        <w:ind w:left="720"/>
        <w:rPr>
          <w:rFonts w:cs="Tahoma"/>
        </w:rPr>
      </w:pPr>
      <w:r w:rsidRPr="000A1C8E">
        <w:rPr>
          <w:rFonts w:cs="Tahoma"/>
          <w:b/>
          <w:color w:val="000000"/>
        </w:rPr>
        <w:t>Informações adicionais sobre o uso do Windows Server 2012 para High Performance Computing (HPC)</w:t>
      </w:r>
    </w:p>
    <w:p w:rsidR="00E62BC4" w:rsidRPr="000A1C8E" w:rsidRDefault="001978C7" w:rsidP="005A7F17">
      <w:pPr>
        <w:ind w:left="720"/>
        <w:rPr>
          <w:rFonts w:cs="Tahoma"/>
        </w:rPr>
      </w:pPr>
      <w:r w:rsidRPr="000A1C8E">
        <w:rPr>
          <w:rFonts w:cs="Tahoma"/>
          <w:color w:val="000000"/>
        </w:rPr>
        <w:t>Quando o Windows Server 2012 Standard ou Datacenter é usado para High Performance Computing, você</w:t>
      </w:r>
      <w:r w:rsidR="00017C18" w:rsidRPr="000A1C8E">
        <w:rPr>
          <w:rFonts w:cs="Tahoma"/>
          <w:color w:val="000000"/>
        </w:rPr>
        <w:t> </w:t>
      </w:r>
      <w:r w:rsidRPr="000A1C8E">
        <w:rPr>
          <w:rFonts w:cs="Tahoma"/>
          <w:color w:val="000000"/>
        </w:rPr>
        <w:t>não precisa de CALs para acessar o software. Uma “Carga de Trabalho High Performance Computing (“HPC”)” significa uma carga de trabalho na qual o software para servidores é usado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w:t>
      </w:r>
      <w:r w:rsidR="005A7F17">
        <w:rPr>
          <w:rFonts w:cs="Tahoma"/>
          <w:color w:val="000000"/>
        </w:rPr>
        <w:t> </w:t>
      </w:r>
      <w:r w:rsidRPr="000A1C8E">
        <w:rPr>
          <w:rFonts w:cs="Tahoma"/>
          <w:color w:val="000000"/>
        </w:rPr>
        <w:t>Direitos de Uso de Produto para obter detalhes adicionais.</w:t>
      </w:r>
    </w:p>
    <w:p w:rsidR="00023FE7" w:rsidRPr="000A1C8E" w:rsidRDefault="00023FE7" w:rsidP="00221A57">
      <w:pPr>
        <w:ind w:left="216"/>
        <w:rPr>
          <w:rFonts w:cs="Tahoma"/>
        </w:rPr>
      </w:pPr>
    </w:p>
    <w:p w:rsidR="00586FCE" w:rsidRPr="000A1C8E" w:rsidRDefault="00586FCE" w:rsidP="00221A57">
      <w:pPr>
        <w:ind w:left="216"/>
        <w:rPr>
          <w:rFonts w:cs="Tahoma"/>
        </w:rPr>
      </w:pPr>
    </w:p>
    <w:p w:rsidR="00023FE7" w:rsidRPr="000A1C8E" w:rsidRDefault="00A560B6" w:rsidP="00416294">
      <w:pPr>
        <w:pStyle w:val="Heading3"/>
        <w:rPr>
          <w:rFonts w:ascii="Tahoma" w:hAnsi="Tahoma" w:cs="Tahoma"/>
        </w:rPr>
      </w:pPr>
      <w:bookmarkStart w:id="1381" w:name="_58_Learning_Solutions"/>
      <w:bookmarkStart w:id="1382" w:name="_54_Learning_Solutions"/>
      <w:bookmarkStart w:id="1383" w:name="_64_62_Learning"/>
      <w:bookmarkStart w:id="1384" w:name="_69_Learning_Solutions"/>
      <w:bookmarkStart w:id="1385" w:name="_70_Learning_Solutions"/>
      <w:bookmarkStart w:id="1386" w:name="Srv_60LearningSolMCP1ExamVouch"/>
      <w:bookmarkStart w:id="1387" w:name="_Toc336338324"/>
      <w:bookmarkStart w:id="1388" w:name="_Toc361829413"/>
      <w:bookmarkStart w:id="1389" w:name="Srv_55LearningSolMCP1ExamVouch"/>
      <w:bookmarkStart w:id="1390" w:name="Srv_56LearningSolMCP1ExamVouch"/>
      <w:bookmarkEnd w:id="1381"/>
      <w:bookmarkEnd w:id="1382"/>
      <w:bookmarkEnd w:id="1383"/>
      <w:bookmarkEnd w:id="1384"/>
      <w:bookmarkEnd w:id="1385"/>
      <w:r w:rsidRPr="000A1C8E">
        <w:rPr>
          <w:rFonts w:ascii="Tahoma" w:hAnsi="Tahoma" w:cs="Tahoma"/>
          <w:caps/>
          <w:color w:val="F66400"/>
          <w:sz w:val="22"/>
          <w:vertAlign w:val="superscript"/>
        </w:rPr>
        <w:t>70</w:t>
      </w:r>
      <w:r w:rsidRPr="000A1C8E">
        <w:rPr>
          <w:rFonts w:ascii="Tahoma" w:hAnsi="Tahoma" w:cs="Tahoma"/>
          <w:color w:val="F66400"/>
          <w:sz w:val="22"/>
        </w:rPr>
        <w:t xml:space="preserve"> Learning Solutions MCP Exam Vouchers</w:t>
      </w:r>
      <w:bookmarkEnd w:id="1386"/>
      <w:bookmarkEnd w:id="1387"/>
      <w:bookmarkEnd w:id="1388"/>
    </w:p>
    <w:bookmarkEnd w:id="1389"/>
    <w:p w:rsidR="00023FE7" w:rsidRPr="000A1C8E" w:rsidRDefault="00023FE7" w:rsidP="00416294">
      <w:pPr>
        <w:pStyle w:val="EndnoteText"/>
        <w:rPr>
          <w:rFonts w:ascii="Tahoma" w:hAnsi="Tahoma" w:cs="Tahoma"/>
        </w:rPr>
      </w:pPr>
    </w:p>
    <w:bookmarkEnd w:id="1390"/>
    <w:p w:rsidR="002A760F" w:rsidRPr="000A1C8E" w:rsidRDefault="002A760F" w:rsidP="00416294">
      <w:pPr>
        <w:pStyle w:val="EndnoteText"/>
        <w:ind w:left="720"/>
        <w:rPr>
          <w:rFonts w:ascii="Tahoma" w:hAnsi="Tahoma" w:cs="Tahoma"/>
        </w:rPr>
      </w:pPr>
      <w:r w:rsidRPr="000A1C8E">
        <w:rPr>
          <w:rFonts w:ascii="Tahoma" w:hAnsi="Tahoma" w:cs="Tahoma"/>
          <w:sz w:val="18"/>
        </w:rPr>
        <w:t xml:space="preserve">Todos os cupons são fornecidos de antemão e poderão ser usados a qualquer momento antes de 12 meses contados da data de compra. </w:t>
      </w:r>
      <w:r w:rsidRPr="000A1C8E">
        <w:rPr>
          <w:rFonts w:ascii="Tahoma" w:hAnsi="Tahoma" w:cs="Tahoma"/>
          <w:bCs/>
          <w:color w:val="000000"/>
          <w:sz w:val="18"/>
          <w:szCs w:val="20"/>
        </w:rPr>
        <w:t>Consulte a</w:t>
      </w:r>
      <w:hyperlink w:anchor="_Section_10_–" w:history="1">
        <w:r w:rsidRPr="000A1C8E">
          <w:rPr>
            <w:rStyle w:val="Hyperlink"/>
            <w:rFonts w:ascii="Tahoma" w:hAnsi="Tahoma" w:cs="Tahoma"/>
            <w:sz w:val="18"/>
          </w:rPr>
          <w:t xml:space="preserve"> Seção 10</w:t>
        </w:r>
      </w:hyperlink>
      <w:r w:rsidRPr="000A1C8E">
        <w:rPr>
          <w:rFonts w:ascii="Tahoma" w:hAnsi="Tahoma" w:cs="Tahoma"/>
          <w:bCs/>
          <w:color w:val="000000"/>
          <w:sz w:val="18"/>
          <w:szCs w:val="20"/>
        </w:rPr>
        <w:t xml:space="preserve"> para obter informações sobre os termos de pagamento e preços dos serviços online. </w:t>
      </w:r>
    </w:p>
    <w:p w:rsidR="00560A10" w:rsidRPr="000A1C8E" w:rsidRDefault="00560A10" w:rsidP="00416294">
      <w:pPr>
        <w:pStyle w:val="EndnoteText"/>
        <w:ind w:left="720"/>
        <w:rPr>
          <w:rFonts w:ascii="Tahoma" w:hAnsi="Tahoma" w:cs="Tahoma"/>
        </w:rPr>
      </w:pPr>
    </w:p>
    <w:p w:rsidR="00560A10" w:rsidRPr="000A1C8E" w:rsidRDefault="00560A10" w:rsidP="00B1475C">
      <w:pPr>
        <w:spacing w:after="60"/>
        <w:ind w:left="720"/>
        <w:rPr>
          <w:rFonts w:cs="Tahoma"/>
        </w:rPr>
      </w:pPr>
      <w:r w:rsidRPr="000A1C8E">
        <w:rPr>
          <w:rFonts w:cs="Tahoma"/>
          <w:b/>
          <w:color w:val="000000"/>
        </w:rPr>
        <w:t>Licença do Site de Exame de Certificação do Microsoft Office Specialist (MOS)</w:t>
      </w:r>
    </w:p>
    <w:p w:rsidR="00560A10" w:rsidRPr="000A1C8E" w:rsidRDefault="00560A10" w:rsidP="00B1475C">
      <w:pPr>
        <w:ind w:left="720"/>
        <w:rPr>
          <w:rFonts w:cs="Tahoma"/>
        </w:rPr>
      </w:pPr>
      <w:r w:rsidRPr="000A1C8E">
        <w:rPr>
          <w:rFonts w:cs="Tahoma"/>
          <w:color w:val="000000"/>
        </w:rPr>
        <w:t>Você terá que ser um centro de exames autorizado Certiport para usar a licença do site.</w:t>
      </w:r>
      <w:r w:rsidR="00DC6D8B" w:rsidRPr="000A1C8E">
        <w:rPr>
          <w:rFonts w:cs="Tahoma"/>
          <w:color w:val="000000"/>
        </w:rPr>
        <w:t xml:space="preserve"> </w:t>
      </w:r>
      <w:r w:rsidRPr="000A1C8E">
        <w:rPr>
          <w:rFonts w:cs="Tahoma"/>
          <w:color w:val="000000"/>
        </w:rPr>
        <w:t>Se você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rsidR="00560A10" w:rsidRPr="000A1C8E" w:rsidRDefault="00560A10" w:rsidP="00B1475C">
      <w:pPr>
        <w:pStyle w:val="EndnoteText"/>
        <w:ind w:left="0"/>
        <w:rPr>
          <w:rFonts w:ascii="Tahoma" w:hAnsi="Tahoma" w:cs="Tahoma"/>
        </w:rPr>
      </w:pPr>
    </w:p>
    <w:p w:rsidR="00017C18" w:rsidRPr="000A1C8E" w:rsidRDefault="00017C18" w:rsidP="00B1475C">
      <w:pPr>
        <w:pStyle w:val="EndnoteText"/>
        <w:ind w:left="0"/>
        <w:rPr>
          <w:rFonts w:ascii="Tahoma" w:hAnsi="Tahoma" w:cs="Tahoma"/>
        </w:rPr>
      </w:pPr>
    </w:p>
    <w:p w:rsidR="00560A10" w:rsidRPr="000A1C8E" w:rsidRDefault="00560A10" w:rsidP="00B1475C">
      <w:pPr>
        <w:spacing w:after="60"/>
        <w:ind w:left="720"/>
        <w:rPr>
          <w:rFonts w:cs="Tahoma"/>
        </w:rPr>
      </w:pPr>
      <w:r w:rsidRPr="000A1C8E">
        <w:rPr>
          <w:rFonts w:cs="Tahoma"/>
          <w:b/>
          <w:color w:val="000000"/>
        </w:rPr>
        <w:lastRenderedPageBreak/>
        <w:t>Licença do Site de Exame do Microsoft Technology Associate (MTA)</w:t>
      </w:r>
    </w:p>
    <w:p w:rsidR="00560A10" w:rsidRPr="000A1C8E" w:rsidRDefault="00560A10" w:rsidP="00B1475C">
      <w:pPr>
        <w:ind w:left="720"/>
        <w:rPr>
          <w:rFonts w:cs="Tahoma"/>
        </w:rPr>
      </w:pPr>
      <w:r w:rsidRPr="000A1C8E">
        <w:rPr>
          <w:rFonts w:cs="Tahoma"/>
          <w:color w:val="000000"/>
        </w:rPr>
        <w:t>Você terá que ser um centro de exames autorizado Certiport para usar a licença do site.</w:t>
      </w:r>
      <w:r w:rsidR="00DC6D8B" w:rsidRPr="000A1C8E">
        <w:rPr>
          <w:rFonts w:cs="Tahoma"/>
          <w:color w:val="000000"/>
        </w:rPr>
        <w:t xml:space="preserve"> </w:t>
      </w:r>
      <w:r w:rsidRPr="000A1C8E">
        <w:rPr>
          <w:rFonts w:cs="Tahoma"/>
          <w:color w:val="000000"/>
        </w:rPr>
        <w:t>Se você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rsidR="00F42FD5" w:rsidRPr="000A1C8E" w:rsidRDefault="00F42FD5" w:rsidP="00416294">
      <w:pPr>
        <w:pStyle w:val="EndnoteText"/>
        <w:ind w:left="720"/>
        <w:rPr>
          <w:rFonts w:ascii="Tahoma" w:hAnsi="Tahoma" w:cs="Tahoma"/>
        </w:rPr>
      </w:pPr>
    </w:p>
    <w:p w:rsidR="00586FCE" w:rsidRPr="000A1C8E" w:rsidRDefault="00586FCE" w:rsidP="00416294">
      <w:pPr>
        <w:pStyle w:val="EndnoteText"/>
        <w:ind w:left="720"/>
        <w:rPr>
          <w:rFonts w:ascii="Tahoma" w:hAnsi="Tahoma" w:cs="Tahoma"/>
        </w:rPr>
      </w:pPr>
    </w:p>
    <w:p w:rsidR="00F42FD5" w:rsidRPr="000A1C8E" w:rsidRDefault="00A560B6" w:rsidP="00416294">
      <w:pPr>
        <w:pStyle w:val="Heading2"/>
        <w:ind w:left="0"/>
        <w:rPr>
          <w:rFonts w:ascii="Tahoma" w:hAnsi="Tahoma" w:cs="Tahoma"/>
        </w:rPr>
      </w:pPr>
      <w:bookmarkStart w:id="1391" w:name="_65_63_Lync"/>
      <w:bookmarkStart w:id="1392" w:name="_70_Lync_Online"/>
      <w:bookmarkStart w:id="1393" w:name="_71_Lync_Online"/>
      <w:bookmarkStart w:id="1394" w:name="_Toc336338325"/>
      <w:bookmarkStart w:id="1395" w:name="_Toc361829414"/>
      <w:bookmarkStart w:id="1396" w:name="Srv_65LyncOnlinePlan1and2"/>
      <w:bookmarkEnd w:id="1391"/>
      <w:bookmarkEnd w:id="1392"/>
      <w:bookmarkEnd w:id="1393"/>
      <w:r w:rsidRPr="000A1C8E">
        <w:rPr>
          <w:rFonts w:ascii="Tahoma" w:hAnsi="Tahoma" w:cs="Tahoma"/>
          <w:caps/>
          <w:color w:val="FF6600"/>
          <w:sz w:val="22"/>
          <w:vertAlign w:val="superscript"/>
        </w:rPr>
        <w:t>71</w:t>
      </w:r>
      <w:r w:rsidRPr="000A1C8E">
        <w:rPr>
          <w:rFonts w:ascii="Tahoma" w:hAnsi="Tahoma" w:cs="Tahoma"/>
          <w:color w:val="FF6600"/>
        </w:rPr>
        <w:t xml:space="preserve"> </w:t>
      </w:r>
      <w:r w:rsidRPr="000A1C8E">
        <w:rPr>
          <w:rFonts w:ascii="Tahoma" w:hAnsi="Tahoma" w:cs="Tahoma"/>
          <w:color w:val="FF6600"/>
          <w:sz w:val="22"/>
        </w:rPr>
        <w:t>Lync Online Planos 1, 2 e 3</w:t>
      </w:r>
      <w:bookmarkEnd w:id="1394"/>
      <w:bookmarkEnd w:id="1395"/>
    </w:p>
    <w:bookmarkEnd w:id="1396"/>
    <w:p w:rsidR="00F42FD5" w:rsidRPr="000A1C8E" w:rsidRDefault="00F42FD5" w:rsidP="00F42FD5">
      <w:pPr>
        <w:rPr>
          <w:rFonts w:cs="Tahoma"/>
        </w:rPr>
      </w:pPr>
    </w:p>
    <w:p w:rsidR="00693524" w:rsidRPr="000A1C8E" w:rsidRDefault="00194DAF" w:rsidP="00017C18">
      <w:pPr>
        <w:ind w:left="720"/>
        <w:rPr>
          <w:rFonts w:cs="Tahoma"/>
        </w:rPr>
      </w:pPr>
      <w:r w:rsidRPr="000A1C8E">
        <w:rPr>
          <w:rFonts w:cs="Tahoma"/>
          <w:color w:val="000000"/>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017C18" w:rsidRPr="000A1C8E">
        <w:rPr>
          <w:rFonts w:cs="Tahoma"/>
          <w:color w:val="000000"/>
        </w:rPr>
        <w:t> </w:t>
      </w:r>
      <w:r w:rsidRPr="000A1C8E">
        <w:rPr>
          <w:rFonts w:cs="Tahoma"/>
          <w:color w:val="000000"/>
        </w:rPr>
        <w:t>Lync for Mac 2011 a nenhum custo com cada licença de assinatura de teste ou paga do Lync Online. O</w:t>
      </w:r>
      <w:r w:rsidR="00017C18" w:rsidRPr="000A1C8E">
        <w:rPr>
          <w:rFonts w:cs="Tahoma"/>
          <w:color w:val="000000"/>
        </w:rPr>
        <w:t> </w:t>
      </w:r>
      <w:r w:rsidRPr="000A1C8E">
        <w:rPr>
          <w:rFonts w:cs="Tahoma"/>
          <w:color w:val="000000"/>
        </w:rPr>
        <w:t>software só poderá ser usado com o Lync Online, e todos os direitos de uso do software se encerrarão ao</w:t>
      </w:r>
      <w:r w:rsidR="00017C18" w:rsidRPr="000A1C8E">
        <w:rPr>
          <w:rFonts w:cs="Tahoma"/>
          <w:color w:val="000000"/>
        </w:rPr>
        <w:t> </w:t>
      </w:r>
      <w:r w:rsidRPr="000A1C8E">
        <w:rPr>
          <w:rFonts w:cs="Tahoma"/>
          <w:color w:val="000000"/>
        </w:rPr>
        <w:t>término da licença de assinatura básica ou da migração para a próxima nova versão principal do Lync Online, o que ocorrer primeiro.</w:t>
      </w:r>
      <w:r w:rsidR="00DC6D8B" w:rsidRPr="000A1C8E">
        <w:rPr>
          <w:rFonts w:cs="Tahoma"/>
          <w:color w:val="000000"/>
        </w:rPr>
        <w:t xml:space="preserve"> </w:t>
      </w:r>
      <w:r w:rsidRPr="000A1C8E">
        <w:rPr>
          <w:rFonts w:cs="Tahoma"/>
          <w:color w:val="000000"/>
        </w:rPr>
        <w:t xml:space="preserve">Os clientes podem usar o cliente gratuito Lync Basic 2013 para seus usuários finais com base em Windows. </w:t>
      </w:r>
    </w:p>
    <w:p w:rsidR="006D33A5" w:rsidRPr="000A1C8E" w:rsidRDefault="006D33A5" w:rsidP="007B35CE">
      <w:pPr>
        <w:rPr>
          <w:rFonts w:cs="Tahoma"/>
        </w:rPr>
      </w:pPr>
    </w:p>
    <w:p w:rsidR="006D33A5" w:rsidRPr="000A1C8E" w:rsidRDefault="006D33A5" w:rsidP="003D0252">
      <w:pPr>
        <w:spacing w:after="60"/>
        <w:ind w:left="720"/>
        <w:rPr>
          <w:rFonts w:cs="Tahoma"/>
        </w:rPr>
      </w:pPr>
      <w:r w:rsidRPr="000A1C8E">
        <w:rPr>
          <w:rFonts w:eastAsia="Calibri" w:cs="Tahoma"/>
          <w:b/>
          <w:color w:val="000000"/>
          <w:szCs w:val="18"/>
        </w:rPr>
        <w:t>Nuvem da Comunidade do Governo (Apenas para os Estados Unidos)</w:t>
      </w:r>
    </w:p>
    <w:p w:rsidR="006D33A5" w:rsidRPr="000A1C8E" w:rsidRDefault="006D33A5" w:rsidP="006D33A5">
      <w:pPr>
        <w:ind w:left="720"/>
        <w:rPr>
          <w:rFonts w:cs="Tahoma"/>
        </w:rPr>
      </w:pPr>
      <w:r w:rsidRPr="000A1C8E">
        <w:rPr>
          <w:rFonts w:eastAsia="Calibri" w:cs="Tahoma"/>
          <w:color w:val="000000"/>
          <w:szCs w:val="18"/>
        </w:rPr>
        <w:t>Alguns serviços online na família de produtos do Office 365 (incluindo Lync Online Planos 1, 2 e 3) são oferecidos como serviços de nuvem da comunidade do governo e serviços de nuvem da comunidade não governamental.</w:t>
      </w:r>
      <w:r w:rsidR="00DC6D8B" w:rsidRPr="000A1C8E">
        <w:rPr>
          <w:rFonts w:eastAsia="Calibri" w:cs="Tahoma"/>
          <w:color w:val="000000"/>
          <w:szCs w:val="18"/>
        </w:rPr>
        <w:t xml:space="preserve"> </w:t>
      </w:r>
      <w:r w:rsidRPr="000A1C8E">
        <w:rPr>
          <w:rFonts w:eastAsia="Calibri" w:cs="Tahoma"/>
          <w:color w:val="000000"/>
          <w:szCs w:val="18"/>
        </w:rPr>
        <w:t>Os clientes podem ser provisionados como um ou outro, mas não com uma mistura dos dois.</w:t>
      </w:r>
      <w:r w:rsidR="00DC6D8B" w:rsidRPr="000A1C8E">
        <w:rPr>
          <w:rFonts w:eastAsia="Calibri" w:cs="Tahoma"/>
          <w:color w:val="000000"/>
          <w:szCs w:val="18"/>
        </w:rPr>
        <w:t xml:space="preserve"> </w:t>
      </w:r>
      <w:r w:rsidRPr="000A1C8E">
        <w:rPr>
          <w:rFonts w:eastAsia="Calibri" w:cs="Tahoma"/>
          <w:color w:val="000000"/>
          <w:szCs w:val="18"/>
        </w:rPr>
        <w:t>Os Serviços Online projetados como nuvem de comunidade do governo não podem ser implantados no mesmo domínio que os serviços de nuvem da comunidade não governamental específicos.</w:t>
      </w:r>
      <w:r w:rsidR="00DC6D8B" w:rsidRPr="000A1C8E">
        <w:rPr>
          <w:rFonts w:eastAsia="Calibri" w:cs="Tahoma"/>
          <w:color w:val="000000"/>
          <w:szCs w:val="18"/>
        </w:rPr>
        <w:t xml:space="preserve"> </w:t>
      </w:r>
      <w:r w:rsidRPr="000A1C8E">
        <w:rPr>
          <w:rFonts w:eastAsia="Calibri" w:cs="Tahoma"/>
          <w:color w:val="000000"/>
          <w:szCs w:val="18"/>
        </w:rPr>
        <w:t>Esta limitação se estende a qualquer serviço online que faça parte da família de produtos do Office 365, incluindo Exchange Online, SharePoint Online e Lync Online.</w:t>
      </w:r>
      <w:r w:rsidR="00DC6D8B" w:rsidRPr="000A1C8E">
        <w:rPr>
          <w:rFonts w:eastAsia="Calibri" w:cs="Tahoma"/>
          <w:color w:val="000000"/>
          <w:szCs w:val="18"/>
        </w:rPr>
        <w:t xml:space="preserve"> </w:t>
      </w:r>
    </w:p>
    <w:p w:rsidR="006D33A5" w:rsidRPr="000A1C8E" w:rsidRDefault="006D33A5" w:rsidP="006D33A5">
      <w:pPr>
        <w:ind w:left="720"/>
        <w:rPr>
          <w:rFonts w:cs="Tahoma"/>
        </w:rPr>
      </w:pPr>
    </w:p>
    <w:p w:rsidR="006D33A5" w:rsidRPr="000A1C8E" w:rsidRDefault="006D33A5" w:rsidP="006D33A5">
      <w:pPr>
        <w:ind w:left="720"/>
        <w:rPr>
          <w:rFonts w:cs="Tahoma"/>
        </w:rPr>
      </w:pPr>
      <w:r w:rsidRPr="000A1C8E">
        <w:rPr>
          <w:rFonts w:eastAsia="Calibri" w:cs="Tahoma"/>
          <w:color w:val="000000"/>
          <w:szCs w:val="18"/>
        </w:rPr>
        <w:t>Assim que um serviço online é provisionado na nuvem de comunidade do governo, ele permanecerá lá pela duração da vigência da assinatura.</w:t>
      </w:r>
      <w:r w:rsidR="00DC6D8B" w:rsidRPr="000A1C8E">
        <w:rPr>
          <w:rFonts w:eastAsia="Calibri" w:cs="Tahoma"/>
          <w:color w:val="000000"/>
          <w:szCs w:val="18"/>
        </w:rPr>
        <w:t xml:space="preserve"> </w:t>
      </w:r>
      <w:r w:rsidRPr="000A1C8E">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C6D8B" w:rsidRPr="000A1C8E">
        <w:rPr>
          <w:rFonts w:eastAsia="Calibri" w:cs="Tahoma"/>
          <w:color w:val="000000"/>
          <w:szCs w:val="18"/>
        </w:rPr>
        <w:t xml:space="preserve"> </w:t>
      </w:r>
      <w:r w:rsidRPr="000A1C8E">
        <w:rPr>
          <w:rFonts w:eastAsia="Calibri" w:cs="Tahoma"/>
          <w:color w:val="000000"/>
          <w:szCs w:val="18"/>
        </w:rPr>
        <w:t>Os Direitos de Uso para serviços de nuvem da comunidade do governo são equivalentes àqueles dos seus diversos locatários padrão.</w:t>
      </w:r>
      <w:r w:rsidR="00DC6D8B" w:rsidRPr="000A1C8E">
        <w:rPr>
          <w:rFonts w:eastAsia="Calibri" w:cs="Tahoma"/>
          <w:color w:val="000000"/>
          <w:szCs w:val="18"/>
        </w:rPr>
        <w:t xml:space="preserve"> </w:t>
      </w:r>
    </w:p>
    <w:p w:rsidR="00FC31B7" w:rsidRPr="000A1C8E" w:rsidRDefault="00FC31B7" w:rsidP="00FC31B7">
      <w:pPr>
        <w:ind w:left="720"/>
        <w:rPr>
          <w:rFonts w:cs="Tahoma"/>
        </w:rPr>
      </w:pPr>
    </w:p>
    <w:p w:rsidR="00586FCE" w:rsidRPr="000A1C8E" w:rsidRDefault="00586FCE" w:rsidP="00FC31B7">
      <w:pPr>
        <w:ind w:left="720"/>
        <w:rPr>
          <w:rFonts w:cs="Tahoma"/>
        </w:rPr>
      </w:pPr>
    </w:p>
    <w:p w:rsidR="004E0852" w:rsidRPr="000A1C8E" w:rsidRDefault="00A560B6" w:rsidP="004E0852">
      <w:pPr>
        <w:pStyle w:val="Heading2"/>
        <w:ind w:left="0"/>
        <w:rPr>
          <w:rFonts w:ascii="Tahoma" w:hAnsi="Tahoma" w:cs="Tahoma"/>
        </w:rPr>
      </w:pPr>
      <w:bookmarkStart w:id="1397" w:name="_62_Lync_Server"/>
      <w:bookmarkStart w:id="1398" w:name="_71_Lync_Server"/>
      <w:bookmarkStart w:id="1399" w:name="_72_Lync_Server"/>
      <w:bookmarkStart w:id="1400" w:name="_Toc361829415"/>
      <w:bookmarkStart w:id="1401" w:name="_Toc336338326"/>
      <w:bookmarkStart w:id="1402" w:name="Srv_62LyncServer2010StandEnt"/>
      <w:bookmarkEnd w:id="1397"/>
      <w:bookmarkEnd w:id="1398"/>
      <w:bookmarkEnd w:id="1399"/>
      <w:r w:rsidRPr="000A1C8E">
        <w:rPr>
          <w:rFonts w:ascii="Tahoma" w:hAnsi="Tahoma" w:cs="Tahoma"/>
          <w:caps/>
          <w:color w:val="FA6500"/>
          <w:sz w:val="22"/>
          <w:vertAlign w:val="superscript"/>
        </w:rPr>
        <w:t xml:space="preserve">72 </w:t>
      </w:r>
      <w:r w:rsidRPr="000A1C8E">
        <w:rPr>
          <w:rFonts w:ascii="Tahoma" w:hAnsi="Tahoma" w:cs="Tahoma"/>
          <w:color w:val="FA6500"/>
          <w:sz w:val="22"/>
        </w:rPr>
        <w:t>Lync Server 2013</w:t>
      </w:r>
      <w:bookmarkEnd w:id="1400"/>
      <w:r w:rsidRPr="000A1C8E">
        <w:rPr>
          <w:rFonts w:ascii="Tahoma" w:hAnsi="Tahoma" w:cs="Tahoma"/>
          <w:color w:val="FA6500"/>
          <w:sz w:val="22"/>
        </w:rPr>
        <w:t xml:space="preserve"> </w:t>
      </w:r>
    </w:p>
    <w:p w:rsidR="004E0852" w:rsidRPr="000A1C8E" w:rsidRDefault="004E0852" w:rsidP="004E0852">
      <w:pPr>
        <w:ind w:left="720"/>
        <w:rPr>
          <w:rFonts w:cs="Tahoma"/>
        </w:rPr>
      </w:pPr>
    </w:p>
    <w:p w:rsidR="004E0852" w:rsidRPr="000A1C8E" w:rsidRDefault="004E0852" w:rsidP="004E0852">
      <w:pPr>
        <w:ind w:left="720"/>
        <w:rPr>
          <w:rFonts w:cs="Tahoma"/>
        </w:rPr>
      </w:pPr>
      <w:r w:rsidRPr="000A1C8E">
        <w:rPr>
          <w:rFonts w:cs="Tahoma"/>
          <w:color w:val="000000"/>
          <w:szCs w:val="18"/>
        </w:rPr>
        <w:t>O Lync Server 2013 é a versão mais recente do Lync Server.</w:t>
      </w:r>
      <w:r w:rsidR="00DC6D8B" w:rsidRPr="000A1C8E">
        <w:rPr>
          <w:rFonts w:cs="Tahoma"/>
          <w:color w:val="000000"/>
          <w:szCs w:val="18"/>
        </w:rPr>
        <w:t xml:space="preserve"> </w:t>
      </w:r>
      <w:r w:rsidRPr="000A1C8E">
        <w:rPr>
          <w:rFonts w:cs="Tahoma"/>
          <w:color w:val="000000"/>
          <w:szCs w:val="18"/>
        </w:rPr>
        <w:t xml:space="preserve">Os clientes com Software Assurance ativo para Lync Server 2010 Standard ou Enterprise </w:t>
      </w:r>
      <w:bookmarkEnd w:id="1401"/>
      <w:r w:rsidRPr="000A1C8E">
        <w:rPr>
          <w:rFonts w:cs="Tahoma"/>
          <w:color w:val="000000"/>
          <w:szCs w:val="18"/>
        </w:rPr>
        <w:t>em 1º de outubro de 2012 poderão atualizar para e usar o Lync Server 2013 em vez de suas cópias licenciadas correspondentes do Lync Server 2010.</w:t>
      </w:r>
    </w:p>
    <w:bookmarkEnd w:id="1402"/>
    <w:p w:rsidR="00CD0D74" w:rsidRPr="000A1C8E" w:rsidRDefault="00CD0D74" w:rsidP="00CD0D74">
      <w:pPr>
        <w:ind w:left="720"/>
        <w:rPr>
          <w:rFonts w:cs="Tahoma"/>
        </w:rPr>
      </w:pPr>
    </w:p>
    <w:p w:rsidR="00CD0D74" w:rsidRPr="000A1C8E" w:rsidRDefault="00CD0D74" w:rsidP="00CD0D74">
      <w:pPr>
        <w:ind w:left="720"/>
        <w:rPr>
          <w:rFonts w:cs="Tahoma"/>
        </w:rPr>
      </w:pPr>
      <w:r w:rsidRPr="000A1C8E">
        <w:rPr>
          <w:rFonts w:cs="Tahoma"/>
          <w:color w:val="000000"/>
          <w:szCs w:val="18"/>
        </w:rPr>
        <w:t>As CALs do Lync Server 2013 são as CALs sucessoras para as CALs do Lync Server 2010.</w:t>
      </w:r>
      <w:r w:rsidR="00DC6D8B" w:rsidRPr="000A1C8E">
        <w:rPr>
          <w:rFonts w:cs="Tahoma"/>
          <w:color w:val="000000"/>
          <w:szCs w:val="18"/>
        </w:rPr>
        <w:t xml:space="preserve"> </w:t>
      </w:r>
    </w:p>
    <w:p w:rsidR="00CD0D74" w:rsidRPr="000A1C8E" w:rsidRDefault="00CD0D74" w:rsidP="00CD0D74">
      <w:pPr>
        <w:ind w:left="720"/>
        <w:rPr>
          <w:rFonts w:cs="Tahoma"/>
        </w:rPr>
      </w:pPr>
      <w:r w:rsidRPr="000A1C8E">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0A1C8E" w:rsidTr="0057135E">
        <w:trPr>
          <w:trHeight w:val="332"/>
        </w:trPr>
        <w:tc>
          <w:tcPr>
            <w:tcW w:w="4500" w:type="dxa"/>
            <w:shd w:val="clear" w:color="auto" w:fill="FABF8F"/>
          </w:tcPr>
          <w:p w:rsidR="00CD0D74" w:rsidRPr="000A1C8E" w:rsidRDefault="00CD0D74" w:rsidP="0057135E">
            <w:pPr>
              <w:rPr>
                <w:rFonts w:cs="Tahoma"/>
                <w:b/>
                <w:color w:val="000000"/>
                <w:szCs w:val="18"/>
              </w:rPr>
            </w:pPr>
            <w:r w:rsidRPr="000A1C8E">
              <w:rPr>
                <w:rFonts w:cs="Tahoma"/>
                <w:b/>
                <w:color w:val="000000"/>
                <w:szCs w:val="18"/>
              </w:rPr>
              <w:t>CAL do Lync Server 2010</w:t>
            </w:r>
          </w:p>
        </w:tc>
        <w:tc>
          <w:tcPr>
            <w:tcW w:w="3600" w:type="dxa"/>
            <w:shd w:val="clear" w:color="auto" w:fill="FABF8F"/>
          </w:tcPr>
          <w:p w:rsidR="00CD0D74" w:rsidRPr="000A1C8E" w:rsidRDefault="00CD0D74" w:rsidP="0057135E">
            <w:pPr>
              <w:rPr>
                <w:rFonts w:cs="Tahoma"/>
                <w:b/>
                <w:color w:val="000000"/>
                <w:szCs w:val="18"/>
              </w:rPr>
            </w:pPr>
            <w:r w:rsidRPr="000A1C8E">
              <w:rPr>
                <w:rFonts w:cs="Tahoma"/>
                <w:b/>
                <w:color w:val="000000"/>
                <w:szCs w:val="18"/>
              </w:rPr>
              <w:t>Versão Sucessora</w:t>
            </w:r>
          </w:p>
        </w:tc>
      </w:tr>
      <w:tr w:rsidR="00CD0D74" w:rsidRPr="000A1C8E" w:rsidTr="0057135E">
        <w:trPr>
          <w:trHeight w:val="70"/>
        </w:trPr>
        <w:tc>
          <w:tcPr>
            <w:tcW w:w="4500" w:type="dxa"/>
            <w:shd w:val="clear" w:color="auto" w:fill="auto"/>
          </w:tcPr>
          <w:p w:rsidR="00CD0D74" w:rsidRPr="000A1C8E" w:rsidRDefault="00CD0D74" w:rsidP="0057135E">
            <w:pPr>
              <w:rPr>
                <w:rFonts w:cs="Tahoma"/>
                <w:color w:val="000000"/>
                <w:szCs w:val="18"/>
              </w:rPr>
            </w:pPr>
            <w:r w:rsidRPr="000A1C8E">
              <w:rPr>
                <w:rFonts w:cs="Tahoma"/>
                <w:color w:val="000000"/>
                <w:szCs w:val="18"/>
              </w:rPr>
              <w:t xml:space="preserve">CAL do Lync Server 2010 Plus </w:t>
            </w:r>
          </w:p>
        </w:tc>
        <w:tc>
          <w:tcPr>
            <w:tcW w:w="3600" w:type="dxa"/>
            <w:shd w:val="clear" w:color="auto" w:fill="auto"/>
          </w:tcPr>
          <w:p w:rsidR="00CD0D74" w:rsidRPr="000A1C8E" w:rsidRDefault="00CD0D74" w:rsidP="0057135E">
            <w:pPr>
              <w:rPr>
                <w:rFonts w:cs="Tahoma"/>
                <w:color w:val="000000"/>
                <w:szCs w:val="18"/>
              </w:rPr>
            </w:pPr>
            <w:r w:rsidRPr="000A1C8E">
              <w:rPr>
                <w:rFonts w:cs="Tahoma"/>
                <w:color w:val="000000"/>
                <w:szCs w:val="18"/>
              </w:rPr>
              <w:t>CAL do Lync Server 2013 Plus</w:t>
            </w:r>
          </w:p>
        </w:tc>
      </w:tr>
      <w:tr w:rsidR="00CD0D74" w:rsidRPr="000A1C8E" w:rsidTr="0057135E">
        <w:trPr>
          <w:trHeight w:val="70"/>
        </w:trPr>
        <w:tc>
          <w:tcPr>
            <w:tcW w:w="4500" w:type="dxa"/>
            <w:shd w:val="clear" w:color="auto" w:fill="auto"/>
          </w:tcPr>
          <w:p w:rsidR="00CD0D74" w:rsidRPr="000A1C8E" w:rsidRDefault="00CD0D74" w:rsidP="0057135E">
            <w:pPr>
              <w:rPr>
                <w:rFonts w:cs="Tahoma"/>
                <w:color w:val="000000"/>
                <w:szCs w:val="18"/>
              </w:rPr>
            </w:pPr>
            <w:r w:rsidRPr="000A1C8E">
              <w:rPr>
                <w:rFonts w:cs="Tahoma"/>
                <w:color w:val="000000"/>
                <w:szCs w:val="18"/>
              </w:rPr>
              <w:t xml:space="preserve">CAL Empresarial do Lync Server 2010 </w:t>
            </w:r>
          </w:p>
        </w:tc>
        <w:tc>
          <w:tcPr>
            <w:tcW w:w="3600" w:type="dxa"/>
            <w:shd w:val="clear" w:color="auto" w:fill="auto"/>
          </w:tcPr>
          <w:p w:rsidR="00CD0D74" w:rsidRPr="000A1C8E" w:rsidRDefault="00CD0D74" w:rsidP="0057135E">
            <w:pPr>
              <w:rPr>
                <w:rFonts w:cs="Tahoma"/>
                <w:color w:val="000000"/>
                <w:szCs w:val="18"/>
              </w:rPr>
            </w:pPr>
            <w:r w:rsidRPr="000A1C8E">
              <w:rPr>
                <w:rFonts w:cs="Tahoma"/>
                <w:color w:val="000000"/>
                <w:szCs w:val="18"/>
              </w:rPr>
              <w:t>CAL do Lync Server 2013 Enterprise</w:t>
            </w:r>
          </w:p>
        </w:tc>
      </w:tr>
      <w:tr w:rsidR="00CD0D74" w:rsidRPr="000A1C8E" w:rsidTr="0057135E">
        <w:trPr>
          <w:trHeight w:val="70"/>
        </w:trPr>
        <w:tc>
          <w:tcPr>
            <w:tcW w:w="4500" w:type="dxa"/>
            <w:shd w:val="clear" w:color="auto" w:fill="auto"/>
          </w:tcPr>
          <w:p w:rsidR="00CD0D74" w:rsidRPr="000A1C8E" w:rsidRDefault="00CD0D74" w:rsidP="0057135E">
            <w:pPr>
              <w:rPr>
                <w:rFonts w:cs="Tahoma"/>
                <w:color w:val="000000"/>
                <w:szCs w:val="18"/>
              </w:rPr>
            </w:pPr>
            <w:r w:rsidRPr="000A1C8E">
              <w:rPr>
                <w:rFonts w:cs="Tahoma"/>
                <w:color w:val="000000"/>
                <w:szCs w:val="18"/>
              </w:rPr>
              <w:t xml:space="preserve">CAL Padrão do Lync Server 2010 </w:t>
            </w:r>
          </w:p>
        </w:tc>
        <w:tc>
          <w:tcPr>
            <w:tcW w:w="3600" w:type="dxa"/>
            <w:shd w:val="clear" w:color="auto" w:fill="auto"/>
          </w:tcPr>
          <w:p w:rsidR="00CD0D74" w:rsidRPr="000A1C8E" w:rsidRDefault="00CD0D74" w:rsidP="0057135E">
            <w:pPr>
              <w:rPr>
                <w:rFonts w:cs="Tahoma"/>
                <w:color w:val="000000"/>
                <w:szCs w:val="18"/>
              </w:rPr>
            </w:pPr>
            <w:r w:rsidRPr="000A1C8E">
              <w:rPr>
                <w:rFonts w:cs="Tahoma"/>
                <w:color w:val="000000"/>
                <w:szCs w:val="18"/>
              </w:rPr>
              <w:t>CAL do Lync Server 2013 Standard</w:t>
            </w:r>
          </w:p>
        </w:tc>
      </w:tr>
    </w:tbl>
    <w:p w:rsidR="004E0852" w:rsidRPr="000A1C8E" w:rsidRDefault="004E0852" w:rsidP="003D0252">
      <w:pPr>
        <w:rPr>
          <w:rFonts w:cs="Tahoma"/>
        </w:rPr>
      </w:pPr>
    </w:p>
    <w:p w:rsidR="004E0852" w:rsidRPr="000A1C8E" w:rsidRDefault="004E0852" w:rsidP="0080323A">
      <w:pPr>
        <w:spacing w:after="60"/>
        <w:ind w:left="720"/>
        <w:rPr>
          <w:rFonts w:cs="Tahoma"/>
        </w:rPr>
      </w:pPr>
      <w:r w:rsidRPr="000A1C8E">
        <w:rPr>
          <w:rFonts w:cs="Tahoma"/>
          <w:b/>
          <w:color w:val="000000"/>
          <w:szCs w:val="18"/>
        </w:rPr>
        <w:t>Outorga de Licença para Clientes do Conector Externo do Lync Server 2010 Enterprise, Conector Externo do Lync Server 2010 Plus e Clientes do Conector Externo do Lync Server 2010 Standard</w:t>
      </w:r>
    </w:p>
    <w:p w:rsidR="00D57009" w:rsidRPr="000A1C8E" w:rsidRDefault="004E0852" w:rsidP="003C3A72">
      <w:pPr>
        <w:ind w:left="720"/>
        <w:rPr>
          <w:rFonts w:cs="Tahoma"/>
        </w:rPr>
      </w:pPr>
      <w:r w:rsidRPr="000A1C8E">
        <w:rPr>
          <w:rFonts w:cs="Tahoma"/>
          <w:color w:val="000000"/>
          <w:szCs w:val="18"/>
        </w:rPr>
        <w:t>A versão 2010 do Conector Externo do Lync Server 2010 Enterprise, Conector Externo do Lync Server 2010 Plus e Clientes do Conector Externo do Lync Server 2010 Standard é a versão final destas licenças.</w:t>
      </w:r>
      <w:r w:rsidR="00DC6D8B" w:rsidRPr="000A1C8E">
        <w:rPr>
          <w:rFonts w:cs="Tahoma"/>
          <w:color w:val="000000"/>
          <w:szCs w:val="18"/>
        </w:rPr>
        <w:t xml:space="preserve"> </w:t>
      </w:r>
      <w:r w:rsidRPr="000A1C8E">
        <w:rPr>
          <w:rFonts w:cs="Tahoma"/>
          <w:color w:val="000000"/>
          <w:szCs w:val="18"/>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outubro de 2012 estarão qualificados para a outorga de licença a seguir.</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0A1C8E" w:rsidTr="00BD1A6A">
        <w:trPr>
          <w:trHeight w:val="332"/>
        </w:trPr>
        <w:tc>
          <w:tcPr>
            <w:tcW w:w="4500" w:type="dxa"/>
            <w:shd w:val="clear" w:color="auto" w:fill="FABF8F"/>
          </w:tcPr>
          <w:p w:rsidR="00BD1A6A" w:rsidRPr="000A1C8E" w:rsidRDefault="00BD1A6A" w:rsidP="007B35CE">
            <w:pPr>
              <w:keepNext/>
              <w:rPr>
                <w:rFonts w:cs="Tahoma"/>
                <w:b/>
                <w:color w:val="000000"/>
                <w:szCs w:val="18"/>
              </w:rPr>
            </w:pPr>
            <w:r w:rsidRPr="000A1C8E">
              <w:rPr>
                <w:rFonts w:cs="Tahoma"/>
                <w:b/>
                <w:color w:val="000000"/>
                <w:szCs w:val="18"/>
              </w:rPr>
              <w:lastRenderedPageBreak/>
              <w:t>Licença Qualificada</w:t>
            </w:r>
          </w:p>
        </w:tc>
        <w:tc>
          <w:tcPr>
            <w:tcW w:w="3600" w:type="dxa"/>
            <w:shd w:val="clear" w:color="auto" w:fill="FABF8F"/>
          </w:tcPr>
          <w:p w:rsidR="00BD1A6A" w:rsidRPr="000A1C8E" w:rsidRDefault="00BD1A6A" w:rsidP="002C3AB1">
            <w:pPr>
              <w:rPr>
                <w:rFonts w:cs="Tahoma"/>
                <w:b/>
                <w:color w:val="000000"/>
                <w:szCs w:val="18"/>
              </w:rPr>
            </w:pPr>
            <w:r w:rsidRPr="000A1C8E">
              <w:rPr>
                <w:rFonts w:cs="Tahoma"/>
                <w:b/>
                <w:color w:val="000000"/>
                <w:szCs w:val="18"/>
              </w:rPr>
              <w:t>Licença Complementar e Benefícios</w:t>
            </w:r>
          </w:p>
        </w:tc>
      </w:tr>
      <w:tr w:rsidR="00BD1A6A" w:rsidRPr="000A1C8E" w:rsidTr="00BD1A6A">
        <w:trPr>
          <w:trHeight w:val="70"/>
        </w:trPr>
        <w:tc>
          <w:tcPr>
            <w:tcW w:w="4500" w:type="dxa"/>
            <w:shd w:val="clear" w:color="auto" w:fill="auto"/>
          </w:tcPr>
          <w:p w:rsidR="00BD1A6A" w:rsidRPr="000A1C8E" w:rsidRDefault="00BD1A6A" w:rsidP="00017C18">
            <w:pPr>
              <w:keepNext/>
              <w:rPr>
                <w:rFonts w:cs="Tahoma"/>
                <w:color w:val="000000"/>
                <w:szCs w:val="18"/>
              </w:rPr>
            </w:pPr>
            <w:r w:rsidRPr="000A1C8E">
              <w:rPr>
                <w:rFonts w:cs="Tahoma"/>
                <w:color w:val="000000"/>
                <w:szCs w:val="18"/>
              </w:rPr>
              <w:t>Conector Externo do Lync Server 2010 Enterprise com Software Assurance ativo em 1º de outubro de</w:t>
            </w:r>
            <w:r w:rsidR="00017C18" w:rsidRPr="000A1C8E">
              <w:rPr>
                <w:rFonts w:cs="Tahoma"/>
                <w:color w:val="000000"/>
                <w:szCs w:val="18"/>
              </w:rPr>
              <w:t> </w:t>
            </w:r>
            <w:r w:rsidRPr="000A1C8E">
              <w:rPr>
                <w:rFonts w:cs="Tahoma"/>
                <w:color w:val="000000"/>
                <w:szCs w:val="18"/>
              </w:rPr>
              <w:t>2012</w:t>
            </w:r>
          </w:p>
        </w:tc>
        <w:tc>
          <w:tcPr>
            <w:tcW w:w="3600" w:type="dxa"/>
            <w:shd w:val="clear" w:color="auto" w:fill="auto"/>
          </w:tcPr>
          <w:p w:rsidR="00BD1A6A" w:rsidRPr="000A1C8E" w:rsidRDefault="00BD1A6A" w:rsidP="002C3AB1">
            <w:pPr>
              <w:rPr>
                <w:rFonts w:cs="Tahoma"/>
                <w:color w:val="000000"/>
                <w:szCs w:val="18"/>
              </w:rPr>
            </w:pPr>
            <w:r w:rsidRPr="000A1C8E">
              <w:rPr>
                <w:rFonts w:cs="Tahoma"/>
                <w:color w:val="000000"/>
                <w:szCs w:val="18"/>
              </w:rPr>
              <w:t>Licença do Lync Server 2013</w:t>
            </w:r>
          </w:p>
        </w:tc>
      </w:tr>
      <w:tr w:rsidR="00BD1A6A" w:rsidRPr="000A1C8E" w:rsidTr="00BD1A6A">
        <w:trPr>
          <w:trHeight w:val="70"/>
        </w:trPr>
        <w:tc>
          <w:tcPr>
            <w:tcW w:w="4500" w:type="dxa"/>
            <w:shd w:val="clear" w:color="auto" w:fill="auto"/>
          </w:tcPr>
          <w:p w:rsidR="00BD1A6A" w:rsidRPr="000A1C8E" w:rsidRDefault="00BD1A6A" w:rsidP="003678D7">
            <w:pPr>
              <w:rPr>
                <w:rFonts w:cs="Tahoma"/>
                <w:color w:val="000000"/>
                <w:szCs w:val="18"/>
              </w:rPr>
            </w:pPr>
            <w:r w:rsidRPr="000A1C8E">
              <w:rPr>
                <w:rFonts w:cs="Tahoma"/>
                <w:color w:val="000000"/>
                <w:szCs w:val="18"/>
              </w:rPr>
              <w:t>Conector Externo do Lync Server 2010 Plus com Software Assurance ativo em 1º de outubro de 2012</w:t>
            </w:r>
          </w:p>
        </w:tc>
        <w:tc>
          <w:tcPr>
            <w:tcW w:w="3600" w:type="dxa"/>
            <w:shd w:val="clear" w:color="auto" w:fill="auto"/>
          </w:tcPr>
          <w:p w:rsidR="00BD1A6A" w:rsidRPr="000A1C8E" w:rsidRDefault="00BD1A6A" w:rsidP="002C3AB1">
            <w:pPr>
              <w:rPr>
                <w:rFonts w:cs="Tahoma"/>
                <w:color w:val="000000"/>
                <w:szCs w:val="18"/>
              </w:rPr>
            </w:pPr>
            <w:r w:rsidRPr="000A1C8E">
              <w:rPr>
                <w:rFonts w:cs="Tahoma"/>
                <w:color w:val="000000"/>
                <w:szCs w:val="18"/>
              </w:rPr>
              <w:t>Licença do Lync Server 2013</w:t>
            </w:r>
          </w:p>
        </w:tc>
      </w:tr>
      <w:tr w:rsidR="00BD1A6A" w:rsidRPr="000A1C8E" w:rsidTr="00BD1A6A">
        <w:trPr>
          <w:trHeight w:val="70"/>
        </w:trPr>
        <w:tc>
          <w:tcPr>
            <w:tcW w:w="4500" w:type="dxa"/>
            <w:shd w:val="clear" w:color="auto" w:fill="auto"/>
          </w:tcPr>
          <w:p w:rsidR="00BD1A6A" w:rsidRPr="000A1C8E" w:rsidRDefault="00BD1A6A" w:rsidP="003678D7">
            <w:pPr>
              <w:rPr>
                <w:rFonts w:cs="Tahoma"/>
                <w:color w:val="000000"/>
                <w:szCs w:val="18"/>
              </w:rPr>
            </w:pPr>
            <w:r w:rsidRPr="000A1C8E">
              <w:rPr>
                <w:rFonts w:cs="Tahoma"/>
                <w:color w:val="000000"/>
                <w:szCs w:val="18"/>
              </w:rPr>
              <w:t>Conector Externo do Lync Server 2010 Standard com Software Assurance ativo em 1º de outubro de 2012</w:t>
            </w:r>
          </w:p>
        </w:tc>
        <w:tc>
          <w:tcPr>
            <w:tcW w:w="3600" w:type="dxa"/>
            <w:shd w:val="clear" w:color="auto" w:fill="auto"/>
          </w:tcPr>
          <w:p w:rsidR="00BD1A6A" w:rsidRPr="000A1C8E" w:rsidRDefault="00BD1A6A" w:rsidP="002C3AB1">
            <w:pPr>
              <w:rPr>
                <w:rFonts w:cs="Tahoma"/>
                <w:color w:val="000000"/>
                <w:szCs w:val="18"/>
              </w:rPr>
            </w:pPr>
            <w:r w:rsidRPr="000A1C8E">
              <w:rPr>
                <w:rFonts w:cs="Tahoma"/>
                <w:color w:val="000000"/>
                <w:szCs w:val="18"/>
              </w:rPr>
              <w:t>Licença do Lync Server 2013</w:t>
            </w:r>
          </w:p>
        </w:tc>
      </w:tr>
    </w:tbl>
    <w:p w:rsidR="004E0852" w:rsidRPr="000A1C8E" w:rsidRDefault="004E0852" w:rsidP="004E0852">
      <w:pPr>
        <w:ind w:left="720"/>
        <w:jc w:val="both"/>
        <w:rPr>
          <w:rFonts w:cs="Tahoma"/>
        </w:rPr>
      </w:pPr>
    </w:p>
    <w:p w:rsidR="004E0852" w:rsidRPr="000A1C8E" w:rsidRDefault="004E0852" w:rsidP="004E0852">
      <w:pPr>
        <w:ind w:left="720"/>
        <w:rPr>
          <w:rFonts w:cs="Tahoma"/>
        </w:rPr>
      </w:pPr>
      <w:r w:rsidRPr="000A1C8E">
        <w:rPr>
          <w:rFonts w:cs="Tahoma"/>
          <w:color w:val="000000"/>
          <w:szCs w:val="18"/>
        </w:rPr>
        <w:t xml:space="preserve"> Os termos e as condições a seguir se aplicam às outorgas de licença acima.</w:t>
      </w:r>
    </w:p>
    <w:p w:rsidR="004E0852" w:rsidRPr="000A1C8E" w:rsidRDefault="004E0852" w:rsidP="004E0852">
      <w:pPr>
        <w:ind w:left="720"/>
        <w:rPr>
          <w:rFonts w:cs="Tahoma"/>
        </w:rPr>
      </w:pPr>
    </w:p>
    <w:p w:rsidR="004E0852" w:rsidRPr="000A1C8E" w:rsidRDefault="004E0852" w:rsidP="00017C18">
      <w:pPr>
        <w:numPr>
          <w:ilvl w:val="0"/>
          <w:numId w:val="101"/>
        </w:numPr>
        <w:spacing w:after="60"/>
        <w:ind w:left="1440"/>
        <w:rPr>
          <w:rFonts w:cs="Tahoma"/>
        </w:rPr>
      </w:pPr>
      <w:r w:rsidRPr="000A1C8E">
        <w:rPr>
          <w:rFonts w:cs="Tahoma"/>
          <w:bCs/>
          <w:color w:val="000000"/>
          <w:szCs w:val="18"/>
          <w:u w:val="single"/>
        </w:rPr>
        <w:t>Caminho de Migração</w:t>
      </w:r>
      <w:r w:rsidR="00B37689" w:rsidRPr="00B37689">
        <w:rPr>
          <w:rFonts w:cs="Tahoma"/>
          <w:color w:val="000000"/>
          <w:szCs w:val="18"/>
        </w:rPr>
        <w:t>:</w:t>
      </w:r>
      <w:r w:rsidRPr="000A1C8E">
        <w:rPr>
          <w:rFonts w:cs="Tahoma"/>
          <w:color w:val="000000"/>
          <w:szCs w:val="18"/>
        </w:rPr>
        <w:t xml:space="preserve"> os clientes com cobertura do Software Assurance ativa para uma determinada Licença Qualificada a partir de 1º de outubro de 2012 e mediante o lançamento do Lync Server 2013 estão qualificados para atualizar e usar o software Lync Server 2013 sob a</w:t>
      </w:r>
      <w:r w:rsidR="00017C18" w:rsidRPr="000A1C8E">
        <w:rPr>
          <w:rFonts w:cs="Tahoma"/>
          <w:color w:val="000000"/>
          <w:szCs w:val="18"/>
        </w:rPr>
        <w:t> </w:t>
      </w:r>
      <w:r w:rsidRPr="000A1C8E">
        <w:rPr>
          <w:rFonts w:cs="Tahoma"/>
          <w:color w:val="000000"/>
          <w:szCs w:val="18"/>
        </w:rPr>
        <w:t>Licença Complementar em vez do software Lync Server 2010 sob a Licença Qualificada do Conector Externo correspondente.</w:t>
      </w:r>
      <w:r w:rsidR="00DC6D8B" w:rsidRPr="000A1C8E">
        <w:rPr>
          <w:rFonts w:cs="Tahoma"/>
          <w:color w:val="000000"/>
          <w:szCs w:val="18"/>
        </w:rPr>
        <w:t xml:space="preserve"> </w:t>
      </w:r>
    </w:p>
    <w:p w:rsidR="004E0852" w:rsidRPr="000A1C8E" w:rsidRDefault="004E0852" w:rsidP="00017C18">
      <w:pPr>
        <w:numPr>
          <w:ilvl w:val="0"/>
          <w:numId w:val="101"/>
        </w:numPr>
        <w:spacing w:after="60"/>
        <w:ind w:left="1440"/>
        <w:rPr>
          <w:rFonts w:cs="Tahoma"/>
        </w:rPr>
      </w:pPr>
      <w:r w:rsidRPr="000A1C8E">
        <w:rPr>
          <w:rFonts w:cs="Tahoma"/>
          <w:color w:val="000000"/>
          <w:szCs w:val="18"/>
          <w:u w:val="single"/>
        </w:rPr>
        <w:t>Direitos de uso</w:t>
      </w:r>
      <w:r w:rsidRPr="000A1C8E">
        <w:rPr>
          <w:rFonts w:cs="Tahoma"/>
          <w:color w:val="000000"/>
          <w:szCs w:val="18"/>
        </w:rPr>
        <w:t>: O direito de usar o software sob as Licenças Complementares nessa oferta expirará quando o direito de usar o software sob as Licenças Qualificadas expirar.</w:t>
      </w:r>
      <w:r w:rsidR="00DC6D8B" w:rsidRPr="000A1C8E">
        <w:rPr>
          <w:rFonts w:cs="Tahoma"/>
          <w:color w:val="000000"/>
          <w:szCs w:val="18"/>
        </w:rPr>
        <w:t xml:space="preserve"> </w:t>
      </w:r>
      <w:r w:rsidRPr="000A1C8E">
        <w:rPr>
          <w:rFonts w:cs="Tahoma"/>
          <w:color w:val="000000"/>
          <w:szCs w:val="18"/>
        </w:rPr>
        <w:t>O uso desse software é regido pelos direitos de uso do software e pelos termos e condições do contrato de Licenciamento por Volume do cliente.</w:t>
      </w:r>
      <w:r w:rsidR="00DC6D8B" w:rsidRPr="000A1C8E">
        <w:rPr>
          <w:rFonts w:cs="Tahoma"/>
          <w:color w:val="000000"/>
          <w:szCs w:val="18"/>
        </w:rPr>
        <w:t xml:space="preserve"> </w:t>
      </w:r>
      <w:r w:rsidRPr="000A1C8E">
        <w:rPr>
          <w:rFonts w:cs="Tahoma"/>
          <w:color w:val="000000"/>
          <w:szCs w:val="18"/>
        </w:rPr>
        <w:t>Essa nota de condição do produto e a evidência do cliente da</w:t>
      </w:r>
      <w:r w:rsidR="00017C18" w:rsidRPr="000A1C8E">
        <w:rPr>
          <w:rFonts w:cs="Tahoma"/>
          <w:color w:val="000000"/>
          <w:szCs w:val="18"/>
        </w:rPr>
        <w:t> </w:t>
      </w:r>
      <w:r w:rsidRPr="000A1C8E">
        <w:rPr>
          <w:rFonts w:cs="Tahoma"/>
          <w:color w:val="000000"/>
          <w:szCs w:val="18"/>
        </w:rPr>
        <w:t xml:space="preserve">Licença Qualificada e do Software Assurance do cliente juntas comprovam o direito de usar o software sob a Licença Complementar nessa oferta. </w:t>
      </w:r>
    </w:p>
    <w:p w:rsidR="004E0852" w:rsidRPr="000A1C8E" w:rsidRDefault="004E0852" w:rsidP="003D0252">
      <w:pPr>
        <w:numPr>
          <w:ilvl w:val="0"/>
          <w:numId w:val="8"/>
        </w:numPr>
        <w:spacing w:after="60"/>
        <w:ind w:left="1440"/>
        <w:rPr>
          <w:rFonts w:cs="Tahoma"/>
        </w:rPr>
      </w:pPr>
      <w:r w:rsidRPr="000A1C8E">
        <w:rPr>
          <w:rFonts w:cs="Tahoma"/>
          <w:color w:val="000000"/>
          <w:szCs w:val="18"/>
          <w:u w:val="single"/>
        </w:rPr>
        <w:t>Licença e Software Assurance (L&amp;SA)</w:t>
      </w:r>
      <w:r w:rsidRPr="000A1C8E">
        <w:rPr>
          <w:rFonts w:cs="Tahoma"/>
          <w:color w:val="000000"/>
          <w:szCs w:val="18"/>
        </w:rPr>
        <w:t>: A Licença Complementar inclui a cobertura do Software Assurance.</w:t>
      </w:r>
      <w:r w:rsidR="00DC6D8B" w:rsidRPr="000A1C8E">
        <w:rPr>
          <w:rFonts w:cs="Tahoma"/>
          <w:color w:val="000000"/>
          <w:szCs w:val="18"/>
        </w:rPr>
        <w:t xml:space="preserve"> </w:t>
      </w:r>
      <w:r w:rsidRPr="000A1C8E">
        <w:rPr>
          <w:rFonts w:cs="Tahoma"/>
          <w:color w:val="000000"/>
          <w:szCs w:val="18"/>
        </w:rPr>
        <w:t>A cobertura do Software Assurance sobre a Licença Complementar expirará quando a cobertura da Licença Qualificada expirar.</w:t>
      </w:r>
      <w:r w:rsidR="00DC6D8B" w:rsidRPr="000A1C8E">
        <w:rPr>
          <w:rFonts w:cs="Tahoma"/>
          <w:color w:val="000000"/>
          <w:szCs w:val="18"/>
        </w:rPr>
        <w:t xml:space="preserve"> </w:t>
      </w:r>
      <w:r w:rsidRPr="000A1C8E">
        <w:rPr>
          <w:rFonts w:cs="Tahoma"/>
          <w:color w:val="000000"/>
          <w:szCs w:val="18"/>
        </w:rPr>
        <w:t>No término da cobertura do Software Assurance para a Licença Qualificada, o cliente poderá renovar o Software Assurance para a Licença Complementar sem precisar adquirir uma nova licença separadamente.</w:t>
      </w:r>
    </w:p>
    <w:p w:rsidR="004E0852" w:rsidRPr="000A1C8E" w:rsidRDefault="004E0852" w:rsidP="00346F4B">
      <w:pPr>
        <w:numPr>
          <w:ilvl w:val="0"/>
          <w:numId w:val="102"/>
        </w:numPr>
        <w:spacing w:after="60"/>
        <w:ind w:left="1440"/>
        <w:rPr>
          <w:rFonts w:cs="Tahoma"/>
        </w:rPr>
      </w:pPr>
      <w:r w:rsidRPr="000A1C8E">
        <w:rPr>
          <w:rFonts w:eastAsia="Calibri" w:cs="Tahoma"/>
          <w:color w:val="000000"/>
          <w:szCs w:val="18"/>
          <w:u w:val="single"/>
        </w:rPr>
        <w:t>Adequações (“true-ups”)</w:t>
      </w:r>
      <w:r w:rsidR="00B37689" w:rsidRPr="00B37689">
        <w:rPr>
          <w:rFonts w:eastAsia="Calibri" w:cs="Tahoma"/>
          <w:color w:val="000000"/>
          <w:szCs w:val="18"/>
        </w:rPr>
        <w:t>:</w:t>
      </w:r>
      <w:r w:rsidR="00DC6D8B" w:rsidRPr="000A1C8E">
        <w:rPr>
          <w:rFonts w:eastAsia="Calibri" w:cs="Tahoma"/>
          <w:color w:val="000000"/>
          <w:szCs w:val="18"/>
        </w:rPr>
        <w:t xml:space="preserve"> </w:t>
      </w:r>
      <w:r w:rsidRPr="000A1C8E">
        <w:rPr>
          <w:rFonts w:eastAsia="Calibri" w:cs="Tahoma"/>
          <w:color w:val="000000"/>
          <w:szCs w:val="18"/>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0A1C8E">
        <w:rPr>
          <w:rFonts w:cs="Tahoma"/>
          <w:color w:val="000000"/>
          <w:szCs w:val="18"/>
        </w:rPr>
        <w:t xml:space="preserve">anuais do cliente também são Licenças Qualificadas. </w:t>
      </w:r>
    </w:p>
    <w:p w:rsidR="004E0852" w:rsidRPr="000A1C8E" w:rsidRDefault="003D0252" w:rsidP="00346F4B">
      <w:pPr>
        <w:numPr>
          <w:ilvl w:val="0"/>
          <w:numId w:val="102"/>
        </w:numPr>
        <w:spacing w:after="60"/>
        <w:ind w:left="1440"/>
        <w:rPr>
          <w:rFonts w:cs="Tahoma"/>
        </w:rPr>
      </w:pPr>
      <w:r w:rsidRPr="000A1C8E">
        <w:rPr>
          <w:rFonts w:cs="Tahoma"/>
          <w:color w:val="000000"/>
          <w:szCs w:val="18"/>
          <w:u w:val="single"/>
        </w:rPr>
        <w:t>Contratos Subscription</w:t>
      </w:r>
      <w:r w:rsidR="00B37689" w:rsidRPr="00B37689">
        <w:rPr>
          <w:rFonts w:cs="Tahoma"/>
          <w:color w:val="000000"/>
          <w:szCs w:val="18"/>
        </w:rPr>
        <w:t>:</w:t>
      </w:r>
      <w:r w:rsidR="00DC6D8B" w:rsidRPr="000A1C8E">
        <w:rPr>
          <w:rFonts w:cs="Tahoma"/>
          <w:color w:val="000000"/>
          <w:szCs w:val="18"/>
        </w:rPr>
        <w:t xml:space="preserve"> </w:t>
      </w:r>
      <w:r w:rsidRPr="000A1C8E">
        <w:rPr>
          <w:rFonts w:cs="Tahoma"/>
          <w:color w:val="000000"/>
          <w:szCs w:val="18"/>
        </w:rPr>
        <w:t xml:space="preserve">Para Enterprise Subscription, </w:t>
      </w:r>
      <w:r w:rsidRPr="000A1C8E">
        <w:rPr>
          <w:rFonts w:cs="Tahoma"/>
          <w:szCs w:val="18"/>
        </w:rPr>
        <w:t>Open Value Subscription, Campus e School, Enrollment for Education Solutions e Open Value Subscription – Education Solutions, os mesmos direitos serão outorgados temporariamente sob as mesmas condições</w:t>
      </w:r>
      <w:r w:rsidRPr="000A1C8E">
        <w:rPr>
          <w:rFonts w:cs="Tahoma"/>
          <w:color w:val="000000"/>
          <w:szCs w:val="18"/>
        </w:rPr>
        <w:t xml:space="preserve"> até o final do prazo do registro atual (ou prazo do contrato no caso do Open Value).</w:t>
      </w:r>
      <w:r w:rsidR="00DC6D8B" w:rsidRPr="000A1C8E">
        <w:rPr>
          <w:rFonts w:cs="Tahoma"/>
          <w:color w:val="000000"/>
          <w:szCs w:val="18"/>
        </w:rPr>
        <w:t xml:space="preserve"> </w:t>
      </w:r>
      <w:r w:rsidRPr="000A1C8E">
        <w:rPr>
          <w:rFonts w:cs="Tahoma"/>
          <w:color w:val="000000"/>
          <w:szCs w:val="18"/>
        </w:rPr>
        <w:t>O cliente deverá manter uma cobertura contínua da assinatura.</w:t>
      </w:r>
      <w:r w:rsidR="00DC6D8B" w:rsidRPr="000A1C8E">
        <w:rPr>
          <w:rFonts w:cs="Tahoma"/>
          <w:color w:val="000000"/>
          <w:szCs w:val="18"/>
        </w:rPr>
        <w:t xml:space="preserve"> </w:t>
      </w:r>
      <w:r w:rsidRPr="000A1C8E">
        <w:rPr>
          <w:rFonts w:cs="Tahoma"/>
          <w:color w:val="000000"/>
          <w:szCs w:val="18"/>
        </w:rPr>
        <w:t>Esses direitos só se tornarão permanentes se a opção de compra (“buy-out”) for exercida e continuarão sujeitos a todos os termos e condições do contrato de licença do cliente.</w:t>
      </w:r>
    </w:p>
    <w:p w:rsidR="004E0852" w:rsidRPr="000A1C8E" w:rsidRDefault="004E0852" w:rsidP="00346F4B">
      <w:pPr>
        <w:numPr>
          <w:ilvl w:val="0"/>
          <w:numId w:val="103"/>
        </w:numPr>
        <w:spacing w:after="60"/>
        <w:ind w:left="1440"/>
        <w:rPr>
          <w:rFonts w:cs="Tahoma"/>
          <w:spacing w:val="-2"/>
        </w:rPr>
      </w:pPr>
      <w:r w:rsidRPr="000A1C8E">
        <w:rPr>
          <w:rFonts w:cs="Tahoma"/>
          <w:spacing w:val="-2"/>
          <w:szCs w:val="18"/>
          <w:u w:val="single"/>
        </w:rPr>
        <w:t>Transições do Contrato Campus e School</w:t>
      </w:r>
      <w:r w:rsidR="00B37689" w:rsidRPr="00B37689">
        <w:rPr>
          <w:rFonts w:cs="Tahoma"/>
          <w:spacing w:val="-2"/>
          <w:szCs w:val="18"/>
        </w:rPr>
        <w:t>:</w:t>
      </w:r>
      <w:r w:rsidRPr="000A1C8E">
        <w:rPr>
          <w:rFonts w:cs="Tahoma"/>
          <w:spacing w:val="-2"/>
          <w:szCs w:val="18"/>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rsidR="004E0852" w:rsidRPr="000A1C8E" w:rsidRDefault="004E0852" w:rsidP="00346F4B">
      <w:pPr>
        <w:pStyle w:val="ListParagraph"/>
        <w:numPr>
          <w:ilvl w:val="0"/>
          <w:numId w:val="87"/>
        </w:numPr>
        <w:spacing w:after="60"/>
        <w:ind w:left="1980"/>
        <w:contextualSpacing w:val="0"/>
        <w:rPr>
          <w:rFonts w:ascii="Tahoma" w:hAnsi="Tahoma" w:cs="Tahoma"/>
        </w:rPr>
      </w:pPr>
      <w:r w:rsidRPr="000A1C8E">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BA1490" w:rsidRPr="000A1C8E" w:rsidRDefault="004E0852" w:rsidP="00346F4B">
      <w:pPr>
        <w:pStyle w:val="ListParagraph"/>
        <w:numPr>
          <w:ilvl w:val="0"/>
          <w:numId w:val="87"/>
        </w:numPr>
        <w:spacing w:after="60"/>
        <w:ind w:left="1980"/>
        <w:contextualSpacing w:val="0"/>
        <w:rPr>
          <w:rFonts w:ascii="Tahoma" w:hAnsi="Tahoma" w:cs="Tahoma"/>
        </w:rPr>
      </w:pPr>
      <w:r w:rsidRPr="000A1C8E">
        <w:rPr>
          <w:rFonts w:ascii="Tahoma" w:hAnsi="Tahoma" w:cs="Tahoma"/>
          <w:sz w:val="18"/>
          <w:szCs w:val="18"/>
        </w:rPr>
        <w:t>Esses direitos só se tornarão permanentes se a opção de compra (“buy-out”) for exercida e continuarão sujeitos a todos os termos e condições do contrato de licença do cliente.</w:t>
      </w:r>
      <w:bookmarkStart w:id="1403" w:name="_66_Lync_Server"/>
      <w:bookmarkStart w:id="1404" w:name="_Toc336338327"/>
      <w:bookmarkStart w:id="1405" w:name="Srv_57OfficeCommSvrOnlineStd"/>
      <w:bookmarkEnd w:id="1403"/>
    </w:p>
    <w:p w:rsidR="00586FCE" w:rsidRPr="000A1C8E" w:rsidRDefault="00586FCE" w:rsidP="003D0252">
      <w:pPr>
        <w:rPr>
          <w:rFonts w:cs="Tahoma"/>
        </w:rPr>
      </w:pPr>
      <w:bookmarkStart w:id="1406" w:name="Srv_56MicrosoftDynamicsCRM2011"/>
      <w:bookmarkStart w:id="1407" w:name="Srv_67MicrosoftDynamicsCRM2011"/>
    </w:p>
    <w:p w:rsidR="002512D3" w:rsidRPr="000A1C8E" w:rsidRDefault="002512D3">
      <w:pPr>
        <w:rPr>
          <w:rFonts w:cs="Tahoma"/>
        </w:rPr>
      </w:pPr>
    </w:p>
    <w:p w:rsidR="00017C18" w:rsidRPr="000A1C8E" w:rsidRDefault="00017C18">
      <w:pPr>
        <w:rPr>
          <w:rFonts w:cs="Tahoma"/>
        </w:rPr>
      </w:pPr>
    </w:p>
    <w:p w:rsidR="00017C18" w:rsidRPr="000A1C8E" w:rsidRDefault="00017C18">
      <w:pPr>
        <w:rPr>
          <w:rFonts w:cs="Tahoma"/>
        </w:rPr>
      </w:pPr>
    </w:p>
    <w:p w:rsidR="00017C18" w:rsidRPr="000A1C8E" w:rsidRDefault="00017C18">
      <w:pPr>
        <w:rPr>
          <w:rFonts w:cs="Tahoma"/>
        </w:rPr>
      </w:pPr>
    </w:p>
    <w:p w:rsidR="00017C18" w:rsidRPr="000A1C8E" w:rsidRDefault="00017C18">
      <w:pPr>
        <w:rPr>
          <w:rFonts w:cs="Tahoma"/>
        </w:rPr>
      </w:pPr>
    </w:p>
    <w:p w:rsidR="00017C18" w:rsidRPr="000A1C8E" w:rsidRDefault="00017C18">
      <w:pPr>
        <w:rPr>
          <w:rFonts w:cs="Tahoma"/>
        </w:rPr>
      </w:pPr>
    </w:p>
    <w:p w:rsidR="00017C18" w:rsidRPr="000A1C8E" w:rsidRDefault="00017C18">
      <w:pPr>
        <w:rPr>
          <w:rFonts w:cs="Tahoma"/>
        </w:rPr>
      </w:pPr>
    </w:p>
    <w:p w:rsidR="00017C18" w:rsidRPr="000A1C8E" w:rsidRDefault="00017C18">
      <w:pPr>
        <w:rPr>
          <w:rFonts w:cs="Tahoma"/>
        </w:rPr>
      </w:pPr>
    </w:p>
    <w:p w:rsidR="00253288" w:rsidRPr="000A1C8E" w:rsidRDefault="00A560B6" w:rsidP="00D47417">
      <w:pPr>
        <w:pStyle w:val="Heading3"/>
        <w:rPr>
          <w:rFonts w:ascii="Tahoma" w:hAnsi="Tahoma" w:cs="Tahoma"/>
        </w:rPr>
      </w:pPr>
      <w:bookmarkStart w:id="1408" w:name="_72_Microsoft_Dynamics"/>
      <w:bookmarkStart w:id="1409" w:name="_Toc361829416"/>
      <w:bookmarkEnd w:id="1408"/>
      <w:r w:rsidRPr="000A1C8E">
        <w:rPr>
          <w:rFonts w:ascii="Tahoma" w:hAnsi="Tahoma" w:cs="Tahoma"/>
          <w:color w:val="F66400"/>
          <w:sz w:val="22"/>
          <w:vertAlign w:val="superscript"/>
        </w:rPr>
        <w:lastRenderedPageBreak/>
        <w:t>73</w:t>
      </w:r>
      <w:r w:rsidRPr="000A1C8E">
        <w:rPr>
          <w:rFonts w:ascii="Tahoma" w:hAnsi="Tahoma" w:cs="Tahoma"/>
          <w:color w:val="F66400"/>
          <w:sz w:val="22"/>
        </w:rPr>
        <w:t xml:space="preserve"> Microsoft Dynamics AX 2012</w:t>
      </w:r>
      <w:bookmarkEnd w:id="1404"/>
      <w:r w:rsidRPr="000A1C8E">
        <w:rPr>
          <w:rFonts w:ascii="Tahoma" w:hAnsi="Tahoma" w:cs="Tahoma"/>
          <w:color w:val="F66400"/>
          <w:sz w:val="22"/>
        </w:rPr>
        <w:t xml:space="preserve"> R2</w:t>
      </w:r>
      <w:bookmarkEnd w:id="1409"/>
    </w:p>
    <w:p w:rsidR="003D0252" w:rsidRPr="000A1C8E" w:rsidRDefault="003D0252" w:rsidP="003D0252">
      <w:pPr>
        <w:rPr>
          <w:rFonts w:cs="Tahoma"/>
        </w:rPr>
      </w:pPr>
    </w:p>
    <w:p w:rsidR="00047874" w:rsidRPr="000A1C8E" w:rsidRDefault="00860CF0" w:rsidP="007B699C">
      <w:pPr>
        <w:spacing w:after="60"/>
        <w:ind w:left="734" w:hanging="14"/>
        <w:rPr>
          <w:rFonts w:cs="Tahoma"/>
        </w:rPr>
      </w:pPr>
      <w:r w:rsidRPr="000A1C8E">
        <w:rPr>
          <w:rFonts w:cs="Tahoma"/>
          <w:b/>
          <w:bCs/>
          <w:szCs w:val="20"/>
        </w:rPr>
        <w:t>Localizações e Traduções</w:t>
      </w:r>
    </w:p>
    <w:p w:rsidR="00253288" w:rsidRPr="000A1C8E" w:rsidRDefault="00047874" w:rsidP="00737831">
      <w:pPr>
        <w:ind w:left="734" w:hanging="14"/>
        <w:rPr>
          <w:rFonts w:cs="Tahoma"/>
        </w:rPr>
      </w:pPr>
      <w:r w:rsidRPr="000A1C8E">
        <w:rPr>
          <w:rFonts w:cs="Tahoma"/>
          <w:color w:val="000000"/>
          <w:szCs w:val="20"/>
        </w:rPr>
        <w:t>O Microsoft Dynamics AX está localizado, traduzido e recebe suporte da Microsoft e ele geralmente está disponível em idiomas e países selecionados. Consulte http://www.microsoft.com/en-us/dynamics/erp-buy-ax-software.aspx para saber sobre a disponibilidade das localizações e traduções da Microsoft.</w:t>
      </w:r>
    </w:p>
    <w:p w:rsidR="00860CF0" w:rsidRPr="000A1C8E" w:rsidRDefault="00860CF0" w:rsidP="00737831">
      <w:pPr>
        <w:ind w:left="720"/>
        <w:rPr>
          <w:rFonts w:cs="Tahoma"/>
        </w:rPr>
      </w:pPr>
    </w:p>
    <w:p w:rsidR="00860CF0" w:rsidRPr="000A1C8E" w:rsidRDefault="00860CF0" w:rsidP="00737831">
      <w:pPr>
        <w:pStyle w:val="PURBody-Indented"/>
        <w:spacing w:after="0"/>
        <w:ind w:left="720"/>
        <w:rPr>
          <w:rFonts w:ascii="Tahoma" w:hAnsi="Tahoma" w:cs="Tahoma"/>
        </w:rPr>
      </w:pPr>
      <w:r w:rsidRPr="000A1C8E">
        <w:rPr>
          <w:rFonts w:ascii="Tahoma" w:hAnsi="Tahoma" w:cs="Tahoma"/>
          <w:color w:val="000000"/>
          <w:sz w:val="18"/>
        </w:rPr>
        <w:t>A Microsoft compreende que, em algumas ocasiões, você quer usar determinados módulos ou recursos que foram localizados e/ou traduzidos para uma região específica e usá-los fora da região geográfica para a qual foram criados.</w:t>
      </w:r>
      <w:r w:rsidR="00DC6D8B" w:rsidRPr="000A1C8E">
        <w:rPr>
          <w:rFonts w:ascii="Tahoma" w:hAnsi="Tahoma" w:cs="Tahoma"/>
          <w:color w:val="000000"/>
          <w:sz w:val="18"/>
        </w:rPr>
        <w:t xml:space="preserve"> </w:t>
      </w:r>
      <w:r w:rsidRPr="000A1C8E">
        <w:rPr>
          <w:rFonts w:ascii="Tahoma" w:hAnsi="Tahoma" w:cs="Tahoma"/>
          <w:color w:val="000000"/>
          <w:sz w:val="18"/>
        </w:rPr>
        <w:t>Como as leis e os regulamentos variam de uma região para outra, as diferenças nas leis ou nos regulamentos podem afetar o uso da funcionalidade desejada nas regiões para as quais ela não foi criada.</w:t>
      </w:r>
      <w:r w:rsidR="00DC6D8B" w:rsidRPr="000A1C8E">
        <w:rPr>
          <w:rFonts w:ascii="Tahoma" w:hAnsi="Tahoma" w:cs="Tahoma"/>
          <w:color w:val="000000"/>
          <w:sz w:val="18"/>
        </w:rPr>
        <w:t xml:space="preserve"> </w:t>
      </w:r>
      <w:r w:rsidRPr="000A1C8E">
        <w:rPr>
          <w:rFonts w:ascii="Tahoma" w:hAnsi="Tahoma" w:cs="Tahoma"/>
          <w:color w:val="000000"/>
          <w:sz w:val="18"/>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DC6D8B" w:rsidRPr="000A1C8E">
        <w:rPr>
          <w:rFonts w:ascii="Tahoma" w:hAnsi="Tahoma" w:cs="Tahoma"/>
          <w:color w:val="000000"/>
          <w:sz w:val="18"/>
        </w:rPr>
        <w:t xml:space="preserve"> </w:t>
      </w:r>
      <w:r w:rsidRPr="000A1C8E">
        <w:rPr>
          <w:rFonts w:ascii="Tahoma" w:hAnsi="Tahoma" w:cs="Tahoma"/>
          <w:color w:val="000000"/>
          <w:sz w:val="18"/>
        </w:rPr>
        <w:t>Consulte um especialista em tributos da região geográfica onde você pretende usar este software a fim de determinar se os recursos são adequados ao uso nessa região.</w:t>
      </w:r>
    </w:p>
    <w:p w:rsidR="00047874" w:rsidRPr="000A1C8E" w:rsidRDefault="00047874" w:rsidP="00E62BC4">
      <w:pPr>
        <w:ind w:left="720" w:hanging="180"/>
        <w:rPr>
          <w:rFonts w:cs="Tahoma"/>
        </w:rPr>
      </w:pPr>
    </w:p>
    <w:p w:rsidR="00253288" w:rsidRPr="000A1C8E" w:rsidRDefault="00047874" w:rsidP="007B699C">
      <w:pPr>
        <w:spacing w:after="60"/>
        <w:ind w:left="734" w:hanging="187"/>
        <w:rPr>
          <w:rFonts w:cs="Tahoma"/>
        </w:rPr>
      </w:pPr>
      <w:r w:rsidRPr="000A1C8E">
        <w:rPr>
          <w:rFonts w:cs="Tahoma"/>
          <w:b/>
          <w:bCs/>
          <w:szCs w:val="20"/>
        </w:rPr>
        <w:t>Direitos de Uso da CAL</w:t>
      </w:r>
    </w:p>
    <w:p w:rsidR="00047874" w:rsidRPr="000A1C8E" w:rsidRDefault="00047874" w:rsidP="00E62BC4">
      <w:pPr>
        <w:ind w:left="720" w:hanging="180"/>
        <w:rPr>
          <w:rFonts w:cs="Tahoma"/>
        </w:rPr>
      </w:pPr>
      <w:r w:rsidRPr="000A1C8E">
        <w:rPr>
          <w:rFonts w:eastAsia="Calibri" w:cs="Tahoma"/>
          <w:szCs w:val="18"/>
        </w:rPr>
        <w:t>Os usos permitidos sob as CALs diferentes do Microsoft Dynamics AX 2012 R2 estão destacados abaixo:</w:t>
      </w:r>
    </w:p>
    <w:p w:rsidR="00047874" w:rsidRPr="000A1C8E" w:rsidRDefault="00047874" w:rsidP="00944DAD">
      <w:pPr>
        <w:ind w:firstLine="540"/>
        <w:rPr>
          <w:rFonts w:cs="Tahoma"/>
        </w:rPr>
      </w:pPr>
    </w:p>
    <w:p w:rsidR="00047874" w:rsidRPr="000A1C8E" w:rsidRDefault="00047874" w:rsidP="00346F4B">
      <w:pPr>
        <w:numPr>
          <w:ilvl w:val="1"/>
          <w:numId w:val="66"/>
        </w:numPr>
        <w:tabs>
          <w:tab w:val="clear" w:pos="1440"/>
          <w:tab w:val="num" w:pos="900"/>
        </w:tabs>
        <w:autoSpaceDE w:val="0"/>
        <w:autoSpaceDN w:val="0"/>
        <w:adjustRightInd w:val="0"/>
        <w:ind w:left="900" w:right="720"/>
        <w:rPr>
          <w:rFonts w:cs="Tahoma"/>
        </w:rPr>
      </w:pPr>
      <w:r w:rsidRPr="000A1C8E">
        <w:rPr>
          <w:rFonts w:eastAsia="Calibri" w:cs="Tahoma"/>
          <w:b/>
          <w:szCs w:val="18"/>
        </w:rPr>
        <w:t>CAL de Autoatendimento (CAL Básica)</w:t>
      </w:r>
    </w:p>
    <w:p w:rsidR="00047874" w:rsidRPr="000A1C8E" w:rsidRDefault="00047874" w:rsidP="00346F4B">
      <w:pPr>
        <w:numPr>
          <w:ilvl w:val="1"/>
          <w:numId w:val="88"/>
        </w:numPr>
        <w:tabs>
          <w:tab w:val="left" w:pos="1260"/>
        </w:tabs>
        <w:autoSpaceDE w:val="0"/>
        <w:autoSpaceDN w:val="0"/>
        <w:adjustRightInd w:val="0"/>
        <w:ind w:left="1260" w:right="720" w:hanging="360"/>
        <w:rPr>
          <w:rFonts w:cs="Tahoma"/>
        </w:rPr>
      </w:pPr>
      <w:r w:rsidRPr="000A1C8E">
        <w:rPr>
          <w:rFonts w:eastAsia="Calibri" w:cs="Tahoma"/>
          <w:szCs w:val="18"/>
        </w:rPr>
        <w:t>Criar relatórios de despesas;</w:t>
      </w:r>
    </w:p>
    <w:p w:rsidR="00047874" w:rsidRPr="000A1C8E" w:rsidRDefault="00047874" w:rsidP="00346F4B">
      <w:pPr>
        <w:numPr>
          <w:ilvl w:val="1"/>
          <w:numId w:val="88"/>
        </w:numPr>
        <w:tabs>
          <w:tab w:val="left" w:pos="1260"/>
        </w:tabs>
        <w:autoSpaceDE w:val="0"/>
        <w:autoSpaceDN w:val="0"/>
        <w:adjustRightInd w:val="0"/>
        <w:ind w:left="1260" w:right="720" w:hanging="360"/>
        <w:rPr>
          <w:rFonts w:cs="Tahoma"/>
        </w:rPr>
      </w:pPr>
      <w:r w:rsidRPr="000A1C8E">
        <w:rPr>
          <w:rFonts w:eastAsia="Calibri" w:cs="Tahoma"/>
          <w:szCs w:val="18"/>
        </w:rPr>
        <w:t>Gerenciar dados pessoais como registros de benefícios;</w:t>
      </w:r>
    </w:p>
    <w:p w:rsidR="00047874" w:rsidRPr="000A1C8E" w:rsidRDefault="00047874" w:rsidP="00346F4B">
      <w:pPr>
        <w:numPr>
          <w:ilvl w:val="1"/>
          <w:numId w:val="88"/>
        </w:numPr>
        <w:tabs>
          <w:tab w:val="left" w:pos="1260"/>
        </w:tabs>
        <w:autoSpaceDE w:val="0"/>
        <w:autoSpaceDN w:val="0"/>
        <w:adjustRightInd w:val="0"/>
        <w:ind w:left="1260" w:right="720" w:hanging="360"/>
        <w:rPr>
          <w:rFonts w:cs="Tahoma"/>
        </w:rPr>
      </w:pPr>
      <w:r w:rsidRPr="000A1C8E">
        <w:rPr>
          <w:rFonts w:eastAsia="Calibri" w:cs="Tahoma"/>
          <w:szCs w:val="18"/>
        </w:rPr>
        <w:t>Fazer entradas de tempo e presença como registrar horas, horário de entrada e de saída;</w:t>
      </w:r>
    </w:p>
    <w:p w:rsidR="00047874" w:rsidRPr="000A1C8E" w:rsidRDefault="00047874" w:rsidP="00346F4B">
      <w:pPr>
        <w:numPr>
          <w:ilvl w:val="1"/>
          <w:numId w:val="88"/>
        </w:numPr>
        <w:tabs>
          <w:tab w:val="left" w:pos="1260"/>
        </w:tabs>
        <w:autoSpaceDE w:val="0"/>
        <w:autoSpaceDN w:val="0"/>
        <w:adjustRightInd w:val="0"/>
        <w:ind w:left="1260" w:right="720" w:hanging="360"/>
        <w:rPr>
          <w:rFonts w:cs="Tahoma"/>
        </w:rPr>
      </w:pPr>
      <w:r w:rsidRPr="000A1C8E">
        <w:rPr>
          <w:rFonts w:eastAsia="Calibri" w:cs="Tahoma"/>
          <w:szCs w:val="18"/>
        </w:rPr>
        <w:t>Inserir solicitações de serviço de funcionário;</w:t>
      </w:r>
    </w:p>
    <w:p w:rsidR="00047874" w:rsidRPr="000A1C8E" w:rsidRDefault="00047874" w:rsidP="00346F4B">
      <w:pPr>
        <w:numPr>
          <w:ilvl w:val="1"/>
          <w:numId w:val="88"/>
        </w:numPr>
        <w:tabs>
          <w:tab w:val="left" w:pos="1260"/>
        </w:tabs>
        <w:autoSpaceDE w:val="0"/>
        <w:autoSpaceDN w:val="0"/>
        <w:adjustRightInd w:val="0"/>
        <w:ind w:left="1260" w:right="720" w:hanging="360"/>
        <w:rPr>
          <w:rFonts w:cs="Tahoma"/>
        </w:rPr>
      </w:pPr>
      <w:r w:rsidRPr="000A1C8E">
        <w:rPr>
          <w:rFonts w:eastAsia="Calibri" w:cs="Tahoma"/>
          <w:szCs w:val="18"/>
        </w:rPr>
        <w:t>Preparar solicitações de compra indireta pertencentes a produtos ou serviços para o funcionário como viagens, equipamento para escritório, papelaria e/ou fazer solicitações para adicionar ou registrar fornecedores.</w:t>
      </w:r>
      <w:r w:rsidRPr="000A1C8E">
        <w:rPr>
          <w:rFonts w:eastAsia="Calibri" w:cs="Tahoma"/>
          <w:szCs w:val="18"/>
        </w:rPr>
        <w:br/>
      </w:r>
    </w:p>
    <w:p w:rsidR="00047874" w:rsidRPr="000A1C8E" w:rsidRDefault="00047874" w:rsidP="00346F4B">
      <w:pPr>
        <w:numPr>
          <w:ilvl w:val="0"/>
          <w:numId w:val="88"/>
        </w:numPr>
        <w:autoSpaceDE w:val="0"/>
        <w:autoSpaceDN w:val="0"/>
        <w:adjustRightInd w:val="0"/>
        <w:ind w:left="900" w:right="720"/>
        <w:rPr>
          <w:rFonts w:cs="Tahoma"/>
        </w:rPr>
      </w:pPr>
      <w:r w:rsidRPr="000A1C8E">
        <w:rPr>
          <w:rFonts w:eastAsia="Calibri" w:cs="Tahoma"/>
          <w:b/>
          <w:szCs w:val="18"/>
        </w:rPr>
        <w:t>CAL de Tarefa (CAL de Autoatendimento + CAL Aditiva de Tarefa)</w:t>
      </w:r>
    </w:p>
    <w:p w:rsidR="00B10F79" w:rsidRPr="000A1C8E" w:rsidRDefault="00B10F79" w:rsidP="00346F4B">
      <w:pPr>
        <w:numPr>
          <w:ilvl w:val="1"/>
          <w:numId w:val="88"/>
        </w:numPr>
        <w:ind w:left="1260" w:right="720" w:hanging="360"/>
        <w:rPr>
          <w:rFonts w:cs="Tahoma"/>
        </w:rPr>
      </w:pPr>
      <w:r w:rsidRPr="000A1C8E">
        <w:rPr>
          <w:rFonts w:eastAsia="Calibri" w:cs="Tahoma"/>
          <w:szCs w:val="18"/>
        </w:rPr>
        <w:t>Incluir direitos de uso da CAL de Autoatendimento</w:t>
      </w:r>
    </w:p>
    <w:p w:rsidR="00047874" w:rsidRPr="000A1C8E" w:rsidRDefault="00B10F79" w:rsidP="00346F4B">
      <w:pPr>
        <w:numPr>
          <w:ilvl w:val="1"/>
          <w:numId w:val="88"/>
        </w:numPr>
        <w:ind w:left="1260" w:right="720" w:hanging="360"/>
        <w:rPr>
          <w:rFonts w:cs="Tahoma"/>
        </w:rPr>
      </w:pPr>
      <w:r w:rsidRPr="000A1C8E">
        <w:rPr>
          <w:rFonts w:eastAsia="Calibri" w:cs="Tahoma"/>
          <w:szCs w:val="18"/>
        </w:rPr>
        <w:t>Inserir hora faturável;</w:t>
      </w:r>
    </w:p>
    <w:p w:rsidR="00047874" w:rsidRPr="000A1C8E" w:rsidRDefault="00B10F79" w:rsidP="00346F4B">
      <w:pPr>
        <w:numPr>
          <w:ilvl w:val="1"/>
          <w:numId w:val="88"/>
        </w:numPr>
        <w:ind w:left="1260" w:right="720" w:hanging="360"/>
        <w:rPr>
          <w:rFonts w:cs="Tahoma"/>
        </w:rPr>
      </w:pPr>
      <w:r w:rsidRPr="000A1C8E">
        <w:rPr>
          <w:rFonts w:eastAsia="Calibri" w:cs="Tahoma"/>
          <w:szCs w:val="18"/>
        </w:rPr>
        <w:t>Inserir despesas faturáveis;</w:t>
      </w:r>
    </w:p>
    <w:p w:rsidR="00047874" w:rsidRPr="000A1C8E" w:rsidRDefault="00B10F79" w:rsidP="00346F4B">
      <w:pPr>
        <w:numPr>
          <w:ilvl w:val="1"/>
          <w:numId w:val="88"/>
        </w:numPr>
        <w:ind w:left="1260" w:right="720" w:hanging="360"/>
        <w:rPr>
          <w:rFonts w:cs="Tahoma"/>
        </w:rPr>
      </w:pPr>
      <w:r w:rsidRPr="000A1C8E">
        <w:rPr>
          <w:rFonts w:eastAsia="Calibri" w:cs="Tahoma"/>
          <w:szCs w:val="18"/>
        </w:rPr>
        <w:t>Gerenciar análises de desempenho e anuais, definição de metas e competências;</w:t>
      </w:r>
    </w:p>
    <w:p w:rsidR="00047874" w:rsidRPr="000A1C8E" w:rsidRDefault="00B10F79" w:rsidP="00346F4B">
      <w:pPr>
        <w:numPr>
          <w:ilvl w:val="1"/>
          <w:numId w:val="88"/>
        </w:numPr>
        <w:ind w:left="1260" w:right="720" w:hanging="360"/>
        <w:rPr>
          <w:rFonts w:cs="Tahoma"/>
        </w:rPr>
      </w:pPr>
      <w:r w:rsidRPr="000A1C8E">
        <w:rPr>
          <w:rFonts w:eastAsia="Calibri" w:cs="Tahoma"/>
          <w:szCs w:val="18"/>
        </w:rPr>
        <w:t>Operar um ponto de varejo do dispositivo de venda;</w:t>
      </w:r>
    </w:p>
    <w:p w:rsidR="00047874" w:rsidRPr="000A1C8E" w:rsidRDefault="00B10F79" w:rsidP="00346F4B">
      <w:pPr>
        <w:numPr>
          <w:ilvl w:val="1"/>
          <w:numId w:val="88"/>
        </w:numPr>
        <w:ind w:left="1260" w:right="720" w:hanging="360"/>
        <w:rPr>
          <w:rFonts w:cs="Tahoma"/>
        </w:rPr>
      </w:pPr>
      <w:r w:rsidRPr="000A1C8E">
        <w:rPr>
          <w:rFonts w:eastAsia="Calibri" w:cs="Tahoma"/>
          <w:szCs w:val="18"/>
        </w:rPr>
        <w:t>Aprovar faturas de fornecedores relativas a compra indireta e</w:t>
      </w:r>
    </w:p>
    <w:p w:rsidR="00047874" w:rsidRPr="000A1C8E" w:rsidRDefault="00047874" w:rsidP="00346F4B">
      <w:pPr>
        <w:numPr>
          <w:ilvl w:val="1"/>
          <w:numId w:val="88"/>
        </w:numPr>
        <w:ind w:left="1260" w:right="720" w:hanging="360"/>
        <w:rPr>
          <w:rFonts w:cs="Tahoma"/>
        </w:rPr>
      </w:pPr>
      <w:r w:rsidRPr="000A1C8E">
        <w:rPr>
          <w:rFonts w:eastAsia="Calibri" w:cs="Tahoma"/>
          <w:szCs w:val="18"/>
        </w:rPr>
        <w:t>Usuários de CAL de Tarefa não podem executar aprovações do fluxo de trabalho.</w:t>
      </w:r>
      <w:r w:rsidRPr="000A1C8E">
        <w:rPr>
          <w:rFonts w:cs="Tahoma"/>
          <w:szCs w:val="18"/>
        </w:rPr>
        <w:t xml:space="preserve"> </w:t>
      </w:r>
    </w:p>
    <w:p w:rsidR="00047874" w:rsidRPr="000A1C8E" w:rsidRDefault="00047874" w:rsidP="00944DAD">
      <w:pPr>
        <w:autoSpaceDE w:val="0"/>
        <w:autoSpaceDN w:val="0"/>
        <w:adjustRightInd w:val="0"/>
        <w:ind w:left="1260" w:right="720"/>
        <w:rPr>
          <w:rFonts w:cs="Tahoma"/>
        </w:rPr>
      </w:pPr>
    </w:p>
    <w:p w:rsidR="00047874" w:rsidRPr="000A1C8E" w:rsidRDefault="00047874" w:rsidP="00346F4B">
      <w:pPr>
        <w:numPr>
          <w:ilvl w:val="0"/>
          <w:numId w:val="88"/>
        </w:numPr>
        <w:ind w:left="900" w:right="720"/>
        <w:rPr>
          <w:rFonts w:cs="Tahoma"/>
        </w:rPr>
      </w:pPr>
      <w:r w:rsidRPr="000A1C8E">
        <w:rPr>
          <w:rFonts w:eastAsia="Calibri" w:cs="Tahoma"/>
          <w:b/>
          <w:szCs w:val="18"/>
        </w:rPr>
        <w:t>CAL Funcional (CAL de Tarefa + CAL Aditiva Funcional)</w:t>
      </w:r>
    </w:p>
    <w:p w:rsidR="00B10F79" w:rsidRPr="000A1C8E" w:rsidRDefault="00B10F79" w:rsidP="00346F4B">
      <w:pPr>
        <w:numPr>
          <w:ilvl w:val="1"/>
          <w:numId w:val="88"/>
        </w:numPr>
        <w:ind w:left="1260" w:right="720" w:hanging="360"/>
        <w:rPr>
          <w:rFonts w:cs="Tahoma"/>
        </w:rPr>
      </w:pPr>
      <w:r w:rsidRPr="000A1C8E">
        <w:rPr>
          <w:rFonts w:eastAsia="Calibri" w:cs="Tahoma"/>
          <w:szCs w:val="18"/>
        </w:rPr>
        <w:t>Incluir direitos de uso da CAL de Tarefa</w:t>
      </w:r>
    </w:p>
    <w:p w:rsidR="00047874" w:rsidRPr="000A1C8E" w:rsidRDefault="00B10F79" w:rsidP="00346F4B">
      <w:pPr>
        <w:numPr>
          <w:ilvl w:val="1"/>
          <w:numId w:val="88"/>
        </w:numPr>
        <w:ind w:left="1260" w:right="720" w:hanging="360"/>
        <w:rPr>
          <w:rFonts w:cs="Tahoma"/>
        </w:rPr>
      </w:pPr>
      <w:r w:rsidRPr="000A1C8E">
        <w:rPr>
          <w:rFonts w:eastAsia="Calibri" w:cs="Tahoma"/>
          <w:szCs w:val="18"/>
        </w:rPr>
        <w:t>Gerenciar um chão de fábrica em um ciclo de fabricação ou produção;</w:t>
      </w:r>
    </w:p>
    <w:p w:rsidR="00047874" w:rsidRPr="000A1C8E" w:rsidRDefault="00B10F79" w:rsidP="00346F4B">
      <w:pPr>
        <w:numPr>
          <w:ilvl w:val="1"/>
          <w:numId w:val="88"/>
        </w:numPr>
        <w:ind w:left="1260" w:right="720" w:hanging="360"/>
        <w:rPr>
          <w:rFonts w:cs="Tahoma"/>
        </w:rPr>
      </w:pPr>
      <w:r w:rsidRPr="000A1C8E">
        <w:rPr>
          <w:rFonts w:eastAsia="Calibri" w:cs="Tahoma"/>
          <w:szCs w:val="18"/>
        </w:rPr>
        <w:t>Gerenciar projetos e recursos;</w:t>
      </w:r>
    </w:p>
    <w:p w:rsidR="00047874" w:rsidRPr="000A1C8E" w:rsidRDefault="00B10F79" w:rsidP="00346F4B">
      <w:pPr>
        <w:numPr>
          <w:ilvl w:val="1"/>
          <w:numId w:val="88"/>
        </w:numPr>
        <w:ind w:left="1260" w:right="720" w:hanging="360"/>
        <w:rPr>
          <w:rFonts w:cs="Tahoma"/>
        </w:rPr>
      </w:pPr>
      <w:r w:rsidRPr="000A1C8E">
        <w:rPr>
          <w:rFonts w:eastAsia="Calibri" w:cs="Tahoma"/>
          <w:szCs w:val="18"/>
        </w:rPr>
        <w:t>Gerenciar ciclos de recursos humanos;</w:t>
      </w:r>
    </w:p>
    <w:p w:rsidR="00047874" w:rsidRPr="000A1C8E" w:rsidRDefault="00B10F79" w:rsidP="00346F4B">
      <w:pPr>
        <w:numPr>
          <w:ilvl w:val="1"/>
          <w:numId w:val="88"/>
        </w:numPr>
        <w:ind w:left="1260" w:right="720" w:hanging="360"/>
        <w:rPr>
          <w:rFonts w:cs="Tahoma"/>
        </w:rPr>
      </w:pPr>
      <w:r w:rsidRPr="000A1C8E">
        <w:rPr>
          <w:rFonts w:eastAsia="Calibri" w:cs="Tahoma"/>
          <w:szCs w:val="18"/>
        </w:rPr>
        <w:t>Gerenciar transferências de orçamento e solicitações organizacionais;</w:t>
      </w:r>
    </w:p>
    <w:p w:rsidR="00047874" w:rsidRPr="000A1C8E" w:rsidRDefault="00B10F79" w:rsidP="00346F4B">
      <w:pPr>
        <w:numPr>
          <w:ilvl w:val="1"/>
          <w:numId w:val="88"/>
        </w:numPr>
        <w:ind w:left="1260" w:right="720" w:hanging="360"/>
        <w:rPr>
          <w:rFonts w:cs="Tahoma"/>
        </w:rPr>
      </w:pPr>
      <w:r w:rsidRPr="000A1C8E">
        <w:rPr>
          <w:rFonts w:eastAsia="Calibri" w:cs="Tahoma"/>
          <w:szCs w:val="18"/>
        </w:rPr>
        <w:t>Criar registros de dados mestres de candidatos ou funcionários;</w:t>
      </w:r>
    </w:p>
    <w:p w:rsidR="00047874" w:rsidRPr="000A1C8E" w:rsidRDefault="00B10F79" w:rsidP="00346F4B">
      <w:pPr>
        <w:numPr>
          <w:ilvl w:val="1"/>
          <w:numId w:val="88"/>
        </w:numPr>
        <w:ind w:left="1260" w:right="720" w:hanging="360"/>
        <w:rPr>
          <w:rFonts w:cs="Tahoma"/>
        </w:rPr>
      </w:pPr>
      <w:r w:rsidRPr="000A1C8E">
        <w:rPr>
          <w:rFonts w:eastAsia="Calibri" w:cs="Tahoma"/>
          <w:szCs w:val="18"/>
        </w:rPr>
        <w:t xml:space="preserve">Criar uma solicitação de emprego ou posição; </w:t>
      </w:r>
    </w:p>
    <w:p w:rsidR="00047874" w:rsidRPr="000A1C8E" w:rsidRDefault="00B10F79" w:rsidP="00346F4B">
      <w:pPr>
        <w:numPr>
          <w:ilvl w:val="1"/>
          <w:numId w:val="88"/>
        </w:numPr>
        <w:ind w:left="1260" w:right="720" w:hanging="360"/>
        <w:rPr>
          <w:rFonts w:cs="Tahoma"/>
        </w:rPr>
      </w:pPr>
      <w:r w:rsidRPr="000A1C8E">
        <w:rPr>
          <w:rFonts w:eastAsia="Calibri" w:cs="Tahoma"/>
          <w:szCs w:val="18"/>
        </w:rPr>
        <w:t xml:space="preserve">Escalar ou solicitar aprovação de faturas relativas a seus clientes; </w:t>
      </w:r>
    </w:p>
    <w:p w:rsidR="00047874" w:rsidRPr="000A1C8E" w:rsidRDefault="00B10F79" w:rsidP="00346F4B">
      <w:pPr>
        <w:numPr>
          <w:ilvl w:val="1"/>
          <w:numId w:val="88"/>
        </w:numPr>
        <w:ind w:left="1260" w:right="720" w:hanging="360"/>
        <w:rPr>
          <w:rFonts w:cs="Tahoma"/>
        </w:rPr>
      </w:pPr>
      <w:r w:rsidRPr="000A1C8E">
        <w:rPr>
          <w:rFonts w:eastAsia="Calibri" w:cs="Tahoma"/>
          <w:szCs w:val="18"/>
        </w:rPr>
        <w:t>Aprovar faturas de fornecedor ou vouchers para serviços prestados;</w:t>
      </w:r>
    </w:p>
    <w:p w:rsidR="00047874" w:rsidRPr="000A1C8E" w:rsidRDefault="00B10F79" w:rsidP="00346F4B">
      <w:pPr>
        <w:numPr>
          <w:ilvl w:val="1"/>
          <w:numId w:val="88"/>
        </w:numPr>
        <w:ind w:left="1260" w:right="720" w:hanging="360"/>
        <w:rPr>
          <w:rFonts w:cs="Tahoma"/>
        </w:rPr>
      </w:pPr>
      <w:r w:rsidRPr="000A1C8E">
        <w:rPr>
          <w:rFonts w:eastAsia="Calibri" w:cs="Tahoma"/>
          <w:szCs w:val="18"/>
        </w:rPr>
        <w:t>Criar e gerenciar registros de dados mestre pertencentes a clientes, fornecedores, inventário de produtos ou catálogos e/ou</w:t>
      </w:r>
    </w:p>
    <w:p w:rsidR="00047874" w:rsidRPr="000A1C8E" w:rsidRDefault="00B10F79" w:rsidP="00346F4B">
      <w:pPr>
        <w:numPr>
          <w:ilvl w:val="1"/>
          <w:numId w:val="88"/>
        </w:numPr>
        <w:ind w:left="1260" w:right="720" w:hanging="360"/>
        <w:rPr>
          <w:rFonts w:cs="Tahoma"/>
        </w:rPr>
      </w:pPr>
      <w:r w:rsidRPr="000A1C8E">
        <w:rPr>
          <w:rFonts w:eastAsia="Calibri" w:cs="Tahoma"/>
          <w:szCs w:val="18"/>
        </w:rPr>
        <w:t>Aprovar solicitações de usuários da CAL de Autoatendimento ou CAL de Tarefa.</w:t>
      </w:r>
    </w:p>
    <w:p w:rsidR="00047874" w:rsidRPr="000A1C8E" w:rsidRDefault="00047874" w:rsidP="00B20F02">
      <w:pPr>
        <w:autoSpaceDE w:val="0"/>
        <w:autoSpaceDN w:val="0"/>
        <w:adjustRightInd w:val="0"/>
        <w:ind w:left="1260" w:right="720" w:hanging="360"/>
        <w:rPr>
          <w:rFonts w:cs="Tahoma"/>
        </w:rPr>
      </w:pPr>
    </w:p>
    <w:p w:rsidR="00047874" w:rsidRPr="000A1C8E" w:rsidRDefault="00047874" w:rsidP="00346F4B">
      <w:pPr>
        <w:numPr>
          <w:ilvl w:val="0"/>
          <w:numId w:val="88"/>
        </w:numPr>
        <w:ind w:left="900" w:right="720"/>
        <w:rPr>
          <w:rFonts w:cs="Tahoma"/>
        </w:rPr>
      </w:pPr>
      <w:r w:rsidRPr="000A1C8E">
        <w:rPr>
          <w:rFonts w:eastAsia="Calibri" w:cs="Tahoma"/>
          <w:b/>
          <w:szCs w:val="18"/>
        </w:rPr>
        <w:t>CAL Empresarial (CAL Funcional + CAL Aditiva Empresarial)</w:t>
      </w:r>
    </w:p>
    <w:p w:rsidR="00047874" w:rsidRPr="000A1C8E" w:rsidRDefault="00047874" w:rsidP="00346F4B">
      <w:pPr>
        <w:numPr>
          <w:ilvl w:val="1"/>
          <w:numId w:val="88"/>
        </w:numPr>
        <w:ind w:left="1260" w:right="720" w:hanging="360"/>
        <w:rPr>
          <w:rFonts w:cs="Tahoma"/>
        </w:rPr>
      </w:pPr>
      <w:r w:rsidRPr="000A1C8E">
        <w:rPr>
          <w:rFonts w:eastAsia="Calibri" w:cs="Tahoma"/>
          <w:szCs w:val="18"/>
        </w:rPr>
        <w:t>Direitos Totais de Uso</w:t>
      </w:r>
    </w:p>
    <w:p w:rsidR="00047874" w:rsidRPr="000A1C8E" w:rsidRDefault="00047874" w:rsidP="00944DAD">
      <w:pPr>
        <w:autoSpaceDE w:val="0"/>
        <w:autoSpaceDN w:val="0"/>
        <w:adjustRightInd w:val="0"/>
        <w:ind w:left="900" w:right="720"/>
        <w:rPr>
          <w:rFonts w:cs="Tahoma"/>
        </w:rPr>
      </w:pPr>
    </w:p>
    <w:p w:rsidR="00047874" w:rsidRPr="000A1C8E" w:rsidRDefault="00047874" w:rsidP="00944DAD">
      <w:pPr>
        <w:autoSpaceDE w:val="0"/>
        <w:autoSpaceDN w:val="0"/>
        <w:adjustRightInd w:val="0"/>
        <w:ind w:left="720" w:right="720"/>
        <w:rPr>
          <w:rFonts w:cs="Tahoma"/>
        </w:rPr>
      </w:pPr>
      <w:r w:rsidRPr="000A1C8E">
        <w:rPr>
          <w:rFonts w:eastAsia="Calibri" w:cs="Tahoma"/>
          <w:szCs w:val="18"/>
        </w:rPr>
        <w:t>Para uma maior granularidade e compreensão das CALs exigidas, consulte http://www.microsoft.com/en-us/dynamics/erp-buy-ax-software.aspx.</w:t>
      </w:r>
    </w:p>
    <w:p w:rsidR="00A6185F" w:rsidRPr="000A1C8E" w:rsidRDefault="00A6185F" w:rsidP="00C066F9">
      <w:pPr>
        <w:spacing w:after="60"/>
        <w:ind w:left="734" w:hanging="194"/>
        <w:rPr>
          <w:rFonts w:cs="Tahoma"/>
        </w:rPr>
      </w:pPr>
      <w:r w:rsidRPr="000A1C8E">
        <w:rPr>
          <w:rFonts w:cs="Tahoma"/>
          <w:b/>
          <w:bCs/>
        </w:rPr>
        <w:lastRenderedPageBreak/>
        <w:t>Termos Complementares da Licença</w:t>
      </w:r>
    </w:p>
    <w:p w:rsidR="00A6185F" w:rsidRPr="000A1C8E" w:rsidRDefault="00A6185F" w:rsidP="00017C18">
      <w:pPr>
        <w:pStyle w:val="PURBody-Indented"/>
        <w:spacing w:after="0"/>
        <w:ind w:left="547"/>
        <w:rPr>
          <w:rFonts w:ascii="Tahoma" w:hAnsi="Tahoma" w:cs="Tahoma"/>
        </w:rPr>
      </w:pPr>
      <w:r w:rsidRPr="000A1C8E">
        <w:rPr>
          <w:rFonts w:ascii="Tahoma" w:eastAsia="Calibri" w:hAnsi="Tahoma" w:cs="Tahoma"/>
          <w:sz w:val="18"/>
          <w:szCs w:val="18"/>
        </w:rPr>
        <w:t>O uso que você faz dos Componentes de eCommerce, Componentes de Ponto de venda e de atualizações</w:t>
      </w:r>
      <w:r w:rsidR="00017C18" w:rsidRPr="000A1C8E">
        <w:rPr>
          <w:rFonts w:ascii="Tahoma" w:eastAsia="Calibri" w:hAnsi="Tahoma" w:cs="Tahoma"/>
          <w:sz w:val="18"/>
          <w:szCs w:val="18"/>
        </w:rPr>
        <w:t> </w:t>
      </w:r>
      <w:r w:rsidRPr="000A1C8E">
        <w:rPr>
          <w:rFonts w:ascii="Tahoma" w:eastAsia="Calibri" w:hAnsi="Tahoma" w:cs="Tahoma"/>
          <w:sz w:val="18"/>
          <w:szCs w:val="18"/>
        </w:rPr>
        <w:t>e</w:t>
      </w:r>
      <w:r w:rsidR="00017C18" w:rsidRPr="000A1C8E">
        <w:rPr>
          <w:rFonts w:ascii="Tahoma" w:eastAsia="Calibri" w:hAnsi="Tahoma" w:cs="Tahoma"/>
          <w:sz w:val="18"/>
          <w:szCs w:val="18"/>
        </w:rPr>
        <w:t> </w:t>
      </w:r>
      <w:r w:rsidRPr="000A1C8E">
        <w:rPr>
          <w:rFonts w:ascii="Tahoma" w:eastAsia="Calibri" w:hAnsi="Tahoma" w:cs="Tahoma"/>
          <w:sz w:val="18"/>
          <w:szCs w:val="18"/>
        </w:rPr>
        <w:t xml:space="preserve">complementos semelhantes para o Microsoft Dynamics AX 2012 R2 são regidos pelos Termos Complementares da Licença que você pode encontrar em: </w:t>
      </w:r>
      <w:hyperlink r:id="rId53" w:history="1">
        <w:r w:rsidRPr="000A1C8E">
          <w:rPr>
            <w:rFonts w:ascii="Tahoma" w:eastAsia="Calibri" w:hAnsi="Tahoma" w:cs="Tahoma"/>
            <w:sz w:val="18"/>
            <w:szCs w:val="18"/>
          </w:rPr>
          <w:t>http://www.microsoft.com/en-us/dynamics/erp-buy-ax-software.aspx</w:t>
        </w:r>
      </w:hyperlink>
      <w:r w:rsidRPr="000A1C8E">
        <w:rPr>
          <w:rFonts w:ascii="Tahoma" w:eastAsia="Calibri" w:hAnsi="Tahoma" w:cs="Tahoma"/>
          <w:sz w:val="18"/>
          <w:szCs w:val="18"/>
        </w:rPr>
        <w:t>.</w:t>
      </w:r>
    </w:p>
    <w:p w:rsidR="00047874" w:rsidRPr="000A1C8E" w:rsidRDefault="00047874" w:rsidP="00944DAD">
      <w:pPr>
        <w:rPr>
          <w:rFonts w:cs="Tahoma"/>
        </w:rPr>
      </w:pPr>
    </w:p>
    <w:p w:rsidR="00D57009" w:rsidRPr="000A1C8E" w:rsidRDefault="00D57009">
      <w:pPr>
        <w:rPr>
          <w:rFonts w:cs="Tahoma"/>
        </w:rPr>
      </w:pPr>
      <w:bookmarkStart w:id="1410" w:name="_68_Microsoft_Dynamics"/>
      <w:bookmarkStart w:id="1411" w:name="_Toc336338328"/>
      <w:bookmarkEnd w:id="1410"/>
    </w:p>
    <w:p w:rsidR="00D47417" w:rsidRPr="000A1C8E" w:rsidRDefault="00A560B6" w:rsidP="00DF3AED">
      <w:pPr>
        <w:pStyle w:val="Heading3"/>
        <w:keepNext/>
        <w:rPr>
          <w:rFonts w:ascii="Tahoma" w:hAnsi="Tahoma" w:cs="Tahoma"/>
        </w:rPr>
      </w:pPr>
      <w:bookmarkStart w:id="1412" w:name="_70_Microsoft_Dynamics"/>
      <w:bookmarkStart w:id="1413" w:name="_73_Microsoft_Dynamics"/>
      <w:bookmarkStart w:id="1414" w:name="_Toc361829417"/>
      <w:bookmarkEnd w:id="1412"/>
      <w:bookmarkEnd w:id="1413"/>
      <w:r w:rsidRPr="000A1C8E">
        <w:rPr>
          <w:rFonts w:ascii="Tahoma" w:hAnsi="Tahoma" w:cs="Tahoma"/>
          <w:color w:val="F66400"/>
          <w:sz w:val="22"/>
          <w:vertAlign w:val="superscript"/>
        </w:rPr>
        <w:t>74</w:t>
      </w:r>
      <w:r w:rsidRPr="000A1C8E">
        <w:rPr>
          <w:rFonts w:ascii="Tahoma" w:hAnsi="Tahoma" w:cs="Tahoma"/>
          <w:color w:val="F66400"/>
          <w:sz w:val="22"/>
        </w:rPr>
        <w:t xml:space="preserve"> Microsoft Dynamics CRM 2011</w:t>
      </w:r>
      <w:bookmarkEnd w:id="1411"/>
      <w:bookmarkEnd w:id="1414"/>
    </w:p>
    <w:bookmarkEnd w:id="1406"/>
    <w:bookmarkEnd w:id="1407"/>
    <w:p w:rsidR="00D47417" w:rsidRPr="000A1C8E" w:rsidRDefault="00D47417" w:rsidP="00DF3AED">
      <w:pPr>
        <w:keepNext/>
        <w:rPr>
          <w:rFonts w:cs="Tahoma"/>
        </w:rPr>
      </w:pPr>
    </w:p>
    <w:p w:rsidR="00944BDF" w:rsidRPr="000A1C8E" w:rsidRDefault="00944BDF" w:rsidP="00DF3AED">
      <w:pPr>
        <w:keepNext/>
        <w:spacing w:after="60"/>
        <w:ind w:left="720"/>
        <w:rPr>
          <w:rFonts w:cs="Tahoma"/>
        </w:rPr>
      </w:pPr>
      <w:r w:rsidRPr="000A1C8E">
        <w:rPr>
          <w:rFonts w:cs="Tahoma"/>
          <w:b/>
          <w:bCs/>
          <w:color w:val="000000"/>
          <w:szCs w:val="20"/>
        </w:rPr>
        <w:t>Caminho de Migração do Software Assurance para Microsoft Dynamics CRM 4.0</w:t>
      </w:r>
    </w:p>
    <w:p w:rsidR="00944BDF" w:rsidRPr="000A1C8E" w:rsidRDefault="00944BDF" w:rsidP="00E62BC4">
      <w:pPr>
        <w:ind w:left="720"/>
        <w:rPr>
          <w:rFonts w:cs="Tahoma"/>
        </w:rPr>
      </w:pPr>
      <w:r w:rsidRPr="000A1C8E">
        <w:rPr>
          <w:rFonts w:cs="Tahoma"/>
          <w:color w:val="000000"/>
          <w:szCs w:val="20"/>
        </w:rPr>
        <w:t>Os clientes que tiverem adquirido licenças do Microsoft Dynamics CRM 4.0 e tiverem cobertura do Software Assurance ativa sobre essas licenças a partir de 1° de abril de 2011 ou posteriormente poderão atualizar essas licenças conforme indicado abaixo:</w:t>
      </w:r>
    </w:p>
    <w:p w:rsidR="00944BDF" w:rsidRPr="000A1C8E" w:rsidRDefault="00944BDF" w:rsidP="00944BDF">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0A1C8E" w:rsidTr="00CA14C9">
        <w:tc>
          <w:tcPr>
            <w:tcW w:w="4248" w:type="dxa"/>
            <w:tcBorders>
              <w:top w:val="single" w:sz="4" w:space="0" w:color="000000"/>
              <w:bottom w:val="single" w:sz="6" w:space="0" w:color="000000"/>
            </w:tcBorders>
            <w:shd w:val="clear" w:color="auto" w:fill="FABF8F"/>
          </w:tcPr>
          <w:p w:rsidR="00944BDF" w:rsidRPr="000A1C8E" w:rsidRDefault="00944BDF" w:rsidP="00E6206A">
            <w:pPr>
              <w:jc w:val="center"/>
              <w:rPr>
                <w:rFonts w:cs="Tahoma"/>
                <w:b/>
                <w:color w:val="000000"/>
                <w:szCs w:val="20"/>
              </w:rPr>
            </w:pPr>
            <w:r w:rsidRPr="000A1C8E">
              <w:rPr>
                <w:rFonts w:cs="Tahoma"/>
                <w:b/>
                <w:color w:val="000000"/>
                <w:szCs w:val="20"/>
              </w:rPr>
              <w:t>Licenças do Microsoft Dynamics CRM 4.0 Qualificadas</w:t>
            </w:r>
          </w:p>
        </w:tc>
        <w:tc>
          <w:tcPr>
            <w:tcW w:w="4212" w:type="dxa"/>
            <w:tcBorders>
              <w:top w:val="single" w:sz="4" w:space="0" w:color="000000"/>
              <w:bottom w:val="single" w:sz="6" w:space="0" w:color="000000"/>
            </w:tcBorders>
            <w:shd w:val="clear" w:color="auto" w:fill="FABF8F"/>
          </w:tcPr>
          <w:p w:rsidR="00944BDF" w:rsidRPr="000A1C8E" w:rsidRDefault="00944BDF" w:rsidP="00E6206A">
            <w:pPr>
              <w:jc w:val="center"/>
              <w:rPr>
                <w:rFonts w:cs="Tahoma"/>
                <w:b/>
                <w:color w:val="000000"/>
                <w:szCs w:val="20"/>
              </w:rPr>
            </w:pPr>
            <w:r w:rsidRPr="000A1C8E">
              <w:rPr>
                <w:rFonts w:cs="Tahoma"/>
                <w:b/>
                <w:color w:val="000000"/>
                <w:szCs w:val="20"/>
              </w:rPr>
              <w:t>Licenças do CRM 2011 Correspondentes</w:t>
            </w:r>
          </w:p>
        </w:tc>
      </w:tr>
      <w:tr w:rsidR="00944BDF" w:rsidRPr="000A1C8E" w:rsidTr="00CA14C9">
        <w:tc>
          <w:tcPr>
            <w:tcW w:w="4248" w:type="dxa"/>
            <w:tcBorders>
              <w:top w:val="single" w:sz="6" w:space="0" w:color="000000"/>
            </w:tcBorders>
            <w:shd w:val="clear" w:color="auto" w:fill="FFFFFF"/>
          </w:tcPr>
          <w:p w:rsidR="00944BDF" w:rsidRPr="000A1C8E" w:rsidRDefault="00944BDF" w:rsidP="00E6206A">
            <w:pPr>
              <w:rPr>
                <w:rFonts w:cs="Tahoma"/>
                <w:color w:val="000000"/>
                <w:szCs w:val="20"/>
              </w:rPr>
            </w:pPr>
            <w:r w:rsidRPr="000A1C8E">
              <w:rPr>
                <w:rFonts w:cs="Tahoma"/>
                <w:color w:val="000000"/>
                <w:szCs w:val="20"/>
              </w:rPr>
              <w:t>CAL Aditiva de Uso Total para Microsoft Dynamics CRM 4.0</w:t>
            </w:r>
          </w:p>
        </w:tc>
        <w:tc>
          <w:tcPr>
            <w:tcW w:w="4212" w:type="dxa"/>
            <w:tcBorders>
              <w:top w:val="single" w:sz="6" w:space="0" w:color="000000"/>
            </w:tcBorders>
            <w:shd w:val="clear" w:color="auto" w:fill="FFFFFF"/>
          </w:tcPr>
          <w:p w:rsidR="00944BDF" w:rsidRPr="000A1C8E" w:rsidRDefault="00944BDF" w:rsidP="00E6206A">
            <w:pPr>
              <w:rPr>
                <w:rFonts w:cs="Tahoma"/>
                <w:color w:val="000000"/>
                <w:szCs w:val="20"/>
              </w:rPr>
            </w:pPr>
            <w:r w:rsidRPr="000A1C8E">
              <w:rPr>
                <w:rFonts w:cs="Tahoma"/>
                <w:color w:val="000000"/>
                <w:szCs w:val="20"/>
              </w:rPr>
              <w:t>1 CAL Aditiva de Uso Total para Microsoft Dynamics CRM 2011</w:t>
            </w:r>
          </w:p>
        </w:tc>
      </w:tr>
      <w:tr w:rsidR="00944BDF" w:rsidRPr="000A1C8E" w:rsidTr="00CA14C9">
        <w:tc>
          <w:tcPr>
            <w:tcW w:w="4248" w:type="dxa"/>
            <w:tcBorders>
              <w:top w:val="single" w:sz="6" w:space="0" w:color="000000"/>
            </w:tcBorders>
            <w:shd w:val="clear" w:color="auto" w:fill="FFFFFF"/>
          </w:tcPr>
          <w:p w:rsidR="00944BDF" w:rsidRPr="000A1C8E" w:rsidRDefault="00944BDF" w:rsidP="00E6206A">
            <w:pPr>
              <w:rPr>
                <w:rFonts w:cs="Tahoma"/>
                <w:color w:val="000000"/>
                <w:szCs w:val="20"/>
              </w:rPr>
            </w:pPr>
            <w:r w:rsidRPr="000A1C8E">
              <w:rPr>
                <w:rFonts w:cs="Tahoma"/>
                <w:color w:val="000000"/>
                <w:szCs w:val="20"/>
              </w:rPr>
              <w:t>CAL Limitada para Microsoft Dynamics CRM 4.0</w:t>
            </w:r>
          </w:p>
        </w:tc>
        <w:tc>
          <w:tcPr>
            <w:tcW w:w="4212" w:type="dxa"/>
            <w:tcBorders>
              <w:top w:val="single" w:sz="6" w:space="0" w:color="000000"/>
            </w:tcBorders>
            <w:shd w:val="clear" w:color="auto" w:fill="FFFFFF"/>
          </w:tcPr>
          <w:p w:rsidR="00944BDF" w:rsidRPr="000A1C8E" w:rsidRDefault="00944BDF" w:rsidP="007A1D9A">
            <w:pPr>
              <w:rPr>
                <w:rFonts w:cs="Tahoma"/>
                <w:color w:val="000000"/>
                <w:szCs w:val="20"/>
              </w:rPr>
            </w:pPr>
            <w:r w:rsidRPr="000A1C8E">
              <w:rPr>
                <w:rFonts w:cs="Tahoma"/>
                <w:color w:val="000000"/>
                <w:szCs w:val="20"/>
              </w:rPr>
              <w:t>Uma CAL do Microsoft Dynamics CRM Server 2011 Employee Self Service e Uma CAL (aditiva à</w:t>
            </w:r>
            <w:r w:rsidR="007A1D9A" w:rsidRPr="000A1C8E">
              <w:rPr>
                <w:rFonts w:cs="Tahoma"/>
                <w:color w:val="000000"/>
                <w:szCs w:val="20"/>
              </w:rPr>
              <w:t> </w:t>
            </w:r>
            <w:r w:rsidRPr="000A1C8E">
              <w:rPr>
                <w:rFonts w:cs="Tahoma"/>
                <w:color w:val="000000"/>
                <w:szCs w:val="20"/>
              </w:rPr>
              <w:t>CAL de Uso Limitado)</w:t>
            </w:r>
          </w:p>
        </w:tc>
      </w:tr>
      <w:tr w:rsidR="00944BDF" w:rsidRPr="000A1C8E" w:rsidTr="00CA14C9">
        <w:tc>
          <w:tcPr>
            <w:tcW w:w="4248" w:type="dxa"/>
            <w:tcBorders>
              <w:top w:val="single" w:sz="6" w:space="0" w:color="000000"/>
            </w:tcBorders>
            <w:shd w:val="clear" w:color="auto" w:fill="FFFFFF"/>
          </w:tcPr>
          <w:p w:rsidR="00944BDF" w:rsidRPr="000A1C8E" w:rsidRDefault="00944BDF" w:rsidP="00E6206A">
            <w:pPr>
              <w:rPr>
                <w:rFonts w:cs="Tahoma"/>
              </w:rPr>
            </w:pPr>
            <w:r w:rsidRPr="000A1C8E">
              <w:rPr>
                <w:rFonts w:cs="Tahoma"/>
                <w:color w:val="000000"/>
                <w:szCs w:val="20"/>
              </w:rPr>
              <w:t>External Connector Limitado do Microsoft Dynamics CRM 4.0</w:t>
            </w:r>
          </w:p>
          <w:p w:rsidR="00944BDF" w:rsidRPr="000A1C8E" w:rsidRDefault="00944BDF" w:rsidP="007A1D9A">
            <w:pPr>
              <w:rPr>
                <w:rFonts w:cs="Tahoma"/>
                <w:color w:val="000000"/>
                <w:szCs w:val="20"/>
              </w:rPr>
            </w:pPr>
            <w:r w:rsidRPr="000A1C8E">
              <w:rPr>
                <w:rFonts w:cs="Tahoma"/>
                <w:color w:val="000000"/>
                <w:szCs w:val="20"/>
              </w:rPr>
              <w:t xml:space="preserve">(separado </w:t>
            </w:r>
            <w:r w:rsidRPr="000A1C8E">
              <w:rPr>
                <w:rFonts w:cs="Tahoma"/>
                <w:color w:val="000000"/>
              </w:rPr>
              <w:t>OU como parte do External Connector</w:t>
            </w:r>
            <w:r w:rsidRPr="000A1C8E">
              <w:rPr>
                <w:rFonts w:cs="Tahoma"/>
                <w:color w:val="000000"/>
                <w:szCs w:val="18"/>
              </w:rPr>
              <w:t xml:space="preserve"> </w:t>
            </w:r>
            <w:r w:rsidRPr="000A1C8E">
              <w:rPr>
                <w:rFonts w:cs="Tahoma"/>
                <w:color w:val="000000"/>
              </w:rPr>
              <w:t>Limitado do Microsoft Dynamics CRM 4.0 e</w:t>
            </w:r>
            <w:r w:rsidR="00DC6D8B" w:rsidRPr="000A1C8E">
              <w:rPr>
                <w:rFonts w:cs="Tahoma"/>
                <w:color w:val="000000"/>
              </w:rPr>
              <w:t xml:space="preserve"> </w:t>
            </w:r>
            <w:r w:rsidRPr="000A1C8E">
              <w:rPr>
                <w:rFonts w:cs="Tahoma"/>
                <w:color w:val="000000"/>
              </w:rPr>
              <w:t>conjunto do External Connector Adicional de Uso</w:t>
            </w:r>
            <w:r w:rsidR="007A1D9A" w:rsidRPr="000A1C8E">
              <w:rPr>
                <w:rFonts w:cs="Tahoma"/>
                <w:color w:val="000000"/>
              </w:rPr>
              <w:t> </w:t>
            </w:r>
            <w:r w:rsidRPr="000A1C8E">
              <w:rPr>
                <w:rFonts w:cs="Tahoma"/>
                <w:color w:val="000000"/>
              </w:rPr>
              <w:t>Completo do Microsoft Dynamics CRM 4.0)</w:t>
            </w:r>
          </w:p>
        </w:tc>
        <w:tc>
          <w:tcPr>
            <w:tcW w:w="4212" w:type="dxa"/>
            <w:tcBorders>
              <w:top w:val="single" w:sz="6" w:space="0" w:color="000000"/>
            </w:tcBorders>
            <w:shd w:val="clear" w:color="auto" w:fill="FFFFFF"/>
          </w:tcPr>
          <w:p w:rsidR="00944BDF" w:rsidRPr="000A1C8E" w:rsidRDefault="00944BDF" w:rsidP="007A1D9A">
            <w:pPr>
              <w:rPr>
                <w:rFonts w:cs="Tahoma"/>
                <w:color w:val="000000"/>
                <w:szCs w:val="20"/>
              </w:rPr>
            </w:pPr>
            <w:r w:rsidRPr="000A1C8E">
              <w:rPr>
                <w:rFonts w:cs="Tahoma"/>
                <w:color w:val="000000"/>
                <w:szCs w:val="20"/>
              </w:rPr>
              <w:t>1 Conector Externo para Microsoft Dynamics CRM</w:t>
            </w:r>
            <w:r w:rsidR="007A1D9A" w:rsidRPr="000A1C8E">
              <w:rPr>
                <w:rFonts w:cs="Tahoma"/>
                <w:color w:val="000000"/>
                <w:szCs w:val="20"/>
              </w:rPr>
              <w:t> </w:t>
            </w:r>
            <w:r w:rsidRPr="000A1C8E">
              <w:rPr>
                <w:rFonts w:cs="Tahoma"/>
                <w:color w:val="000000"/>
                <w:szCs w:val="20"/>
              </w:rPr>
              <w:t>2011</w:t>
            </w:r>
            <w:r w:rsidRPr="000A1C8E">
              <w:rPr>
                <w:rFonts w:cs="Tahoma"/>
                <w:color w:val="000000"/>
                <w:szCs w:val="20"/>
                <w:vertAlign w:val="superscript"/>
              </w:rPr>
              <w:t>1</w:t>
            </w:r>
          </w:p>
        </w:tc>
      </w:tr>
      <w:tr w:rsidR="00944BDF" w:rsidRPr="000A1C8E" w:rsidTr="00CA14C9">
        <w:tc>
          <w:tcPr>
            <w:tcW w:w="4248" w:type="dxa"/>
            <w:tcBorders>
              <w:top w:val="single" w:sz="6" w:space="0" w:color="000000"/>
            </w:tcBorders>
            <w:shd w:val="clear" w:color="auto" w:fill="FFFFFF"/>
          </w:tcPr>
          <w:p w:rsidR="00944BDF" w:rsidRPr="000A1C8E" w:rsidRDefault="00944BDF" w:rsidP="00E6206A">
            <w:pPr>
              <w:rPr>
                <w:rFonts w:cs="Tahoma"/>
                <w:color w:val="000000"/>
                <w:szCs w:val="20"/>
              </w:rPr>
            </w:pPr>
            <w:r w:rsidRPr="000A1C8E">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0A1C8E" w:rsidRDefault="00944BDF" w:rsidP="00E6206A">
            <w:pPr>
              <w:rPr>
                <w:rFonts w:cs="Tahoma"/>
                <w:color w:val="000000"/>
                <w:szCs w:val="20"/>
              </w:rPr>
            </w:pPr>
            <w:r w:rsidRPr="000A1C8E">
              <w:rPr>
                <w:rFonts w:cs="Tahoma"/>
                <w:color w:val="000000"/>
                <w:szCs w:val="20"/>
              </w:rPr>
              <w:t>1 Microsoft Dynamics CRM Workgroup Server 2011</w:t>
            </w:r>
          </w:p>
        </w:tc>
      </w:tr>
      <w:tr w:rsidR="00944BDF" w:rsidRPr="000A1C8E" w:rsidTr="00CA14C9">
        <w:tc>
          <w:tcPr>
            <w:tcW w:w="4248" w:type="dxa"/>
            <w:shd w:val="clear" w:color="auto" w:fill="FFFFFF"/>
          </w:tcPr>
          <w:p w:rsidR="00944BDF" w:rsidRPr="000A1C8E" w:rsidRDefault="00944BDF" w:rsidP="00E6206A">
            <w:pPr>
              <w:rPr>
                <w:rFonts w:cs="Tahoma"/>
                <w:color w:val="000000"/>
                <w:szCs w:val="20"/>
              </w:rPr>
            </w:pPr>
            <w:r w:rsidRPr="000A1C8E">
              <w:rPr>
                <w:rFonts w:cs="Tahoma"/>
                <w:color w:val="000000"/>
                <w:szCs w:val="20"/>
              </w:rPr>
              <w:t>Microsoft Dynamics CRM 4.0 Professional Server</w:t>
            </w:r>
          </w:p>
        </w:tc>
        <w:tc>
          <w:tcPr>
            <w:tcW w:w="4212" w:type="dxa"/>
            <w:shd w:val="clear" w:color="auto" w:fill="FFFFFF"/>
          </w:tcPr>
          <w:p w:rsidR="00944BDF" w:rsidRPr="000A1C8E" w:rsidRDefault="00944BDF" w:rsidP="00E6206A">
            <w:pPr>
              <w:rPr>
                <w:rFonts w:cs="Tahoma"/>
                <w:color w:val="000000"/>
                <w:szCs w:val="20"/>
              </w:rPr>
            </w:pPr>
            <w:r w:rsidRPr="000A1C8E">
              <w:rPr>
                <w:rFonts w:cs="Tahoma"/>
                <w:color w:val="000000"/>
                <w:szCs w:val="20"/>
              </w:rPr>
              <w:t>1 Microsoft Dynamics CRM Server 2011</w:t>
            </w:r>
          </w:p>
        </w:tc>
      </w:tr>
      <w:tr w:rsidR="00944BDF" w:rsidRPr="000A1C8E" w:rsidTr="00CA14C9">
        <w:tc>
          <w:tcPr>
            <w:tcW w:w="4248" w:type="dxa"/>
            <w:shd w:val="clear" w:color="auto" w:fill="FFFFFF"/>
          </w:tcPr>
          <w:p w:rsidR="00944BDF" w:rsidRPr="000A1C8E" w:rsidRDefault="00944BDF" w:rsidP="00E6206A">
            <w:pPr>
              <w:rPr>
                <w:rFonts w:cs="Tahoma"/>
                <w:color w:val="000000"/>
                <w:szCs w:val="20"/>
              </w:rPr>
            </w:pPr>
            <w:r w:rsidRPr="000A1C8E">
              <w:rPr>
                <w:rFonts w:cs="Tahoma"/>
                <w:color w:val="000000"/>
                <w:szCs w:val="20"/>
              </w:rPr>
              <w:t>Microsoft Dynamics CRM 4.0 Enterprise Server</w:t>
            </w:r>
          </w:p>
        </w:tc>
        <w:tc>
          <w:tcPr>
            <w:tcW w:w="4212" w:type="dxa"/>
            <w:shd w:val="clear" w:color="auto" w:fill="FFFFFF"/>
          </w:tcPr>
          <w:p w:rsidR="00944BDF" w:rsidRPr="000A1C8E" w:rsidRDefault="00944BDF" w:rsidP="00E6206A">
            <w:pPr>
              <w:rPr>
                <w:rFonts w:cs="Tahoma"/>
                <w:color w:val="000000"/>
                <w:szCs w:val="20"/>
              </w:rPr>
            </w:pPr>
            <w:r w:rsidRPr="000A1C8E">
              <w:rPr>
                <w:rFonts w:cs="Tahoma"/>
                <w:color w:val="000000"/>
                <w:szCs w:val="20"/>
              </w:rPr>
              <w:t>1 Microsoft Dynamics CRM Server 2011</w:t>
            </w:r>
          </w:p>
        </w:tc>
      </w:tr>
    </w:tbl>
    <w:p w:rsidR="00944BDF" w:rsidRPr="000A1C8E" w:rsidRDefault="00944BDF" w:rsidP="00944BDF">
      <w:pPr>
        <w:ind w:left="540"/>
        <w:rPr>
          <w:rFonts w:cs="Tahoma"/>
        </w:rPr>
      </w:pPr>
    </w:p>
    <w:p w:rsidR="00944BDF" w:rsidRPr="000A1C8E" w:rsidRDefault="00944BDF" w:rsidP="00E62BC4">
      <w:pPr>
        <w:ind w:left="810"/>
        <w:rPr>
          <w:rFonts w:cs="Tahoma"/>
        </w:rPr>
      </w:pPr>
      <w:r w:rsidRPr="000A1C8E">
        <w:rPr>
          <w:rFonts w:cs="Tahoma"/>
          <w:i/>
          <w:color w:val="000000"/>
          <w:sz w:val="16"/>
          <w:szCs w:val="18"/>
          <w:bdr w:val="none" w:sz="0" w:space="0" w:color="auto" w:frame="1"/>
          <w:vertAlign w:val="superscript"/>
        </w:rPr>
        <w:t>1</w:t>
      </w:r>
      <w:r w:rsidRPr="000A1C8E">
        <w:rPr>
          <w:rFonts w:cs="Tahoma"/>
          <w:i/>
          <w:color w:val="000000"/>
          <w:sz w:val="16"/>
          <w:bdr w:val="none" w:sz="0" w:space="0" w:color="auto" w:frame="1"/>
        </w:rPr>
        <w:t xml:space="preserve">O Conector Externo para CRM 2011 é a única licença de conector externo disponível nesta versão. </w:t>
      </w:r>
      <w:r w:rsidRPr="000A1C8E">
        <w:rPr>
          <w:rFonts w:cs="Tahoma"/>
          <w:i/>
          <w:color w:val="000000"/>
          <w:sz w:val="16"/>
        </w:rPr>
        <w:t>Os clientes terão os direitos de atualização para uma licença do Conector Externo para CRM 2011 para cada licença qualificada do External Connector Limitado do CRM 4.0 que tiverem, se essa licença do External Connector Limitado do CRM 4.0 foi usada sozinha para permitir acesso à funcionalidade correspondente a essa licença base ou se foi usada em conjunto com o External Connector Adicional de Uso Completo do CRM 4.0 para permitir acesso a toda a Funcionalidade do CRM 4.0. Os clientes terão um número de licenças do Conector Externo para CRM Server 2011 igual ao número de licenças do External Connector Limitado do CRM 4.0 que possuírem</w:t>
      </w:r>
      <w:r w:rsidRPr="000A1C8E">
        <w:rPr>
          <w:rFonts w:cs="Tahoma"/>
          <w:i/>
          <w:color w:val="000000"/>
          <w:sz w:val="16"/>
          <w:szCs w:val="18"/>
          <w:bdr w:val="none" w:sz="0" w:space="0" w:color="auto" w:frame="1"/>
        </w:rPr>
        <w:t>.</w:t>
      </w:r>
    </w:p>
    <w:p w:rsidR="00944BDF" w:rsidRPr="000A1C8E" w:rsidRDefault="00944BDF" w:rsidP="00E62BC4">
      <w:pPr>
        <w:ind w:left="720"/>
        <w:rPr>
          <w:rFonts w:cs="Tahoma"/>
        </w:rPr>
      </w:pPr>
    </w:p>
    <w:p w:rsidR="00944BDF" w:rsidRPr="000A1C8E" w:rsidRDefault="00944BDF" w:rsidP="007A1D9A">
      <w:pPr>
        <w:ind w:left="720"/>
        <w:rPr>
          <w:rFonts w:cs="Tahoma"/>
        </w:rPr>
      </w:pPr>
      <w:r w:rsidRPr="000A1C8E">
        <w:rPr>
          <w:rFonts w:cs="Tahoma"/>
          <w:color w:val="000000"/>
          <w:szCs w:val="20"/>
        </w:rPr>
        <w:t>O direito de uso do software Microsoft Dynamics CRM 2011 pelos clientes é comprovado por esta nota de condição do produto e por evidências de suas licenças e seu Software Assurance correspondentes ao Microsoft Dynamics CRM 4.0.</w:t>
      </w:r>
      <w:r w:rsidR="00DC6D8B" w:rsidRPr="000A1C8E">
        <w:rPr>
          <w:rFonts w:cs="Tahoma"/>
          <w:color w:val="000000"/>
          <w:szCs w:val="20"/>
        </w:rPr>
        <w:t xml:space="preserve"> </w:t>
      </w:r>
      <w:r w:rsidRPr="000A1C8E">
        <w:rPr>
          <w:rFonts w:cs="Tahoma"/>
          <w:color w:val="000000"/>
          <w:szCs w:val="20"/>
        </w:rPr>
        <w:t>O direito de um cliente de usar o software Microsoft Dynamics CRM 2011 sob esta outorga de migração está sujeito aos termos e às condições do respectivo contrato de Licenciamento por Volume.</w:t>
      </w:r>
      <w:r w:rsidR="00DC6D8B" w:rsidRPr="000A1C8E">
        <w:rPr>
          <w:rFonts w:cs="Tahoma"/>
          <w:color w:val="000000"/>
          <w:szCs w:val="20"/>
        </w:rPr>
        <w:t xml:space="preserve"> </w:t>
      </w:r>
      <w:r w:rsidRPr="000A1C8E">
        <w:rPr>
          <w:rFonts w:cs="Tahoma"/>
          <w:color w:val="000000"/>
          <w:szCs w:val="20"/>
        </w:rPr>
        <w:t>Esse</w:t>
      </w:r>
      <w:r w:rsidRPr="000A1C8E">
        <w:rPr>
          <w:rStyle w:val="CommentReference"/>
          <w:rFonts w:cs="Tahoma"/>
          <w:sz w:val="18"/>
          <w:szCs w:val="20"/>
        </w:rPr>
        <w:t xml:space="preserve"> </w:t>
      </w:r>
      <w:r w:rsidRPr="000A1C8E">
        <w:rPr>
          <w:rFonts w:cs="Tahoma"/>
          <w:color w:val="000000"/>
          <w:szCs w:val="20"/>
        </w:rPr>
        <w:t>direito cessará em caso de término ou rescisão do direito de usar o Microsoft Dynamics CRM 4.0 de acordo com as licenças do Microsoft Dynamics CRM 4.0 qualificadas correspondentes.</w:t>
      </w:r>
      <w:r w:rsidR="00DC6D8B" w:rsidRPr="000A1C8E">
        <w:rPr>
          <w:rFonts w:cs="Tahoma"/>
          <w:color w:val="000000"/>
          <w:szCs w:val="20"/>
        </w:rPr>
        <w:t xml:space="preserve"> </w:t>
      </w:r>
      <w:r w:rsidRPr="000A1C8E">
        <w:rPr>
          <w:rFonts w:cs="Tahoma"/>
          <w:color w:val="000000"/>
          <w:szCs w:val="20"/>
        </w:rPr>
        <w:t>Ao término da cobertura do SA sobre as licenças do Microsoft Dynamics CRM 4.0, o cliente poderá renovar o</w:t>
      </w:r>
      <w:r w:rsidR="007A1D9A" w:rsidRPr="000A1C8E">
        <w:rPr>
          <w:rFonts w:cs="Tahoma"/>
          <w:color w:val="000000"/>
          <w:szCs w:val="20"/>
        </w:rPr>
        <w:t> </w:t>
      </w:r>
      <w:r w:rsidRPr="000A1C8E">
        <w:rPr>
          <w:rFonts w:cs="Tahoma"/>
          <w:color w:val="000000"/>
          <w:szCs w:val="20"/>
        </w:rPr>
        <w:t>SA</w:t>
      </w:r>
      <w:r w:rsidR="007A1D9A" w:rsidRPr="000A1C8E">
        <w:rPr>
          <w:rFonts w:cs="Tahoma"/>
          <w:color w:val="000000"/>
          <w:szCs w:val="20"/>
        </w:rPr>
        <w:t> </w:t>
      </w:r>
      <w:r w:rsidRPr="000A1C8E">
        <w:rPr>
          <w:rFonts w:cs="Tahoma"/>
          <w:color w:val="000000"/>
          <w:szCs w:val="20"/>
        </w:rPr>
        <w:t>para as licenças outorgadas do Microsoft Dynamics CRM 2011.</w:t>
      </w:r>
      <w:r w:rsidR="00DC6D8B" w:rsidRPr="000A1C8E">
        <w:rPr>
          <w:rFonts w:cs="Tahoma"/>
          <w:color w:val="000000"/>
          <w:szCs w:val="20"/>
        </w:rPr>
        <w:t xml:space="preserve"> </w:t>
      </w:r>
    </w:p>
    <w:p w:rsidR="00944BDF" w:rsidRPr="000A1C8E" w:rsidRDefault="00944BDF" w:rsidP="00E62BC4">
      <w:pPr>
        <w:ind w:left="720"/>
        <w:rPr>
          <w:rFonts w:cs="Tahoma"/>
        </w:rPr>
      </w:pPr>
    </w:p>
    <w:p w:rsidR="00944BDF" w:rsidRPr="000A1C8E" w:rsidRDefault="00944BDF" w:rsidP="00E62BC4">
      <w:pPr>
        <w:ind w:left="720"/>
        <w:rPr>
          <w:rFonts w:cs="Tahoma"/>
        </w:rPr>
      </w:pPr>
      <w:r w:rsidRPr="000A1C8E">
        <w:rPr>
          <w:rFonts w:cs="Tahoma"/>
          <w:color w:val="000000"/>
        </w:rPr>
        <w:t>Essa oferta também é válida para clientes cujas licenças do Microsoft Dynamics CRM 4.0 tiverem sido obtidas como resultado de uma migração de outro produto, contanto que o cliente tenha um SA ativo para essas licenças a partir de 1° de abril de 2011.</w:t>
      </w:r>
    </w:p>
    <w:p w:rsidR="00944BDF" w:rsidRPr="000A1C8E" w:rsidRDefault="00944BDF" w:rsidP="00E62BC4">
      <w:pPr>
        <w:ind w:left="720"/>
        <w:rPr>
          <w:rFonts w:cs="Tahoma"/>
        </w:rPr>
      </w:pPr>
    </w:p>
    <w:p w:rsidR="00944BDF" w:rsidRPr="000A1C8E" w:rsidRDefault="00944BDF" w:rsidP="00E62BC4">
      <w:pPr>
        <w:pStyle w:val="EndnoteText"/>
        <w:ind w:left="720"/>
        <w:rPr>
          <w:rFonts w:ascii="Tahoma" w:hAnsi="Tahoma" w:cs="Tahoma"/>
        </w:rPr>
      </w:pPr>
      <w:r w:rsidRPr="000A1C8E">
        <w:rPr>
          <w:rFonts w:ascii="Tahoma" w:hAnsi="Tahoma" w:cs="Tahoma"/>
          <w:bCs/>
          <w:sz w:val="18"/>
          <w:szCs w:val="18"/>
        </w:rPr>
        <w:t>Para os clientes de Contratos Enterprise qualificados para essas licenças gratuitas e esses direitos conforme descrito acima, as licenças do Microsoft Dynamics CRM 4.0 adquiridas como parte do processo anual de adequação (“true-up”) de um cliente durante o prazo do registro atual também serão licenças qualificadas.</w:t>
      </w:r>
    </w:p>
    <w:p w:rsidR="00944BDF" w:rsidRPr="000A1C8E" w:rsidRDefault="00944BDF" w:rsidP="00E62BC4">
      <w:pPr>
        <w:pStyle w:val="EndnoteText"/>
        <w:ind w:left="720"/>
        <w:rPr>
          <w:rFonts w:ascii="Tahoma" w:hAnsi="Tahoma" w:cs="Tahoma"/>
        </w:rPr>
      </w:pPr>
    </w:p>
    <w:p w:rsidR="00944BDF" w:rsidRPr="000A1C8E" w:rsidRDefault="00944BDF" w:rsidP="00E62BC4">
      <w:pPr>
        <w:pStyle w:val="EndnoteText"/>
        <w:ind w:left="720"/>
        <w:rPr>
          <w:rFonts w:ascii="Tahoma" w:hAnsi="Tahoma" w:cs="Tahoma"/>
        </w:rPr>
      </w:pPr>
      <w:r w:rsidRPr="000A1C8E">
        <w:rPr>
          <w:rFonts w:ascii="Tahoma" w:hAnsi="Tahoma" w:cs="Tahoma"/>
          <w:bCs/>
          <w:color w:val="000000"/>
          <w:sz w:val="18"/>
          <w:szCs w:val="18"/>
        </w:rPr>
        <w:lastRenderedPageBreak/>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DC6D8B" w:rsidRPr="000A1C8E">
        <w:rPr>
          <w:rFonts w:ascii="Tahoma" w:hAnsi="Tahoma" w:cs="Tahoma"/>
          <w:bCs/>
          <w:color w:val="000000"/>
          <w:sz w:val="18"/>
          <w:szCs w:val="18"/>
        </w:rPr>
        <w:t xml:space="preserve"> </w:t>
      </w:r>
      <w:r w:rsidRPr="000A1C8E">
        <w:rPr>
          <w:rFonts w:ascii="Tahoma" w:hAnsi="Tahoma" w:cs="Tahoma"/>
          <w:bCs/>
          <w:color w:val="000000"/>
          <w:sz w:val="18"/>
          <w:szCs w:val="18"/>
        </w:rPr>
        <w:t>Esses direitos só se tornarão permanentes se a opção de compra (“buy-out”) for exercida e continuarão sujeitos a todos os termos e condições do contrato de licença do cliente.</w:t>
      </w:r>
    </w:p>
    <w:p w:rsidR="00944BDF" w:rsidRPr="000A1C8E" w:rsidRDefault="00944BDF" w:rsidP="00E62BC4">
      <w:pPr>
        <w:ind w:left="720"/>
        <w:rPr>
          <w:rFonts w:cs="Tahoma"/>
        </w:rPr>
      </w:pPr>
    </w:p>
    <w:p w:rsidR="00944BDF" w:rsidRPr="000A1C8E" w:rsidRDefault="00944BDF" w:rsidP="007B699C">
      <w:pPr>
        <w:spacing w:after="60"/>
        <w:ind w:left="720"/>
        <w:rPr>
          <w:rFonts w:cs="Tahoma"/>
        </w:rPr>
      </w:pPr>
      <w:r w:rsidRPr="000A1C8E">
        <w:rPr>
          <w:rFonts w:cs="Tahoma"/>
          <w:b/>
          <w:bCs/>
          <w:szCs w:val="20"/>
        </w:rPr>
        <w:t xml:space="preserve">Direitos de Downgrade para Microsoft Dynamics CRM 2011 </w:t>
      </w:r>
    </w:p>
    <w:p w:rsidR="00D57009" w:rsidRPr="000A1C8E" w:rsidRDefault="00944BDF" w:rsidP="007A1D9A">
      <w:pPr>
        <w:ind w:left="720"/>
        <w:rPr>
          <w:rFonts w:cs="Tahoma"/>
        </w:rPr>
      </w:pPr>
      <w:r w:rsidRPr="000A1C8E">
        <w:rPr>
          <w:rFonts w:cs="Tahoma"/>
          <w:szCs w:val="20"/>
        </w:rPr>
        <w:t>Os clientes com licenças do Microsoft Dynamics CRM 2011 podem usar o Microsoft Dynamics CRM 4.0 no</w:t>
      </w:r>
      <w:r w:rsidR="007A1D9A" w:rsidRPr="000A1C8E">
        <w:rPr>
          <w:rFonts w:cs="Tahoma"/>
          <w:szCs w:val="20"/>
        </w:rPr>
        <w:t> </w:t>
      </w:r>
      <w:r w:rsidRPr="000A1C8E">
        <w:rPr>
          <w:rFonts w:cs="Tahoma"/>
          <w:szCs w:val="20"/>
        </w:rPr>
        <w:t>lugar do Microsoft Dynamics CRM 2011. Essas licenças do Microsoft Dynamics CRM 2011 podem ser implantadas como licenças CRM 4.0 da seguinte maneira:</w:t>
      </w:r>
    </w:p>
    <w:p w:rsidR="007B699C" w:rsidRPr="000A1C8E" w:rsidRDefault="007B699C" w:rsidP="00E62BC4">
      <w:pPr>
        <w:ind w:left="720"/>
        <w:rPr>
          <w:rFonts w:cs="Tahoma"/>
        </w:rPr>
      </w:pPr>
    </w:p>
    <w:p w:rsidR="00944BDF" w:rsidRPr="000A1C8E" w:rsidRDefault="00944BDF" w:rsidP="00944BDF">
      <w:pPr>
        <w:ind w:left="540"/>
        <w:rPr>
          <w:rFonts w:cs="Tahoma"/>
        </w:rPr>
      </w:pPr>
    </w:p>
    <w:p w:rsidR="00944BDF" w:rsidRPr="000A1C8E" w:rsidRDefault="00944BDF" w:rsidP="00944BDF">
      <w:pPr>
        <w:ind w:left="900"/>
        <w:rPr>
          <w:rFonts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0A1C8E"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0A1C8E" w:rsidRDefault="00944BDF" w:rsidP="007B35CE">
            <w:pPr>
              <w:keepNext/>
              <w:ind w:left="360"/>
              <w:rPr>
                <w:rFonts w:cs="Tahoma"/>
                <w:b/>
                <w:bCs/>
                <w:szCs w:val="20"/>
              </w:rPr>
            </w:pPr>
            <w:r w:rsidRPr="000A1C8E">
              <w:rPr>
                <w:rFonts w:cs="Tahoma"/>
                <w:b/>
                <w:bCs/>
                <w:szCs w:val="20"/>
              </w:rPr>
              <w:t>Licença do Microsoft Dynamics CRM 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0A1C8E" w:rsidRDefault="00944BDF" w:rsidP="00E6206A">
            <w:pPr>
              <w:ind w:left="360"/>
              <w:rPr>
                <w:rFonts w:cs="Tahoma"/>
                <w:b/>
                <w:bCs/>
                <w:szCs w:val="20"/>
              </w:rPr>
            </w:pPr>
            <w:r w:rsidRPr="000A1C8E">
              <w:rPr>
                <w:rFonts w:cs="Tahoma"/>
                <w:b/>
                <w:bCs/>
                <w:szCs w:val="20"/>
              </w:rPr>
              <w:t>Licenças do CRM 4.0 Correspondentes</w:t>
            </w:r>
          </w:p>
        </w:tc>
      </w:tr>
      <w:tr w:rsidR="00944BDF" w:rsidRPr="000A1C8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0A1C8E" w:rsidRDefault="00944BDF" w:rsidP="007B35CE">
            <w:pPr>
              <w:keepNext/>
              <w:rPr>
                <w:rFonts w:cs="Tahoma"/>
                <w:color w:val="000000"/>
                <w:szCs w:val="20"/>
              </w:rPr>
            </w:pPr>
            <w:r w:rsidRPr="000A1C8E">
              <w:rPr>
                <w:rFonts w:cs="Tahoma"/>
                <w:szCs w:val="20"/>
              </w:rPr>
              <w:t>CAL Aditiva de Uso Total para Microsoft Dynamics CRM 2011</w:t>
            </w:r>
          </w:p>
        </w:tc>
        <w:tc>
          <w:tcPr>
            <w:tcW w:w="4140" w:type="dxa"/>
            <w:tcBorders>
              <w:top w:val="nil"/>
              <w:left w:val="nil"/>
              <w:bottom w:val="single" w:sz="8" w:space="0" w:color="000000"/>
              <w:right w:val="single" w:sz="8" w:space="0" w:color="000000"/>
            </w:tcBorders>
            <w:vAlign w:val="center"/>
          </w:tcPr>
          <w:p w:rsidR="00944BDF" w:rsidRPr="000A1C8E" w:rsidRDefault="00944BDF" w:rsidP="00E6206A">
            <w:pPr>
              <w:pStyle w:val="ColorfulList-Accent11"/>
              <w:spacing w:line="276" w:lineRule="auto"/>
              <w:ind w:left="288" w:right="162" w:hanging="180"/>
              <w:rPr>
                <w:rFonts w:ascii="Tahoma" w:hAnsi="Tahoma" w:cs="Tahoma"/>
                <w:sz w:val="18"/>
                <w:szCs w:val="20"/>
              </w:rPr>
            </w:pPr>
            <w:r w:rsidRPr="000A1C8E">
              <w:rPr>
                <w:rFonts w:ascii="Tahoma" w:hAnsi="Tahoma" w:cs="Tahoma"/>
                <w:sz w:val="18"/>
                <w:szCs w:val="20"/>
              </w:rPr>
              <w:t>1 CAL Aditiva de Uso Total para Microsoft Dynamics CRM 4.0</w:t>
            </w:r>
          </w:p>
        </w:tc>
      </w:tr>
      <w:tr w:rsidR="00944BDF" w:rsidRPr="000A1C8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0A1C8E" w:rsidRDefault="00944BDF" w:rsidP="00E6206A">
            <w:pPr>
              <w:rPr>
                <w:rFonts w:cs="Tahoma"/>
                <w:color w:val="000000"/>
                <w:szCs w:val="20"/>
              </w:rPr>
            </w:pPr>
            <w:r w:rsidRPr="000A1C8E">
              <w:rPr>
                <w:rFonts w:cs="Tahoma"/>
                <w:szCs w:val="20"/>
              </w:rPr>
              <w:t>CAL Aditiva de Uso Limitado para Microsoft Dynamics CRM 2011</w:t>
            </w:r>
          </w:p>
        </w:tc>
        <w:tc>
          <w:tcPr>
            <w:tcW w:w="4140" w:type="dxa"/>
            <w:tcBorders>
              <w:top w:val="nil"/>
              <w:left w:val="nil"/>
              <w:bottom w:val="single" w:sz="8" w:space="0" w:color="000000"/>
              <w:right w:val="single" w:sz="8" w:space="0" w:color="000000"/>
            </w:tcBorders>
            <w:vAlign w:val="center"/>
          </w:tcPr>
          <w:p w:rsidR="00944BDF" w:rsidRPr="000A1C8E" w:rsidRDefault="00944BDF" w:rsidP="007A1D9A">
            <w:pPr>
              <w:pStyle w:val="ColorfulList-Accent11"/>
              <w:spacing w:line="276" w:lineRule="auto"/>
              <w:ind w:left="288" w:right="162" w:hanging="180"/>
              <w:rPr>
                <w:rFonts w:ascii="Tahoma" w:hAnsi="Tahoma" w:cs="Tahoma"/>
                <w:sz w:val="18"/>
                <w:szCs w:val="20"/>
              </w:rPr>
            </w:pPr>
            <w:r w:rsidRPr="000A1C8E">
              <w:rPr>
                <w:rFonts w:ascii="Tahoma" w:hAnsi="Tahoma" w:cs="Tahoma"/>
                <w:sz w:val="18"/>
                <w:szCs w:val="20"/>
              </w:rPr>
              <w:t>1 CAL Limitada para Microsoft Dynamics CRM</w:t>
            </w:r>
            <w:r w:rsidR="007A1D9A" w:rsidRPr="000A1C8E">
              <w:rPr>
                <w:rFonts w:ascii="Tahoma" w:hAnsi="Tahoma" w:cs="Tahoma"/>
                <w:sz w:val="18"/>
                <w:szCs w:val="20"/>
              </w:rPr>
              <w:t> </w:t>
            </w:r>
            <w:r w:rsidRPr="000A1C8E">
              <w:rPr>
                <w:rFonts w:ascii="Tahoma" w:hAnsi="Tahoma" w:cs="Tahoma"/>
                <w:sz w:val="18"/>
                <w:szCs w:val="20"/>
              </w:rPr>
              <w:t>4.0</w:t>
            </w:r>
          </w:p>
        </w:tc>
      </w:tr>
      <w:tr w:rsidR="00944BDF" w:rsidRPr="000A1C8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0A1C8E" w:rsidRDefault="00944BDF" w:rsidP="007A1D9A">
            <w:pPr>
              <w:rPr>
                <w:rFonts w:cs="Tahoma"/>
                <w:szCs w:val="20"/>
              </w:rPr>
            </w:pPr>
            <w:r w:rsidRPr="000A1C8E">
              <w:rPr>
                <w:rFonts w:cs="Tahoma"/>
                <w:szCs w:val="20"/>
              </w:rPr>
              <w:t>Conector Externo para Microsoft Dynamics CRM</w:t>
            </w:r>
            <w:r w:rsidR="007A1D9A" w:rsidRPr="000A1C8E">
              <w:rPr>
                <w:rFonts w:cs="Tahoma"/>
                <w:szCs w:val="20"/>
              </w:rPr>
              <w:t> </w:t>
            </w:r>
            <w:r w:rsidRPr="000A1C8E">
              <w:rPr>
                <w:rFonts w:cs="Tahoma"/>
                <w:szCs w:val="20"/>
              </w:rPr>
              <w:t>2011</w:t>
            </w:r>
          </w:p>
        </w:tc>
        <w:tc>
          <w:tcPr>
            <w:tcW w:w="4140" w:type="dxa"/>
            <w:tcBorders>
              <w:top w:val="nil"/>
              <w:left w:val="nil"/>
              <w:bottom w:val="single" w:sz="8" w:space="0" w:color="000000"/>
              <w:right w:val="single" w:sz="8" w:space="0" w:color="000000"/>
            </w:tcBorders>
            <w:vAlign w:val="center"/>
          </w:tcPr>
          <w:p w:rsidR="00944BDF" w:rsidRPr="005A7F17" w:rsidRDefault="00944BDF" w:rsidP="00E6206A">
            <w:pPr>
              <w:pStyle w:val="ColorfulList-Accent11"/>
              <w:spacing w:line="276" w:lineRule="auto"/>
              <w:ind w:left="288" w:right="162" w:hanging="180"/>
              <w:rPr>
                <w:rFonts w:ascii="Tahoma" w:hAnsi="Tahoma" w:cs="Tahoma"/>
                <w:sz w:val="18"/>
                <w:szCs w:val="18"/>
              </w:rPr>
            </w:pPr>
            <w:r w:rsidRPr="005A7F17">
              <w:rPr>
                <w:rFonts w:ascii="Tahoma" w:hAnsi="Tahoma" w:cs="Tahoma"/>
                <w:sz w:val="18"/>
                <w:szCs w:val="18"/>
              </w:rPr>
              <w:t>1 External Connector Limitado do Microsoft Dynamics CRM 4.0</w:t>
            </w:r>
          </w:p>
          <w:p w:rsidR="00944BDF" w:rsidRPr="005A7F17" w:rsidRDefault="00944BDF" w:rsidP="00E6206A">
            <w:pPr>
              <w:pStyle w:val="ColorfulList-Accent11"/>
              <w:spacing w:line="276" w:lineRule="auto"/>
              <w:ind w:left="288" w:right="162" w:hanging="180"/>
              <w:jc w:val="center"/>
              <w:rPr>
                <w:rFonts w:ascii="Tahoma" w:hAnsi="Tahoma" w:cs="Tahoma"/>
                <w:sz w:val="18"/>
                <w:szCs w:val="18"/>
              </w:rPr>
            </w:pPr>
            <w:r w:rsidRPr="005A7F17">
              <w:rPr>
                <w:rFonts w:ascii="Tahoma" w:hAnsi="Tahoma" w:cs="Tahoma"/>
                <w:sz w:val="18"/>
                <w:szCs w:val="18"/>
              </w:rPr>
              <w:t>E</w:t>
            </w:r>
          </w:p>
          <w:p w:rsidR="00944BDF" w:rsidRPr="005A7F17" w:rsidRDefault="00944BDF" w:rsidP="00E6206A">
            <w:pPr>
              <w:pStyle w:val="ColorfulList-Accent11"/>
              <w:spacing w:line="276" w:lineRule="auto"/>
              <w:ind w:left="288" w:right="162" w:hanging="180"/>
              <w:rPr>
                <w:rFonts w:ascii="Tahoma" w:hAnsi="Tahoma" w:cs="Tahoma"/>
                <w:sz w:val="18"/>
                <w:szCs w:val="18"/>
              </w:rPr>
            </w:pPr>
            <w:r w:rsidRPr="005A7F17">
              <w:rPr>
                <w:rFonts w:ascii="Tahoma" w:hAnsi="Tahoma" w:cs="Tahoma"/>
                <w:sz w:val="18"/>
                <w:szCs w:val="18"/>
              </w:rPr>
              <w:t>1 External Connector Adicional de Uso Completo do Microsoft Dynamics CRM 4.0</w:t>
            </w:r>
          </w:p>
        </w:tc>
      </w:tr>
      <w:tr w:rsidR="00944BDF" w:rsidRPr="000A1C8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0A1C8E" w:rsidRDefault="00944BDF" w:rsidP="00E6206A">
            <w:pPr>
              <w:rPr>
                <w:rFonts w:cs="Tahoma"/>
                <w:color w:val="000000"/>
                <w:szCs w:val="20"/>
              </w:rPr>
            </w:pPr>
            <w:r w:rsidRPr="000A1C8E">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5A7F17" w:rsidRDefault="00944BDF" w:rsidP="00E6206A">
            <w:pPr>
              <w:pStyle w:val="ColorfulList-Accent11"/>
              <w:spacing w:line="276" w:lineRule="auto"/>
              <w:ind w:left="288" w:right="162" w:hanging="180"/>
              <w:rPr>
                <w:rFonts w:ascii="Tahoma" w:hAnsi="Tahoma" w:cs="Tahoma"/>
                <w:sz w:val="18"/>
                <w:szCs w:val="18"/>
              </w:rPr>
            </w:pPr>
            <w:r w:rsidRPr="005A7F17">
              <w:rPr>
                <w:rFonts w:ascii="Tahoma" w:hAnsi="Tahoma" w:cs="Tahoma"/>
                <w:sz w:val="18"/>
                <w:szCs w:val="18"/>
              </w:rPr>
              <w:t xml:space="preserve">1 Microsoft Dynamics CRM 4.0 Professional Server </w:t>
            </w:r>
          </w:p>
          <w:p w:rsidR="00944BDF" w:rsidRPr="005A7F17" w:rsidRDefault="00944BDF" w:rsidP="00E6206A">
            <w:pPr>
              <w:pStyle w:val="ColorfulList-Accent11"/>
              <w:spacing w:line="276" w:lineRule="auto"/>
              <w:ind w:left="288" w:right="162" w:hanging="180"/>
              <w:jc w:val="center"/>
              <w:rPr>
                <w:rFonts w:ascii="Tahoma" w:hAnsi="Tahoma" w:cs="Tahoma"/>
                <w:sz w:val="18"/>
                <w:szCs w:val="18"/>
              </w:rPr>
            </w:pPr>
            <w:r w:rsidRPr="005A7F17">
              <w:rPr>
                <w:rFonts w:ascii="Tahoma" w:hAnsi="Tahoma" w:cs="Tahoma"/>
                <w:sz w:val="18"/>
                <w:szCs w:val="18"/>
              </w:rPr>
              <w:t>OU</w:t>
            </w:r>
          </w:p>
          <w:p w:rsidR="00944BDF" w:rsidRPr="005A7F17" w:rsidRDefault="00944BDF" w:rsidP="00287758">
            <w:pPr>
              <w:pStyle w:val="ColorfulList-Accent11"/>
              <w:spacing w:line="276" w:lineRule="auto"/>
              <w:ind w:left="288" w:right="162" w:hanging="180"/>
              <w:rPr>
                <w:rFonts w:ascii="Tahoma" w:hAnsi="Tahoma" w:cs="Tahoma"/>
                <w:sz w:val="18"/>
                <w:szCs w:val="18"/>
              </w:rPr>
            </w:pPr>
            <w:r w:rsidRPr="005A7F17">
              <w:rPr>
                <w:rFonts w:ascii="Tahoma" w:hAnsi="Tahoma" w:cs="Tahoma"/>
                <w:sz w:val="18"/>
                <w:szCs w:val="18"/>
              </w:rPr>
              <w:t xml:space="preserve">1 Microsoft Dynamics CRM 4.0 Enterprise Server </w:t>
            </w:r>
          </w:p>
        </w:tc>
      </w:tr>
      <w:tr w:rsidR="00944BDF" w:rsidRPr="000A1C8E"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0A1C8E" w:rsidRDefault="00944BDF" w:rsidP="00E6206A">
            <w:pPr>
              <w:rPr>
                <w:rFonts w:cs="Tahoma"/>
                <w:color w:val="000000"/>
                <w:szCs w:val="20"/>
              </w:rPr>
            </w:pPr>
            <w:r w:rsidRPr="000A1C8E">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0A1C8E" w:rsidRDefault="00944BDF" w:rsidP="00E6206A">
            <w:pPr>
              <w:pStyle w:val="ColorfulList-Accent11"/>
              <w:spacing w:line="276" w:lineRule="auto"/>
              <w:ind w:left="288" w:right="162" w:hanging="180"/>
              <w:rPr>
                <w:rFonts w:ascii="Tahoma" w:hAnsi="Tahoma" w:cs="Tahoma"/>
                <w:sz w:val="18"/>
                <w:szCs w:val="20"/>
              </w:rPr>
            </w:pPr>
            <w:r w:rsidRPr="000A1C8E">
              <w:rPr>
                <w:rFonts w:ascii="Tahoma" w:hAnsi="Tahoma" w:cs="Tahoma"/>
                <w:sz w:val="18"/>
                <w:szCs w:val="20"/>
              </w:rPr>
              <w:t xml:space="preserve">1 Microsoft Dynamics CRM 4.0 Workgroup Server </w:t>
            </w:r>
          </w:p>
        </w:tc>
      </w:tr>
    </w:tbl>
    <w:p w:rsidR="00944BDF" w:rsidRPr="000A1C8E" w:rsidRDefault="00944BDF" w:rsidP="00944BDF">
      <w:pPr>
        <w:rPr>
          <w:rFonts w:cs="Tahoma"/>
        </w:rPr>
      </w:pPr>
      <w:r w:rsidRPr="000A1C8E">
        <w:rPr>
          <w:rFonts w:cs="Tahoma"/>
          <w:szCs w:val="20"/>
        </w:rPr>
        <w:t xml:space="preserve"> </w:t>
      </w:r>
    </w:p>
    <w:p w:rsidR="00BF7FDE" w:rsidRPr="000A1C8E" w:rsidRDefault="00944BDF" w:rsidP="00586FCE">
      <w:pPr>
        <w:ind w:left="720"/>
        <w:rPr>
          <w:rFonts w:cs="Tahoma"/>
        </w:rPr>
      </w:pPr>
      <w:r w:rsidRPr="000A1C8E">
        <w:rPr>
          <w:rFonts w:cs="Tahoma"/>
          <w:szCs w:val="20"/>
        </w:rPr>
        <w:t xml:space="preserve">O direito de o cliente usar o Microsoft Dynamics CRM 4.0 está sujeito aos termos e às condições do contrato de licença do cliente, aos direitos de uso de produto do Microsoft Dynamics CRM 4.0 e a estes termos. Esse direito expirará em caso de término ou rescisão do direito de usar o Microsoft Dynamics CRM 2011 sob as licenças do Microsoft Dynamics CRM 2011 qualificadas. </w:t>
      </w:r>
    </w:p>
    <w:p w:rsidR="00944BDF" w:rsidRPr="000A1C8E" w:rsidRDefault="00944BDF" w:rsidP="00944BDF">
      <w:pPr>
        <w:ind w:left="540"/>
        <w:rPr>
          <w:rFonts w:cs="Tahoma"/>
        </w:rPr>
      </w:pPr>
    </w:p>
    <w:p w:rsidR="00944BDF" w:rsidRPr="000A1C8E" w:rsidRDefault="00944BDF" w:rsidP="007B699C">
      <w:pPr>
        <w:spacing w:after="60"/>
        <w:ind w:left="720"/>
        <w:rPr>
          <w:rFonts w:cs="Tahoma"/>
        </w:rPr>
      </w:pPr>
      <w:r w:rsidRPr="000A1C8E">
        <w:rPr>
          <w:rFonts w:cs="Tahoma"/>
          <w:b/>
          <w:bCs/>
          <w:color w:val="000000"/>
          <w:szCs w:val="20"/>
        </w:rPr>
        <w:t>Opções de Licença da Licença de Acesso para Cliente e External Connector</w:t>
      </w:r>
    </w:p>
    <w:p w:rsidR="00944BDF" w:rsidRPr="000A1C8E" w:rsidRDefault="00944BDF" w:rsidP="00E62BC4">
      <w:pPr>
        <w:ind w:left="720"/>
        <w:rPr>
          <w:rFonts w:cs="Tahoma"/>
        </w:rPr>
      </w:pPr>
      <w:r w:rsidRPr="000A1C8E">
        <w:rPr>
          <w:rFonts w:cs="Tahoma"/>
          <w:color w:val="000000"/>
          <w:szCs w:val="20"/>
        </w:rPr>
        <w:t>Os usos permitidos sob as CALs diferentes do Microsoft Dynamics CRM 2011 são destacados na tabela a seguir.</w:t>
      </w:r>
      <w:r w:rsidR="00DC6D8B" w:rsidRPr="000A1C8E">
        <w:rPr>
          <w:rFonts w:cs="Tahoma"/>
          <w:color w:val="000000"/>
          <w:szCs w:val="20"/>
        </w:rPr>
        <w:t xml:space="preserve"> </w:t>
      </w:r>
      <w:r w:rsidRPr="000A1C8E">
        <w:rPr>
          <w:rFonts w:cs="Tahoma"/>
          <w:color w:val="000000"/>
          <w:szCs w:val="20"/>
        </w:rPr>
        <w:t>A CAL Limitada e a CAL Completa são ofertas que incluem várias licenças.</w:t>
      </w:r>
    </w:p>
    <w:p w:rsidR="0033725C" w:rsidRPr="000A1C8E" w:rsidRDefault="0033725C" w:rsidP="0033725C">
      <w:pPr>
        <w:pStyle w:val="ListParagraph"/>
        <w:ind w:left="0"/>
        <w:rPr>
          <w:rFonts w:ascii="Tahoma" w:hAnsi="Tahoma" w:cs="Tahoma"/>
        </w:rPr>
      </w:pPr>
    </w:p>
    <w:tbl>
      <w:tblPr>
        <w:tblW w:w="9040" w:type="dxa"/>
        <w:tblInd w:w="828" w:type="dxa"/>
        <w:tblLayout w:type="fixed"/>
        <w:tblCellMar>
          <w:left w:w="58" w:type="dxa"/>
          <w:right w:w="58" w:type="dxa"/>
        </w:tblCellMar>
        <w:tblLook w:val="04A0" w:firstRow="1" w:lastRow="0" w:firstColumn="1" w:lastColumn="0" w:noHBand="0" w:noVBand="1"/>
      </w:tblPr>
      <w:tblGrid>
        <w:gridCol w:w="2380"/>
        <w:gridCol w:w="792"/>
        <w:gridCol w:w="1098"/>
        <w:gridCol w:w="1080"/>
        <w:gridCol w:w="1170"/>
        <w:gridCol w:w="1260"/>
        <w:gridCol w:w="1260"/>
      </w:tblGrid>
      <w:tr w:rsidR="0033725C" w:rsidRPr="000A1C8E" w:rsidTr="009F079D">
        <w:trPr>
          <w:trHeight w:val="226"/>
          <w:tblHeader/>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33725C" w:rsidRPr="000A1C8E" w:rsidRDefault="0033725C" w:rsidP="00A73DBD">
            <w:pPr>
              <w:pStyle w:val="TableHeading"/>
              <w:rPr>
                <w:rFonts w:ascii="Tahoma" w:hAnsi="Tahoma" w:cs="Tahoma"/>
                <w:color w:val="000000"/>
                <w:sz w:val="18"/>
                <w:szCs w:val="18"/>
              </w:rPr>
            </w:pPr>
            <w:r w:rsidRPr="000A1C8E">
              <w:rPr>
                <w:rFonts w:ascii="Tahoma" w:hAnsi="Tahoma" w:cs="Tahoma"/>
                <w:color w:val="000000"/>
                <w:sz w:val="18"/>
                <w:szCs w:val="18"/>
              </w:rPr>
              <w:t>Direito de Uso</w:t>
            </w:r>
          </w:p>
        </w:tc>
        <w:tc>
          <w:tcPr>
            <w:tcW w:w="792" w:type="dxa"/>
            <w:tcBorders>
              <w:top w:val="single" w:sz="4" w:space="0" w:color="auto"/>
              <w:left w:val="single" w:sz="4" w:space="0" w:color="auto"/>
              <w:bottom w:val="single" w:sz="4" w:space="0" w:color="auto"/>
              <w:right w:val="single" w:sz="4" w:space="0" w:color="auto"/>
            </w:tcBorders>
            <w:shd w:val="clear" w:color="auto" w:fill="FABF8F"/>
          </w:tcPr>
          <w:p w:rsidR="0033725C" w:rsidRPr="000A1C8E" w:rsidRDefault="0033725C" w:rsidP="00A73DBD">
            <w:pPr>
              <w:pStyle w:val="TableHeading"/>
              <w:rPr>
                <w:rFonts w:ascii="Tahoma" w:hAnsi="Tahoma" w:cs="Tahoma"/>
                <w:color w:val="000000"/>
                <w:sz w:val="18"/>
                <w:szCs w:val="18"/>
              </w:rPr>
            </w:pPr>
            <w:r w:rsidRPr="000A1C8E">
              <w:rPr>
                <w:rFonts w:ascii="Tahoma" w:hAnsi="Tahoma" w:cs="Tahoma"/>
                <w:color w:val="000000"/>
                <w:sz w:val="18"/>
                <w:szCs w:val="18"/>
              </w:rPr>
              <w:t>CAL do ESS</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33725C" w:rsidRPr="000A1C8E" w:rsidRDefault="0033725C" w:rsidP="00A73DBD">
            <w:pPr>
              <w:pStyle w:val="TableHeading"/>
              <w:rPr>
                <w:rFonts w:ascii="Tahoma" w:hAnsi="Tahoma" w:cs="Tahoma"/>
                <w:color w:val="000000"/>
                <w:sz w:val="18"/>
                <w:szCs w:val="18"/>
              </w:rPr>
            </w:pPr>
            <w:r w:rsidRPr="000A1C8E">
              <w:rPr>
                <w:rFonts w:ascii="Tahoma" w:hAnsi="Tahoma" w:cs="Tahoma"/>
                <w:color w:val="000000"/>
                <w:sz w:val="18"/>
                <w:szCs w:val="18"/>
              </w:rPr>
              <w:t>CAL Limitada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0A1C8E" w:rsidRDefault="0033725C" w:rsidP="009F079D">
            <w:pPr>
              <w:pStyle w:val="TableHeading"/>
              <w:ind w:right="0"/>
              <w:rPr>
                <w:rFonts w:ascii="Tahoma" w:hAnsi="Tahoma" w:cs="Tahoma"/>
                <w:color w:val="000000"/>
                <w:sz w:val="18"/>
                <w:szCs w:val="18"/>
              </w:rPr>
            </w:pPr>
            <w:r w:rsidRPr="000A1C8E">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0A1C8E" w:rsidRDefault="0033725C" w:rsidP="00A73DBD">
            <w:pPr>
              <w:pStyle w:val="TableHeading"/>
              <w:rPr>
                <w:rFonts w:ascii="Tahoma" w:hAnsi="Tahoma" w:cs="Tahoma"/>
                <w:color w:val="000000"/>
                <w:sz w:val="18"/>
                <w:szCs w:val="18"/>
              </w:rPr>
            </w:pPr>
            <w:r w:rsidRPr="000A1C8E">
              <w:rPr>
                <w:rFonts w:ascii="Tahoma" w:hAnsi="Tahoma" w:cs="Tahoma"/>
                <w:color w:val="000000"/>
                <w:sz w:val="18"/>
                <w:szCs w:val="18"/>
              </w:rPr>
              <w:t>CAL Adicional de Uso Limitado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rsidR="0033725C" w:rsidRPr="000A1C8E" w:rsidRDefault="0033725C" w:rsidP="00A73DBD">
            <w:pPr>
              <w:pStyle w:val="TableHeading"/>
              <w:rPr>
                <w:rFonts w:ascii="Tahoma" w:hAnsi="Tahoma" w:cs="Tahoma"/>
                <w:color w:val="000000"/>
                <w:sz w:val="18"/>
                <w:szCs w:val="18"/>
              </w:rPr>
            </w:pPr>
            <w:r w:rsidRPr="000A1C8E">
              <w:rPr>
                <w:rFonts w:ascii="Tahoma" w:hAnsi="Tahoma" w:cs="Tahoma"/>
                <w:color w:val="000000"/>
                <w:sz w:val="18"/>
                <w:szCs w:val="18"/>
              </w:rPr>
              <w:t>CAL Adicional de Uso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rsidR="0033725C" w:rsidRPr="000A1C8E" w:rsidRDefault="0033725C" w:rsidP="00A73DBD">
            <w:pPr>
              <w:pStyle w:val="TableHeading"/>
              <w:rPr>
                <w:rFonts w:ascii="Tahoma" w:hAnsi="Tahoma" w:cs="Tahoma"/>
                <w:color w:val="000000"/>
                <w:sz w:val="18"/>
                <w:szCs w:val="18"/>
              </w:rPr>
            </w:pPr>
            <w:r w:rsidRPr="000A1C8E">
              <w:rPr>
                <w:rFonts w:ascii="Tahoma" w:hAnsi="Tahoma" w:cs="Tahoma"/>
                <w:color w:val="000000"/>
                <w:sz w:val="18"/>
                <w:szCs w:val="18"/>
              </w:rPr>
              <w:t>External Connector</w:t>
            </w:r>
          </w:p>
        </w:tc>
      </w:tr>
      <w:tr w:rsidR="0033725C" w:rsidRPr="000A1C8E" w:rsidTr="009F079D">
        <w:trPr>
          <w:trHeight w:val="199"/>
        </w:trPr>
        <w:tc>
          <w:tcPr>
            <w:tcW w:w="2380" w:type="dxa"/>
            <w:tcBorders>
              <w:top w:val="single" w:sz="4" w:space="0" w:color="auto"/>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Contas usando Acesso à API</w:t>
            </w:r>
          </w:p>
        </w:tc>
        <w:tc>
          <w:tcPr>
            <w:tcW w:w="792" w:type="dxa"/>
            <w:tcBorders>
              <w:top w:val="single" w:sz="4" w:space="0" w:color="auto"/>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rPr>
          <w:trHeight w:val="352"/>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lang w:val="fr-FR"/>
              </w:rPr>
            </w:pPr>
            <w:r w:rsidRPr="000A1C8E">
              <w:rPr>
                <w:rFonts w:ascii="Tahoma" w:eastAsia="Calibri" w:hAnsi="Tahoma" w:cs="Tahoma"/>
                <w:sz w:val="18"/>
                <w:szCs w:val="18"/>
              </w:rPr>
              <w:t>Criar Contatos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Casos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Leads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Atividades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9F079D">
            <w:pPr>
              <w:pStyle w:val="TableText"/>
              <w:jc w:val="left"/>
              <w:rPr>
                <w:rFonts w:ascii="Tahoma" w:eastAsia="Calibri" w:hAnsi="Tahoma" w:cs="Tahoma"/>
                <w:sz w:val="18"/>
                <w:szCs w:val="18"/>
              </w:rPr>
            </w:pPr>
            <w:r w:rsidRPr="000A1C8E">
              <w:rPr>
                <w:rFonts w:ascii="Tahoma" w:eastAsia="Calibri" w:hAnsi="Tahoma" w:cs="Tahoma"/>
                <w:sz w:val="18"/>
                <w:szCs w:val="18"/>
              </w:rPr>
              <w:lastRenderedPageBreak/>
              <w:t>Criar Notas usando Acesso à</w:t>
            </w:r>
            <w:r w:rsidR="009F079D" w:rsidRPr="000A1C8E">
              <w:rPr>
                <w:rFonts w:ascii="Tahoma" w:eastAsia="Calibri" w:hAnsi="Tahoma" w:cs="Tahoma"/>
                <w:sz w:val="18"/>
                <w:szCs w:val="18"/>
              </w:rPr>
              <w:t> </w:t>
            </w:r>
            <w:r w:rsidRPr="000A1C8E">
              <w:rPr>
                <w:rFonts w:ascii="Tahoma" w:eastAsia="Calibri" w:hAnsi="Tahoma" w:cs="Tahoma"/>
                <w:sz w:val="18"/>
                <w:szCs w:val="18"/>
              </w:rPr>
              <w:t>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registros de entidades personalizados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Contas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Contatos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Casos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Leads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Atividades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Notas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registros de entidades personalizados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Contas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Contatos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Casos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Leads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Atividades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Notas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registros de entidades personalizados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Contas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Contatos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Casos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Leads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Atividades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Notas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registros de entidades personalizados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Contas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lastRenderedPageBreak/>
              <w:t>Excluir Contatos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Casos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Leads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Atividades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Notas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registros de entidades personalizados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Contas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Contatos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Casos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Leads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Atividades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registros de entidades personalizados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Contas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Contatos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Casos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Leads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Atividades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registros de entidades personalizados usando Acesso à 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Contas usando os clientes do Microsoft Dynamics CRM</w:t>
            </w:r>
            <w:r w:rsidRPr="000A1C8E">
              <w:rPr>
                <w:rFonts w:ascii="Tahoma" w:eastAsia="Calibri" w:hAnsi="Tahoma" w:cs="Tahoma"/>
                <w:b/>
                <w:sz w:val="18"/>
                <w:szCs w:val="18"/>
                <w:vertAlign w:val="superscript"/>
              </w:rPr>
              <w:t>1</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Contatos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Casos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Leads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lastRenderedPageBreak/>
              <w:t>Criar Atividades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Notas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t>Atualizar Contas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Contatos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t>Atualizar Casos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9F079D">
            <w:pPr>
              <w:pStyle w:val="TableText"/>
              <w:jc w:val="left"/>
              <w:rPr>
                <w:rFonts w:ascii="Tahoma" w:eastAsia="Calibri" w:hAnsi="Tahoma" w:cs="Tahoma"/>
                <w:sz w:val="18"/>
                <w:szCs w:val="18"/>
              </w:rPr>
            </w:pPr>
            <w:r w:rsidRPr="000A1C8E">
              <w:rPr>
                <w:rFonts w:ascii="Tahoma" w:eastAsia="Calibri" w:hAnsi="Tahoma" w:cs="Tahoma"/>
                <w:sz w:val="18"/>
                <w:szCs w:val="18"/>
              </w:rPr>
              <w:t>Atualizar Leads usando os</w:t>
            </w:r>
            <w:r w:rsidR="009F079D" w:rsidRPr="000A1C8E">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Atividades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Notas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Contas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t>Anexar Contatos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t>Anexar Casos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t>Anexar Leads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Atividades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t>Anexar Notas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t>Anexar a Contas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Contatos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5A7F17">
            <w:pPr>
              <w:pStyle w:val="TableText"/>
              <w:jc w:val="left"/>
              <w:rPr>
                <w:rFonts w:ascii="Tahoma" w:eastAsia="Calibri" w:hAnsi="Tahoma" w:cs="Tahoma"/>
                <w:sz w:val="18"/>
                <w:szCs w:val="18"/>
              </w:rPr>
            </w:pPr>
            <w:r w:rsidRPr="000A1C8E">
              <w:rPr>
                <w:rFonts w:ascii="Tahoma" w:eastAsia="Calibri" w:hAnsi="Tahoma" w:cs="Tahoma"/>
                <w:sz w:val="18"/>
                <w:szCs w:val="18"/>
              </w:rPr>
              <w:t>Anexar a Casos usando os</w:t>
            </w:r>
            <w:r w:rsidR="005A7F17">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lastRenderedPageBreak/>
              <w:t>Anexar a Leads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Atividades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a Notas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Contas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Contatos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Casos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Leads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Atividades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Notas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Contas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Contatos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9F079D">
            <w:pPr>
              <w:pStyle w:val="TableText"/>
              <w:jc w:val="left"/>
              <w:rPr>
                <w:rFonts w:ascii="Tahoma" w:eastAsia="Calibri" w:hAnsi="Tahoma" w:cs="Tahoma"/>
                <w:sz w:val="18"/>
                <w:szCs w:val="18"/>
              </w:rPr>
            </w:pPr>
            <w:r w:rsidRPr="000A1C8E">
              <w:rPr>
                <w:rFonts w:ascii="Tahoma" w:eastAsia="Calibri" w:hAnsi="Tahoma" w:cs="Tahoma"/>
                <w:sz w:val="18"/>
                <w:szCs w:val="18"/>
              </w:rPr>
              <w:t>Atribuir Casos usando os</w:t>
            </w:r>
            <w:r w:rsidR="009F079D" w:rsidRPr="000A1C8E">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Leads usando os</w:t>
            </w:r>
            <w:r w:rsidR="009F079D" w:rsidRPr="000A1C8E">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Atividades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rPr>
          <w:trHeight w:val="309"/>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Contas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Contatos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Casos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lastRenderedPageBreak/>
              <w:t>Compartilhar Leads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Atividades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registros de entidades personalizados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registros de entidades personalizados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9F079D">
            <w:pPr>
              <w:pStyle w:val="TableText"/>
              <w:jc w:val="left"/>
              <w:rPr>
                <w:rFonts w:ascii="Tahoma" w:eastAsia="Calibri" w:hAnsi="Tahoma" w:cs="Tahoma"/>
                <w:sz w:val="18"/>
                <w:szCs w:val="18"/>
              </w:rPr>
            </w:pPr>
            <w:r w:rsidRPr="000A1C8E">
              <w:rPr>
                <w:rFonts w:ascii="Tahoma" w:eastAsia="Calibri" w:hAnsi="Tahoma" w:cs="Tahoma"/>
                <w:sz w:val="18"/>
                <w:szCs w:val="18"/>
              </w:rPr>
              <w:t>Anexar privilégios aos registros de atividades personalizados usando os</w:t>
            </w:r>
            <w:r w:rsidR="009F079D" w:rsidRPr="000A1C8E">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3</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3</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Anexar privilégios aos registros de entidades personalizados (excluindo os registros de atividades personalizados)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9F079D">
            <w:pPr>
              <w:pStyle w:val="TableText"/>
              <w:jc w:val="left"/>
              <w:rPr>
                <w:rFonts w:ascii="Tahoma" w:eastAsia="Calibri" w:hAnsi="Tahoma" w:cs="Tahoma"/>
                <w:sz w:val="18"/>
                <w:szCs w:val="18"/>
              </w:rPr>
            </w:pPr>
            <w:r w:rsidRPr="000A1C8E">
              <w:rPr>
                <w:rFonts w:ascii="Tahoma" w:eastAsia="Calibri" w:hAnsi="Tahoma" w:cs="Tahoma"/>
                <w:sz w:val="18"/>
                <w:szCs w:val="18"/>
              </w:rPr>
              <w:t>Anexar a privilégios aos registros de entidades personalizados usando os</w:t>
            </w:r>
            <w:r w:rsidR="009F079D" w:rsidRPr="000A1C8E">
              <w:rPr>
                <w:rFonts w:ascii="Tahoma" w:eastAsia="Calibri" w:hAnsi="Tahoma" w:cs="Tahoma"/>
                <w:sz w:val="18"/>
                <w:szCs w:val="18"/>
              </w:rPr>
              <w:t> </w:t>
            </w:r>
            <w:r w:rsidRPr="000A1C8E">
              <w:rPr>
                <w:rFonts w:ascii="Tahoma" w:eastAsia="Calibri" w:hAnsi="Tahoma" w:cs="Tahoma"/>
                <w:sz w:val="18"/>
                <w:szCs w:val="18"/>
              </w:rPr>
              <w:t>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Excluir registros de entidades personalizados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Atribuir registros de entidades personalizados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registros de entidades personalizados usando os clientes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Customer Care Accelerator Framework</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Consultas de “Localização Avançada”</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Salvar Consultas de “Localização Avançada”</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Exibições Pessoais</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Painel do Sistema</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Painel do Sistema</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lastRenderedPageBreak/>
              <w:t>Criar Painel pessoal</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Compartilhar Painel pessoal</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Fluxo de Trabalho</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Fluxo de Trabalho</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Executar um fluxo de trabalho automatizado</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5</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5</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Executar um fluxo de trabalho sob demanda</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Caixa de Diálogo</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Atualizar Caixa de Diálogo</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Iniciar Caixa de Diálogo</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auto"/>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5</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5</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Criar Relatório</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Executar Relatório</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Executar Mala Direta</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9F079D">
            <w:pPr>
              <w:pStyle w:val="TableText"/>
              <w:jc w:val="left"/>
              <w:rPr>
                <w:rFonts w:ascii="Tahoma" w:eastAsia="Calibri" w:hAnsi="Tahoma" w:cs="Tahoma"/>
                <w:sz w:val="18"/>
                <w:szCs w:val="18"/>
              </w:rPr>
            </w:pPr>
            <w:r w:rsidRPr="000A1C8E">
              <w:rPr>
                <w:rFonts w:ascii="Tahoma" w:eastAsia="Calibri" w:hAnsi="Tahoma" w:cs="Tahoma"/>
                <w:sz w:val="18"/>
                <w:szCs w:val="18"/>
              </w:rPr>
              <w:t>Exportar dados para o</w:t>
            </w:r>
            <w:r w:rsidR="009F079D" w:rsidRPr="000A1C8E">
              <w:rPr>
                <w:rFonts w:ascii="Tahoma" w:eastAsia="Calibri" w:hAnsi="Tahoma" w:cs="Tahoma"/>
                <w:sz w:val="18"/>
                <w:szCs w:val="18"/>
              </w:rPr>
              <w:t> </w:t>
            </w:r>
            <w:r w:rsidRPr="000A1C8E">
              <w:rPr>
                <w:rFonts w:ascii="Tahoma" w:eastAsia="Calibri" w:hAnsi="Tahoma" w:cs="Tahoma"/>
                <w:sz w:val="18"/>
                <w:szCs w:val="18"/>
              </w:rPr>
              <w:t>Microsoft Excel</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9F079D">
            <w:pPr>
              <w:pStyle w:val="TableText"/>
              <w:jc w:val="left"/>
              <w:rPr>
                <w:rFonts w:ascii="Tahoma" w:eastAsia="Calibri" w:hAnsi="Tahoma" w:cs="Tahoma"/>
                <w:sz w:val="18"/>
                <w:szCs w:val="18"/>
              </w:rPr>
            </w:pPr>
            <w:r w:rsidRPr="000A1C8E">
              <w:rPr>
                <w:rFonts w:ascii="Tahoma" w:eastAsia="Calibri" w:hAnsi="Tahoma" w:cs="Tahoma"/>
                <w:sz w:val="18"/>
                <w:szCs w:val="18"/>
              </w:rPr>
              <w:t>Seguir e publicar feeds de atividades sobre registros de entidades personalizados de Contas, Contatos e Leads usando o acesso à</w:t>
            </w:r>
            <w:r w:rsidR="009F079D" w:rsidRPr="000A1C8E">
              <w:rPr>
                <w:rFonts w:ascii="Tahoma" w:eastAsia="Calibri" w:hAnsi="Tahoma" w:cs="Tahoma"/>
                <w:sz w:val="18"/>
                <w:szCs w:val="18"/>
              </w:rPr>
              <w:t> </w:t>
            </w:r>
            <w:r w:rsidRPr="000A1C8E">
              <w:rPr>
                <w:rFonts w:ascii="Tahoma" w:eastAsia="Calibri" w:hAnsi="Tahoma" w:cs="Tahoma"/>
                <w:sz w:val="18"/>
                <w:szCs w:val="18"/>
              </w:rPr>
              <w:t>API</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Seguir e publicar feeds de atividades sobre registros de entidades padrão do Dynamics CRM Standard usando clientes do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Seguir e publicar feeds de atividades sobre registros de entidades personalizados usando clientes do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Acesso de Leitura para funcionalidade completa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4</w:t>
            </w:r>
          </w:p>
        </w:tc>
      </w:tr>
      <w:tr w:rsidR="0033725C" w:rsidRPr="000A1C8E" w:rsidTr="009F079D">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eastAsia="Calibri" w:hAnsi="Tahoma" w:cs="Tahoma"/>
                <w:sz w:val="18"/>
                <w:szCs w:val="18"/>
              </w:rPr>
            </w:pPr>
            <w:r w:rsidRPr="000A1C8E">
              <w:rPr>
                <w:rFonts w:ascii="Tahoma" w:eastAsia="Calibri" w:hAnsi="Tahoma" w:cs="Tahoma"/>
                <w:sz w:val="18"/>
                <w:szCs w:val="18"/>
              </w:rPr>
              <w:t>Acesso de Gravação para funcionalidade completa do Microsoft Dynamics CRM</w:t>
            </w:r>
          </w:p>
        </w:tc>
        <w:tc>
          <w:tcPr>
            <w:tcW w:w="792"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132FFC" w:rsidRDefault="0033725C" w:rsidP="00A73DBD">
            <w:pPr>
              <w:pStyle w:val="TableText"/>
              <w:rPr>
                <w:rFonts w:eastAsia="Calibri" w:cs="Tahoma"/>
                <w:b/>
                <w:sz w:val="24"/>
                <w:szCs w:val="24"/>
              </w:rPr>
            </w:pPr>
            <w:r w:rsidRPr="00132FFC">
              <w:rPr>
                <w:rFonts w:eastAsia="Calibri" w:cs="Tahoma"/>
                <w:b/>
                <w:sz w:val="24"/>
                <w:szCs w:val="24"/>
              </w:rPr>
              <w:sym w:font="Wingdings" w:char="00FC"/>
            </w:r>
            <w:r w:rsidRPr="00132FFC">
              <w:rPr>
                <w:rFonts w:eastAsia="Calibri" w:cs="Tahoma"/>
                <w:b/>
                <w:sz w:val="24"/>
                <w:szCs w:val="24"/>
                <w:vertAlign w:val="superscript"/>
              </w:rPr>
              <w:t>4</w:t>
            </w:r>
          </w:p>
        </w:tc>
      </w:tr>
      <w:tr w:rsidR="0033725C" w:rsidRPr="000A1C8E" w:rsidTr="009F079D">
        <w:tc>
          <w:tcPr>
            <w:tcW w:w="9040"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0A1C8E" w:rsidRDefault="0033725C" w:rsidP="00A73DBD">
            <w:pPr>
              <w:pStyle w:val="TableText"/>
              <w:jc w:val="left"/>
              <w:rPr>
                <w:rFonts w:ascii="Tahoma" w:hAnsi="Tahoma" w:cs="Tahoma"/>
              </w:rPr>
            </w:pPr>
            <w:r w:rsidRPr="000A1C8E">
              <w:rPr>
                <w:rFonts w:ascii="Tahoma" w:eastAsia="Calibri" w:hAnsi="Tahoma" w:cs="Tahoma"/>
                <w:i/>
                <w:sz w:val="14"/>
                <w:szCs w:val="18"/>
              </w:rPr>
              <w:t>(1) Cliente da Web do Microsoft Dynamics CRM, Cliente do Microsoft Dynamics CRM para Microsoft Outlook e Mobile Express para Microsoft Dynamics CRM.</w:t>
            </w:r>
          </w:p>
          <w:p w:rsidR="0033725C" w:rsidRPr="000A1C8E" w:rsidRDefault="0033725C" w:rsidP="00A73DBD">
            <w:pPr>
              <w:pStyle w:val="TableText"/>
              <w:jc w:val="left"/>
              <w:rPr>
                <w:rFonts w:ascii="Tahoma" w:hAnsi="Tahoma" w:cs="Tahoma"/>
              </w:rPr>
            </w:pPr>
            <w:r w:rsidRPr="000A1C8E">
              <w:rPr>
                <w:rFonts w:ascii="Tahoma" w:eastAsia="Calibri" w:hAnsi="Tahoma" w:cs="Tahoma"/>
                <w:i/>
                <w:sz w:val="14"/>
                <w:szCs w:val="18"/>
              </w:rPr>
              <w:t>(2) Privilégios aplicáveis apenas a registros criados pelo mesmo usuário.</w:t>
            </w:r>
          </w:p>
          <w:p w:rsidR="0033725C" w:rsidRPr="000A1C8E" w:rsidRDefault="0033725C" w:rsidP="00A73DBD">
            <w:pPr>
              <w:pStyle w:val="TableText"/>
              <w:jc w:val="left"/>
              <w:rPr>
                <w:rFonts w:ascii="Tahoma" w:hAnsi="Tahoma" w:cs="Tahoma"/>
              </w:rPr>
            </w:pPr>
            <w:r w:rsidRPr="000A1C8E">
              <w:rPr>
                <w:rFonts w:ascii="Tahoma" w:eastAsia="Calibri" w:hAnsi="Tahoma" w:cs="Tahoma"/>
                <w:i/>
                <w:sz w:val="14"/>
                <w:szCs w:val="18"/>
              </w:rPr>
              <w:t>(3) Privilégios aplicáveis APENAS a atividades personalizadas.</w:t>
            </w:r>
          </w:p>
          <w:p w:rsidR="0033725C" w:rsidRPr="000A1C8E" w:rsidRDefault="0033725C" w:rsidP="00A73DBD">
            <w:pPr>
              <w:rPr>
                <w:rFonts w:cs="Tahoma"/>
              </w:rPr>
            </w:pPr>
            <w:r w:rsidRPr="000A1C8E">
              <w:rPr>
                <w:rFonts w:eastAsia="Calibri" w:cs="Tahoma"/>
                <w:i/>
                <w:sz w:val="14"/>
                <w:szCs w:val="18"/>
              </w:rPr>
              <w:t xml:space="preserve">(4) Privilégios para criar registros; </w:t>
            </w:r>
            <w:r w:rsidRPr="000A1C8E">
              <w:rPr>
                <w:rFonts w:eastAsia="Calibri" w:cs="Tahoma"/>
                <w:bCs/>
                <w:i/>
                <w:sz w:val="14"/>
                <w:szCs w:val="18"/>
              </w:rPr>
              <w:t>anexar, anexar a e atualizar</w:t>
            </w:r>
            <w:r w:rsidR="00DC6D8B" w:rsidRPr="000A1C8E">
              <w:rPr>
                <w:rFonts w:eastAsia="Calibri" w:cs="Tahoma"/>
                <w:i/>
                <w:sz w:val="14"/>
                <w:szCs w:val="18"/>
              </w:rPr>
              <w:t xml:space="preserve"> </w:t>
            </w:r>
            <w:r w:rsidRPr="000A1C8E">
              <w:rPr>
                <w:rFonts w:eastAsia="Calibri" w:cs="Tahoma"/>
                <w:bCs/>
                <w:i/>
                <w:sz w:val="14"/>
                <w:szCs w:val="18"/>
              </w:rPr>
              <w:t xml:space="preserve">registros criados por qualquer usuário CRM. </w:t>
            </w:r>
            <w:r w:rsidRPr="000A1C8E">
              <w:rPr>
                <w:rFonts w:eastAsia="Calibri" w:cs="Tahoma"/>
                <w:bCs/>
                <w:i/>
                <w:sz w:val="14"/>
                <w:szCs w:val="18"/>
                <w:u w:val="single"/>
              </w:rPr>
              <w:t>Nenhum privilégio</w:t>
            </w:r>
            <w:r w:rsidRPr="000A1C8E">
              <w:rPr>
                <w:rFonts w:eastAsia="Calibri" w:cs="Tahoma"/>
                <w:i/>
                <w:sz w:val="14"/>
                <w:szCs w:val="18"/>
              </w:rPr>
              <w:t xml:space="preserve"> de dados para </w:t>
            </w:r>
            <w:r w:rsidRPr="000A1C8E">
              <w:rPr>
                <w:rFonts w:eastAsia="Calibri" w:cs="Tahoma"/>
                <w:bCs/>
                <w:i/>
                <w:sz w:val="14"/>
                <w:szCs w:val="18"/>
              </w:rPr>
              <w:t>ceder, compartilhar ou excluir</w:t>
            </w:r>
            <w:r w:rsidRPr="000A1C8E">
              <w:rPr>
                <w:rFonts w:eastAsia="Calibri" w:cs="Tahoma"/>
                <w:i/>
                <w:sz w:val="14"/>
                <w:szCs w:val="18"/>
              </w:rPr>
              <w:t xml:space="preserve"> registros. </w:t>
            </w:r>
            <w:r w:rsidRPr="000A1C8E">
              <w:rPr>
                <w:rFonts w:eastAsia="Calibri" w:cs="Tahoma"/>
                <w:bCs/>
                <w:i/>
                <w:sz w:val="14"/>
                <w:szCs w:val="18"/>
              </w:rPr>
              <w:t>Acesso apenas à API.</w:t>
            </w:r>
          </w:p>
          <w:p w:rsidR="0033725C" w:rsidRPr="000A1C8E" w:rsidRDefault="0033725C" w:rsidP="00A73DBD">
            <w:pPr>
              <w:rPr>
                <w:rFonts w:eastAsia="Calibri" w:cs="Tahoma"/>
                <w:b/>
                <w:bCs/>
                <w:szCs w:val="18"/>
              </w:rPr>
            </w:pPr>
            <w:r w:rsidRPr="000A1C8E">
              <w:rPr>
                <w:rFonts w:eastAsia="Calibri" w:cs="Tahoma"/>
                <w:i/>
                <w:sz w:val="14"/>
                <w:szCs w:val="18"/>
              </w:rPr>
              <w:t xml:space="preserve">(5) </w:t>
            </w:r>
            <w:r w:rsidRPr="000A1C8E">
              <w:rPr>
                <w:rFonts w:eastAsia="Calibri" w:cs="Tahoma"/>
                <w:i/>
                <w:sz w:val="14"/>
              </w:rPr>
              <w:t>Contas, Contatos, Casos, Leads, Atividades e registros de entidades personalizados apenas.</w:t>
            </w:r>
            <w:r w:rsidRPr="000A1C8E">
              <w:rPr>
                <w:rFonts w:eastAsia="Calibri" w:cs="Tahoma"/>
                <w:b/>
                <w:sz w:val="14"/>
                <w:szCs w:val="18"/>
              </w:rPr>
              <w:t xml:space="preserve"> </w:t>
            </w:r>
          </w:p>
        </w:tc>
      </w:tr>
    </w:tbl>
    <w:p w:rsidR="0033725C" w:rsidRPr="000A1C8E" w:rsidRDefault="0033725C" w:rsidP="00D47417">
      <w:pPr>
        <w:ind w:left="540"/>
        <w:rPr>
          <w:rFonts w:cs="Tahoma"/>
        </w:rPr>
      </w:pPr>
    </w:p>
    <w:p w:rsidR="00BF7FDE" w:rsidRPr="000A1C8E" w:rsidRDefault="0033725C" w:rsidP="007B699C">
      <w:pPr>
        <w:ind w:left="720"/>
        <w:rPr>
          <w:rFonts w:cs="Tahoma"/>
        </w:rPr>
      </w:pPr>
      <w:r w:rsidRPr="000A1C8E">
        <w:rPr>
          <w:rFonts w:cs="Tahoma"/>
        </w:rPr>
        <w:t>Consulte o guia de licenciamento e preços do Microsoft Dynamics CRM 2011 para obter informações adicionais sobre licenças do Microsoft Dynamics CRM.</w:t>
      </w:r>
      <w:bookmarkStart w:id="1415" w:name="_69_Office_365"/>
      <w:bookmarkStart w:id="1416" w:name="_69_68_Office"/>
      <w:bookmarkEnd w:id="1415"/>
      <w:bookmarkEnd w:id="1416"/>
    </w:p>
    <w:p w:rsidR="006E28CC" w:rsidRPr="000A1C8E" w:rsidRDefault="006E28CC" w:rsidP="006D6A83">
      <w:pPr>
        <w:rPr>
          <w:rFonts w:cs="Tahoma"/>
        </w:rPr>
      </w:pPr>
      <w:bookmarkStart w:id="1417" w:name="_71_Office_365_1"/>
      <w:bookmarkStart w:id="1418" w:name="_Toc336338329"/>
      <w:bookmarkStart w:id="1419" w:name="Srv_70Office365PlanE1"/>
      <w:bookmarkEnd w:id="1417"/>
    </w:p>
    <w:p w:rsidR="006E28CC" w:rsidRDefault="006E28CC" w:rsidP="006D6A83">
      <w:pPr>
        <w:rPr>
          <w:rFonts w:cs="Tahoma"/>
        </w:rPr>
      </w:pPr>
    </w:p>
    <w:p w:rsidR="00DC1AC3" w:rsidRPr="000A1C8E" w:rsidRDefault="00DC1AC3" w:rsidP="006D6A83">
      <w:pPr>
        <w:rPr>
          <w:rFonts w:cs="Tahoma"/>
        </w:rPr>
      </w:pPr>
    </w:p>
    <w:p w:rsidR="006E28CC" w:rsidRPr="000A1C8E" w:rsidRDefault="00A560B6" w:rsidP="009C5D30">
      <w:pPr>
        <w:pStyle w:val="Heading2"/>
        <w:ind w:left="0"/>
        <w:rPr>
          <w:rFonts w:ascii="Tahoma" w:hAnsi="Tahoma" w:cs="Tahoma"/>
        </w:rPr>
      </w:pPr>
      <w:bookmarkStart w:id="1420" w:name="_66_Microsoft_Dynamics"/>
      <w:bookmarkStart w:id="1421" w:name="_71_Microsoft_Dynamics"/>
      <w:bookmarkStart w:id="1422" w:name="_74_Microsoft_Dynamics"/>
      <w:bookmarkStart w:id="1423" w:name="_75_Microsoft_Dynamics"/>
      <w:bookmarkStart w:id="1424" w:name="_Toc361829418"/>
      <w:bookmarkEnd w:id="1420"/>
      <w:bookmarkEnd w:id="1421"/>
      <w:bookmarkEnd w:id="1422"/>
      <w:bookmarkEnd w:id="1423"/>
      <w:r w:rsidRPr="000A1C8E">
        <w:rPr>
          <w:rFonts w:ascii="Tahoma" w:hAnsi="Tahoma" w:cs="Tahoma"/>
          <w:caps/>
          <w:color w:val="FF6600"/>
          <w:sz w:val="22"/>
          <w:szCs w:val="22"/>
          <w:vertAlign w:val="superscript"/>
        </w:rPr>
        <w:lastRenderedPageBreak/>
        <w:t xml:space="preserve">75 </w:t>
      </w:r>
      <w:r w:rsidRPr="000A1C8E">
        <w:rPr>
          <w:rFonts w:ascii="Tahoma" w:hAnsi="Tahoma" w:cs="Tahoma"/>
          <w:color w:val="FF6600"/>
          <w:sz w:val="22"/>
          <w:szCs w:val="22"/>
        </w:rPr>
        <w:t>Microsoft Dynamics CRM 2011 Server</w:t>
      </w:r>
      <w:bookmarkEnd w:id="1424"/>
    </w:p>
    <w:p w:rsidR="006E28CC" w:rsidRPr="000A1C8E" w:rsidRDefault="006E28CC" w:rsidP="006E28CC">
      <w:pPr>
        <w:tabs>
          <w:tab w:val="left" w:pos="1800"/>
        </w:tabs>
        <w:spacing w:after="60"/>
        <w:rPr>
          <w:rFonts w:cs="Tahoma"/>
        </w:rPr>
      </w:pPr>
    </w:p>
    <w:p w:rsidR="006E28CC" w:rsidRPr="000A1C8E" w:rsidRDefault="006E28CC" w:rsidP="009C5D30">
      <w:pPr>
        <w:spacing w:after="60"/>
        <w:ind w:left="720"/>
        <w:rPr>
          <w:rFonts w:cs="Tahoma"/>
        </w:rPr>
      </w:pPr>
      <w:r w:rsidRPr="000A1C8E">
        <w:rPr>
          <w:rFonts w:cs="Tahoma"/>
          <w:b/>
        </w:rPr>
        <w:t>Microsoft Dynamics CRM Server 2011 – Concessão de Integração do Microsoft Dynamics Marketing Online</w:t>
      </w:r>
    </w:p>
    <w:p w:rsidR="00A04495" w:rsidRPr="000A1C8E" w:rsidRDefault="006E28CC" w:rsidP="0004051B">
      <w:pPr>
        <w:ind w:left="720"/>
        <w:rPr>
          <w:rFonts w:cs="Tahoma"/>
        </w:rPr>
      </w:pPr>
      <w:r w:rsidRPr="000A1C8E">
        <w:rPr>
          <w:rFonts w:eastAsia="Calibri" w:cs="Tahoma"/>
          <w:color w:val="000000"/>
          <w:szCs w:val="18"/>
        </w:rPr>
        <w:t xml:space="preserve">A renúncia de licença a seguir pode ser aplicada aos usuários licenciados do Microsoft Dynamics Marketing Online com a opção de Atualização e Suporte de Manutenção ativa ao acessar o serviço Microsoft Dynamics CRM Server 2011 direta ou indiretamente por meio do Software </w:t>
      </w:r>
      <w:r w:rsidRPr="000A1C8E">
        <w:rPr>
          <w:rFonts w:cs="Tahoma"/>
          <w:bCs/>
        </w:rPr>
        <w:t>MarketingPilot Connector para Microsoft Dynamics CRM</w:t>
      </w:r>
      <w:r w:rsidRPr="000A1C8E">
        <w:rPr>
          <w:rFonts w:eastAsia="Calibri" w:cs="Tahoma"/>
          <w:color w:val="000000"/>
          <w:szCs w:val="18"/>
        </w:rPr>
        <w:t xml:space="preserve"> apenas para os fins de sincronização de dados do cliente.</w:t>
      </w:r>
      <w:r w:rsidR="00DC6D8B" w:rsidRPr="000A1C8E">
        <w:rPr>
          <w:rFonts w:eastAsia="Calibri" w:cs="Tahoma"/>
          <w:color w:val="000000"/>
          <w:szCs w:val="18"/>
        </w:rPr>
        <w:t xml:space="preserve"> </w:t>
      </w:r>
      <w:r w:rsidRPr="000A1C8E">
        <w:rPr>
          <w:rFonts w:eastAsia="Calibri" w:cs="Tahoma"/>
          <w:color w:val="000000"/>
          <w:szCs w:val="18"/>
        </w:rPr>
        <w:t>Tais usuários não precisarão de uma CAL do Microsoft Dynamics CRM 2011. Esta renúncia poderá ser aplicada até 30 de junho de 2014. Depois deste período, a Microsoft reserva para si o direito de exigir CALs apropriadas.</w:t>
      </w:r>
    </w:p>
    <w:p w:rsidR="00A04495" w:rsidRPr="000A1C8E" w:rsidRDefault="00A04495" w:rsidP="007B1734">
      <w:pPr>
        <w:rPr>
          <w:rFonts w:cs="Tahoma"/>
        </w:rPr>
      </w:pPr>
    </w:p>
    <w:p w:rsidR="00F1020A" w:rsidRPr="000A1C8E" w:rsidRDefault="00F1020A" w:rsidP="007B1734">
      <w:pPr>
        <w:rPr>
          <w:rFonts w:cs="Tahoma"/>
        </w:rPr>
      </w:pPr>
    </w:p>
    <w:p w:rsidR="00D70D2C" w:rsidRPr="000A1C8E" w:rsidRDefault="00A560B6" w:rsidP="00D70D2C">
      <w:pPr>
        <w:pStyle w:val="Heading2"/>
        <w:ind w:left="0"/>
        <w:rPr>
          <w:rFonts w:ascii="Tahoma" w:hAnsi="Tahoma" w:cs="Tahoma"/>
        </w:rPr>
      </w:pPr>
      <w:bookmarkStart w:id="1425" w:name="_70_68_Office"/>
      <w:bookmarkStart w:id="1426" w:name="_75_Office_365"/>
      <w:bookmarkStart w:id="1427" w:name="_Toc361829419"/>
      <w:bookmarkEnd w:id="1425"/>
      <w:bookmarkEnd w:id="1426"/>
      <w:r w:rsidRPr="000A1C8E">
        <w:rPr>
          <w:rFonts w:ascii="Tahoma" w:hAnsi="Tahoma" w:cs="Tahoma"/>
          <w:caps/>
          <w:color w:val="FF6600"/>
          <w:sz w:val="22"/>
          <w:szCs w:val="22"/>
          <w:vertAlign w:val="superscript"/>
        </w:rPr>
        <w:t>76</w:t>
      </w:r>
      <w:r w:rsidRPr="000A1C8E">
        <w:rPr>
          <w:rFonts w:ascii="Tahoma" w:hAnsi="Tahoma" w:cs="Tahoma"/>
          <w:color w:val="FF6600"/>
        </w:rPr>
        <w:t xml:space="preserve"> </w:t>
      </w:r>
      <w:r w:rsidRPr="000A1C8E">
        <w:rPr>
          <w:rFonts w:ascii="Tahoma" w:hAnsi="Tahoma" w:cs="Tahoma"/>
          <w:color w:val="FF6600"/>
          <w:sz w:val="22"/>
          <w:szCs w:val="22"/>
        </w:rPr>
        <w:t>Office 365 Enterprise E1</w:t>
      </w:r>
      <w:bookmarkEnd w:id="1418"/>
      <w:bookmarkEnd w:id="1427"/>
    </w:p>
    <w:bookmarkEnd w:id="1419"/>
    <w:p w:rsidR="00D70D2C" w:rsidRPr="000A1C8E" w:rsidRDefault="00D70D2C" w:rsidP="006F0E0F">
      <w:pPr>
        <w:ind w:left="900"/>
        <w:rPr>
          <w:rFonts w:cs="Tahoma"/>
        </w:rPr>
      </w:pPr>
    </w:p>
    <w:p w:rsidR="00F754FE" w:rsidRPr="000A1C8E" w:rsidRDefault="00F754FE" w:rsidP="00E62BC4">
      <w:pPr>
        <w:ind w:left="720"/>
        <w:rPr>
          <w:rFonts w:cs="Tahoma"/>
        </w:rPr>
      </w:pPr>
      <w:r w:rsidRPr="000A1C8E">
        <w:rPr>
          <w:rFonts w:cs="Tahoma"/>
          <w:color w:val="000000"/>
          <w:szCs w:val="18"/>
        </w:rPr>
        <w:t>O Office 365 Enterprise E1 era conhecido anteriormente como Business Productivity Online Standard Suite (BPOS Standard). Ele permite acesso ao seguinte: Exchange Online Plano 1, SharePoint Online Plano 1, Lync Online Plano 2, Aplicativos da Web do Office e Yammer Enterprise. Essa lista está sujeita a alterações. Os Direitos de Uso de Produto atuais prevalecerão caso haja conflitos entre os termos da licença do Office 365 Enterprise E1 e esta observação.</w:t>
      </w:r>
    </w:p>
    <w:p w:rsidR="00F754FE" w:rsidRPr="000A1C8E" w:rsidRDefault="00F754FE" w:rsidP="00E62BC4">
      <w:pPr>
        <w:ind w:left="720"/>
        <w:rPr>
          <w:rFonts w:cs="Tahoma"/>
        </w:rPr>
      </w:pPr>
    </w:p>
    <w:p w:rsidR="00A15CF5" w:rsidRPr="000A1C8E" w:rsidRDefault="00F754FE" w:rsidP="004A4885">
      <w:pPr>
        <w:ind w:left="720"/>
        <w:rPr>
          <w:rFonts w:cs="Tahoma"/>
        </w:rPr>
      </w:pPr>
      <w:r w:rsidRPr="000A1C8E">
        <w:rPr>
          <w:rFonts w:cs="Tahoma"/>
          <w:color w:val="000000"/>
          <w:szCs w:val="18"/>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4A4885" w:rsidRPr="000A1C8E">
        <w:rPr>
          <w:rFonts w:cs="Tahoma"/>
          <w:color w:val="000000"/>
          <w:szCs w:val="18"/>
        </w:rPr>
        <w:t> </w:t>
      </w:r>
      <w:r w:rsidRPr="000A1C8E">
        <w:rPr>
          <w:rFonts w:cs="Tahoma"/>
          <w:color w:val="000000"/>
          <w:szCs w:val="18"/>
        </w:rPr>
        <w:t>Lync for Mac 2011 a nenhum custo com cada licença de assinatura de teste ou paga do Lync Online. O</w:t>
      </w:r>
      <w:r w:rsidR="004A4885" w:rsidRPr="000A1C8E">
        <w:rPr>
          <w:rFonts w:cs="Tahoma"/>
          <w:color w:val="000000"/>
          <w:szCs w:val="18"/>
        </w:rPr>
        <w:t> </w:t>
      </w:r>
      <w:r w:rsidRPr="000A1C8E">
        <w:rPr>
          <w:rFonts w:cs="Tahoma"/>
          <w:color w:val="000000"/>
          <w:szCs w:val="18"/>
        </w:rPr>
        <w:t>software só poderá ser usado com o Lync Online, e todos os direitos de uso do software se encerrarão ao</w:t>
      </w:r>
      <w:r w:rsidR="004A4885" w:rsidRPr="000A1C8E">
        <w:rPr>
          <w:rFonts w:cs="Tahoma"/>
          <w:color w:val="000000"/>
          <w:szCs w:val="18"/>
        </w:rPr>
        <w:t> </w:t>
      </w:r>
      <w:r w:rsidRPr="000A1C8E">
        <w:rPr>
          <w:rFonts w:cs="Tahoma"/>
          <w:color w:val="000000"/>
          <w:szCs w:val="18"/>
        </w:rPr>
        <w:t>término da licença de assinatura básica ou da migração para a próxima nova versão principal do Lync Online, o que ocorrer primeiro.</w:t>
      </w:r>
      <w:r w:rsidR="00DC6D8B" w:rsidRPr="000A1C8E">
        <w:rPr>
          <w:rFonts w:cs="Tahoma"/>
          <w:color w:val="000000"/>
          <w:szCs w:val="18"/>
        </w:rPr>
        <w:t xml:space="preserve"> </w:t>
      </w:r>
      <w:r w:rsidRPr="000A1C8E">
        <w:rPr>
          <w:rFonts w:cs="Tahoma"/>
          <w:color w:val="000000"/>
          <w:szCs w:val="18"/>
        </w:rPr>
        <w:t xml:space="preserve">Os clientes podem usar o cliente gratuito Lync Basic 2013 para seus usuários finais com base em Windows. </w:t>
      </w:r>
    </w:p>
    <w:p w:rsidR="00BE7AC3" w:rsidRPr="000A1C8E" w:rsidRDefault="00BE7AC3" w:rsidP="00BA1490">
      <w:pPr>
        <w:ind w:left="720"/>
        <w:rPr>
          <w:rFonts w:cs="Tahoma"/>
        </w:rPr>
      </w:pPr>
      <w:bookmarkStart w:id="1428" w:name="_71_Office_365"/>
      <w:bookmarkEnd w:id="1428"/>
    </w:p>
    <w:p w:rsidR="00F1020A" w:rsidRPr="000A1C8E" w:rsidRDefault="00F1020A" w:rsidP="00BA1490">
      <w:pPr>
        <w:ind w:left="720"/>
        <w:rPr>
          <w:rFonts w:cs="Tahoma"/>
        </w:rPr>
      </w:pPr>
    </w:p>
    <w:p w:rsidR="00BE7AC3" w:rsidRPr="000A1C8E" w:rsidRDefault="00A560B6" w:rsidP="00BE7AC3">
      <w:pPr>
        <w:pStyle w:val="Heading2"/>
        <w:ind w:left="0"/>
        <w:rPr>
          <w:rFonts w:ascii="Tahoma" w:hAnsi="Tahoma" w:cs="Tahoma"/>
        </w:rPr>
      </w:pPr>
      <w:bookmarkStart w:id="1429" w:name="_69_Office_365_1"/>
      <w:bookmarkStart w:id="1430" w:name="_76_Office_365"/>
      <w:bookmarkStart w:id="1431" w:name="_Toc361829420"/>
      <w:bookmarkEnd w:id="1429"/>
      <w:bookmarkEnd w:id="1430"/>
      <w:r w:rsidRPr="000A1C8E">
        <w:rPr>
          <w:rFonts w:ascii="Tahoma" w:hAnsi="Tahoma" w:cs="Tahoma"/>
          <w:caps/>
          <w:color w:val="F66400"/>
          <w:sz w:val="22"/>
          <w:szCs w:val="20"/>
          <w:vertAlign w:val="superscript"/>
        </w:rPr>
        <w:t xml:space="preserve">77 </w:t>
      </w:r>
      <w:r w:rsidRPr="000A1C8E">
        <w:rPr>
          <w:rFonts w:ascii="Tahoma" w:hAnsi="Tahoma" w:cs="Tahoma"/>
          <w:color w:val="FF6600"/>
          <w:sz w:val="22"/>
          <w:szCs w:val="22"/>
        </w:rPr>
        <w:t>Office 365 Enterprise K1 e K2 (SL de Usuário)</w:t>
      </w:r>
      <w:bookmarkEnd w:id="1431"/>
    </w:p>
    <w:p w:rsidR="00BE7AC3" w:rsidRPr="000A1C8E" w:rsidRDefault="00BE7AC3" w:rsidP="00BE7AC3">
      <w:pPr>
        <w:ind w:left="720"/>
        <w:rPr>
          <w:rFonts w:cs="Tahoma"/>
        </w:rPr>
      </w:pPr>
    </w:p>
    <w:p w:rsidR="00BE7AC3" w:rsidRPr="000A1C8E" w:rsidRDefault="00BE7AC3" w:rsidP="00BE7AC3">
      <w:pPr>
        <w:ind w:left="720"/>
        <w:rPr>
          <w:rFonts w:cs="Tahoma"/>
        </w:rPr>
      </w:pPr>
      <w:r w:rsidRPr="000A1C8E">
        <w:rPr>
          <w:rFonts w:cs="Tahoma"/>
          <w:color w:val="000000"/>
          <w:szCs w:val="18"/>
        </w:rPr>
        <w:t>Não obstante quaisquer disposições em contrário nos contratos de licença dos clientes, entre os usuários qualificados não estão incluídos os usuários licenciados para o Quiosque do Exchange Online, Quiosque do SharePoint Online nem para o Office 365 Enterprise K1 e K2</w:t>
      </w:r>
    </w:p>
    <w:p w:rsidR="00BE7AC3" w:rsidRPr="000A1C8E" w:rsidRDefault="00BE7AC3" w:rsidP="00BE7AC3">
      <w:pPr>
        <w:ind w:left="720"/>
        <w:rPr>
          <w:rFonts w:cs="Tahoma"/>
        </w:rPr>
      </w:pPr>
    </w:p>
    <w:p w:rsidR="00BE7AC3" w:rsidRPr="000A1C8E" w:rsidRDefault="00BE7AC3" w:rsidP="004A4885">
      <w:pPr>
        <w:ind w:left="720"/>
        <w:rPr>
          <w:rFonts w:cs="Tahoma"/>
        </w:rPr>
      </w:pPr>
      <w:r w:rsidRPr="000A1C8E">
        <w:rPr>
          <w:rFonts w:cs="Tahoma"/>
          <w:color w:val="000000"/>
          <w:szCs w:val="18"/>
        </w:rPr>
        <w:t>O Office 365 Enterprise K1 era conhecido anteriormente como Business Productivity Online Deskless Suite (BPOS Deskless).</w:t>
      </w:r>
      <w:r w:rsidR="00DC6D8B" w:rsidRPr="000A1C8E">
        <w:rPr>
          <w:rFonts w:cs="Tahoma"/>
          <w:color w:val="000000"/>
          <w:szCs w:val="18"/>
        </w:rPr>
        <w:t xml:space="preserve"> </w:t>
      </w:r>
      <w:r w:rsidRPr="000A1C8E">
        <w:rPr>
          <w:rFonts w:cs="Tahoma"/>
          <w:color w:val="000000"/>
          <w:szCs w:val="18"/>
        </w:rPr>
        <w:t>Os clientes no Brasil e no Chile que comprarem o Office 365 Enterprise K1 receberão o</w:t>
      </w:r>
      <w:r w:rsidR="004A4885" w:rsidRPr="000A1C8E">
        <w:rPr>
          <w:rFonts w:cs="Tahoma"/>
          <w:color w:val="000000"/>
          <w:szCs w:val="18"/>
        </w:rPr>
        <w:t> </w:t>
      </w:r>
      <w:r w:rsidRPr="000A1C8E">
        <w:rPr>
          <w:rFonts w:cs="Tahoma"/>
          <w:color w:val="000000"/>
          <w:szCs w:val="18"/>
        </w:rPr>
        <w:t>BPOS Deskless.</w:t>
      </w:r>
      <w:r w:rsidR="00DC6D8B" w:rsidRPr="000A1C8E">
        <w:rPr>
          <w:rFonts w:cs="Tahoma"/>
          <w:color w:val="000000"/>
          <w:szCs w:val="18"/>
        </w:rPr>
        <w:t xml:space="preserve"> </w:t>
      </w:r>
      <w:r w:rsidRPr="000A1C8E">
        <w:rPr>
          <w:rFonts w:cs="Tahoma"/>
          <w:color w:val="000000"/>
          <w:szCs w:val="18"/>
        </w:rPr>
        <w:t>Esses clientes poderão migrar para o Office 365 Enterprise K1 posteriormente.</w:t>
      </w:r>
    </w:p>
    <w:p w:rsidR="00D57009" w:rsidRPr="000A1C8E" w:rsidRDefault="00D57009">
      <w:pPr>
        <w:rPr>
          <w:rFonts w:cs="Tahoma"/>
        </w:rPr>
      </w:pPr>
    </w:p>
    <w:p w:rsidR="00BE7AC3" w:rsidRPr="000A1C8E" w:rsidRDefault="00BE7AC3" w:rsidP="00BE7AC3">
      <w:pPr>
        <w:spacing w:after="60"/>
        <w:ind w:left="720"/>
        <w:rPr>
          <w:rFonts w:cs="Tahoma"/>
        </w:rPr>
      </w:pPr>
      <w:r w:rsidRPr="000A1C8E">
        <w:rPr>
          <w:rFonts w:eastAsia="Calibri" w:cs="Tahoma"/>
          <w:b/>
          <w:color w:val="000000"/>
          <w:szCs w:val="18"/>
        </w:rPr>
        <w:t>Nuvem da Comunidade do Governo (Apenas para os Estados Unidos)</w:t>
      </w:r>
    </w:p>
    <w:p w:rsidR="00BE7AC3" w:rsidRPr="000A1C8E" w:rsidRDefault="00BE7AC3" w:rsidP="00BE7AC3">
      <w:pPr>
        <w:ind w:left="720"/>
        <w:rPr>
          <w:rFonts w:cs="Tahoma"/>
        </w:rPr>
      </w:pPr>
      <w:r w:rsidRPr="000A1C8E">
        <w:rPr>
          <w:rFonts w:eastAsia="Calibri" w:cs="Tahoma"/>
          <w:color w:val="000000"/>
          <w:szCs w:val="18"/>
        </w:rPr>
        <w:t>Alguns serviços online na família de produtos do Office 365 (incluindo Office 365 Enterprise K1 e K2) são oferecidos como serviços de nuvem da comunidade do governo e serviços de nuvem da comunidade não governamental.</w:t>
      </w:r>
      <w:r w:rsidR="00DC6D8B" w:rsidRPr="000A1C8E">
        <w:rPr>
          <w:rFonts w:eastAsia="Calibri" w:cs="Tahoma"/>
          <w:color w:val="000000"/>
          <w:szCs w:val="18"/>
        </w:rPr>
        <w:t xml:space="preserve"> </w:t>
      </w:r>
      <w:r w:rsidRPr="000A1C8E">
        <w:rPr>
          <w:rFonts w:eastAsia="Calibri" w:cs="Tahoma"/>
          <w:color w:val="000000"/>
          <w:szCs w:val="18"/>
        </w:rPr>
        <w:t>Os clientes podem ser provisionados como um ou outro, mas não com uma mistura dos dois.</w:t>
      </w:r>
      <w:r w:rsidR="00DC6D8B" w:rsidRPr="000A1C8E">
        <w:rPr>
          <w:rFonts w:eastAsia="Calibri" w:cs="Tahoma"/>
          <w:color w:val="000000"/>
          <w:szCs w:val="18"/>
        </w:rPr>
        <w:t xml:space="preserve"> </w:t>
      </w:r>
      <w:r w:rsidRPr="000A1C8E">
        <w:rPr>
          <w:rFonts w:eastAsia="Calibri" w:cs="Tahoma"/>
          <w:color w:val="000000"/>
          <w:szCs w:val="18"/>
        </w:rPr>
        <w:t>Os Serviços Online projetados como nuvem de comunidade do governo não podem ser implantados no mesmo domínio que os serviços de nuvem da comunidade não governamental específicos.</w:t>
      </w:r>
      <w:r w:rsidR="00DC6D8B" w:rsidRPr="000A1C8E">
        <w:rPr>
          <w:rFonts w:eastAsia="Calibri" w:cs="Tahoma"/>
          <w:color w:val="000000"/>
          <w:szCs w:val="18"/>
        </w:rPr>
        <w:t xml:space="preserve"> </w:t>
      </w:r>
      <w:r w:rsidRPr="000A1C8E">
        <w:rPr>
          <w:rFonts w:eastAsia="Calibri" w:cs="Tahoma"/>
          <w:color w:val="000000"/>
          <w:szCs w:val="18"/>
        </w:rPr>
        <w:t>Esta limitação se estende a qualquer serviço online que faça parte da família de produtos do Office 365, incluindo Exchange Online, SharePoint Online e Lync Online.</w:t>
      </w:r>
      <w:r w:rsidR="00DC6D8B" w:rsidRPr="000A1C8E">
        <w:rPr>
          <w:rFonts w:eastAsia="Calibri" w:cs="Tahoma"/>
          <w:color w:val="000000"/>
          <w:szCs w:val="18"/>
        </w:rPr>
        <w:t xml:space="preserve"> </w:t>
      </w:r>
    </w:p>
    <w:p w:rsidR="00BE7AC3" w:rsidRPr="000A1C8E" w:rsidRDefault="00BE7AC3" w:rsidP="00BE7AC3">
      <w:pPr>
        <w:ind w:left="720"/>
        <w:rPr>
          <w:rFonts w:cs="Tahoma"/>
        </w:rPr>
      </w:pPr>
    </w:p>
    <w:p w:rsidR="00BE7AC3" w:rsidRPr="000A1C8E" w:rsidRDefault="00BE7AC3" w:rsidP="00F051AB">
      <w:pPr>
        <w:ind w:left="720"/>
        <w:rPr>
          <w:rFonts w:cs="Tahoma"/>
        </w:rPr>
      </w:pPr>
      <w:r w:rsidRPr="000A1C8E">
        <w:rPr>
          <w:rFonts w:eastAsia="Calibri" w:cs="Tahoma"/>
          <w:color w:val="000000"/>
          <w:szCs w:val="18"/>
        </w:rPr>
        <w:t>Assim que um serviço online é provisionado na nuvem de comunidade do governo, ele permanecerá lá pela duração da vigência da assinatura.</w:t>
      </w:r>
      <w:r w:rsidR="00DC6D8B" w:rsidRPr="000A1C8E">
        <w:rPr>
          <w:rFonts w:eastAsia="Calibri" w:cs="Tahoma"/>
          <w:color w:val="000000"/>
          <w:szCs w:val="18"/>
        </w:rPr>
        <w:t xml:space="preserve"> </w:t>
      </w:r>
      <w:r w:rsidRPr="000A1C8E">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C6D8B" w:rsidRPr="000A1C8E">
        <w:rPr>
          <w:rFonts w:eastAsia="Calibri" w:cs="Tahoma"/>
          <w:color w:val="000000"/>
          <w:szCs w:val="18"/>
        </w:rPr>
        <w:t xml:space="preserve"> </w:t>
      </w:r>
      <w:r w:rsidRPr="000A1C8E">
        <w:rPr>
          <w:rFonts w:eastAsia="Calibri" w:cs="Tahoma"/>
          <w:color w:val="000000"/>
          <w:szCs w:val="18"/>
        </w:rPr>
        <w:t>Os Direitos de Uso para serviços de nuvem da comunidade do governo</w:t>
      </w:r>
      <w:r w:rsidR="00F051AB" w:rsidRPr="000A1C8E">
        <w:rPr>
          <w:rFonts w:eastAsia="Calibri" w:cs="Tahoma"/>
          <w:color w:val="000000"/>
          <w:szCs w:val="18"/>
        </w:rPr>
        <w:t> </w:t>
      </w:r>
      <w:r w:rsidRPr="000A1C8E">
        <w:rPr>
          <w:rFonts w:eastAsia="Calibri" w:cs="Tahoma"/>
          <w:color w:val="000000"/>
          <w:szCs w:val="18"/>
        </w:rPr>
        <w:t>são equivalentes àqueles dos seus diversos locatários padrão.</w:t>
      </w:r>
    </w:p>
    <w:p w:rsidR="00BE7AC3" w:rsidRPr="000A1C8E" w:rsidRDefault="00BE7AC3" w:rsidP="00BA1490">
      <w:pPr>
        <w:ind w:left="720"/>
        <w:rPr>
          <w:rFonts w:cs="Tahoma"/>
        </w:rPr>
      </w:pPr>
    </w:p>
    <w:p w:rsidR="00F1020A" w:rsidRPr="000A1C8E" w:rsidRDefault="00F1020A" w:rsidP="00BA1490">
      <w:pPr>
        <w:ind w:left="720"/>
        <w:rPr>
          <w:rFonts w:cs="Tahoma"/>
        </w:rPr>
      </w:pPr>
    </w:p>
    <w:p w:rsidR="00A83600" w:rsidRPr="000A1C8E" w:rsidRDefault="00A560B6" w:rsidP="00A83600">
      <w:pPr>
        <w:pStyle w:val="Heading2"/>
        <w:ind w:left="0"/>
        <w:rPr>
          <w:rFonts w:ascii="Tahoma" w:hAnsi="Tahoma" w:cs="Tahoma"/>
        </w:rPr>
      </w:pPr>
      <w:bookmarkStart w:id="1432" w:name="_70_Office_365"/>
      <w:bookmarkStart w:id="1433" w:name="_77_Office_365"/>
      <w:bookmarkStart w:id="1434" w:name="_78_Office_365"/>
      <w:bookmarkStart w:id="1435" w:name="_Toc336338330"/>
      <w:bookmarkStart w:id="1436" w:name="_Toc361829421"/>
      <w:bookmarkStart w:id="1437" w:name="Srv_73Office365PlanG2toG4"/>
      <w:bookmarkEnd w:id="1432"/>
      <w:bookmarkEnd w:id="1433"/>
      <w:bookmarkEnd w:id="1434"/>
      <w:r w:rsidRPr="000A1C8E">
        <w:rPr>
          <w:rFonts w:ascii="Tahoma" w:hAnsi="Tahoma" w:cs="Tahoma"/>
          <w:caps/>
          <w:color w:val="FF6600"/>
          <w:sz w:val="22"/>
          <w:szCs w:val="22"/>
          <w:vertAlign w:val="superscript"/>
        </w:rPr>
        <w:lastRenderedPageBreak/>
        <w:t>78</w:t>
      </w:r>
      <w:r w:rsidRPr="000A1C8E">
        <w:rPr>
          <w:rFonts w:ascii="Tahoma" w:hAnsi="Tahoma" w:cs="Tahoma"/>
          <w:color w:val="FF6600"/>
        </w:rPr>
        <w:t xml:space="preserve"> </w:t>
      </w:r>
      <w:r w:rsidRPr="000A1C8E">
        <w:rPr>
          <w:rFonts w:ascii="Tahoma" w:hAnsi="Tahoma" w:cs="Tahoma"/>
          <w:color w:val="FF6600"/>
          <w:sz w:val="22"/>
          <w:szCs w:val="22"/>
        </w:rPr>
        <w:t>Office 365 Government G1-G4</w:t>
      </w:r>
      <w:bookmarkEnd w:id="1435"/>
      <w:bookmarkEnd w:id="1436"/>
    </w:p>
    <w:p w:rsidR="00A83600" w:rsidRPr="000A1C8E" w:rsidRDefault="00A83600" w:rsidP="00A83600">
      <w:pPr>
        <w:rPr>
          <w:rFonts w:cs="Tahoma"/>
        </w:rPr>
      </w:pPr>
    </w:p>
    <w:bookmarkEnd w:id="1437"/>
    <w:p w:rsidR="00A83600" w:rsidRPr="000A1C8E" w:rsidRDefault="00A83600" w:rsidP="00E62BC4">
      <w:pPr>
        <w:ind w:left="720"/>
        <w:rPr>
          <w:rFonts w:cs="Tahoma"/>
        </w:rPr>
      </w:pPr>
      <w:r w:rsidRPr="000A1C8E">
        <w:rPr>
          <w:rFonts w:cs="Tahoma"/>
          <w:color w:val="000000"/>
        </w:rPr>
        <w:t>O Office 365 Government G1-G4 permite acesso aos seguintes Serviços Online:</w:t>
      </w:r>
    </w:p>
    <w:p w:rsidR="00A83600" w:rsidRPr="000A1C8E" w:rsidRDefault="00A83600" w:rsidP="00A83600">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221"/>
        <w:gridCol w:w="2069"/>
      </w:tblGrid>
      <w:tr w:rsidR="00A83600" w:rsidRPr="000A1C8E" w:rsidTr="00630ED6">
        <w:tc>
          <w:tcPr>
            <w:tcW w:w="2047" w:type="dxa"/>
            <w:shd w:val="clear" w:color="auto" w:fill="FABF8F"/>
          </w:tcPr>
          <w:p w:rsidR="00A83600" w:rsidRPr="000A1C8E" w:rsidRDefault="00A83600" w:rsidP="0050116B">
            <w:pPr>
              <w:keepNext/>
              <w:keepLines/>
              <w:jc w:val="center"/>
              <w:rPr>
                <w:rFonts w:eastAsia="Calibri" w:cs="Tahoma"/>
                <w:b/>
                <w:color w:val="000000"/>
                <w:sz w:val="20"/>
              </w:rPr>
            </w:pPr>
            <w:r w:rsidRPr="000A1C8E">
              <w:rPr>
                <w:rFonts w:eastAsia="Calibri" w:cs="Tahoma"/>
                <w:b/>
                <w:color w:val="000000"/>
                <w:sz w:val="20"/>
              </w:rPr>
              <w:t>Office 365 Government G1</w:t>
            </w:r>
          </w:p>
        </w:tc>
        <w:tc>
          <w:tcPr>
            <w:tcW w:w="2135" w:type="dxa"/>
            <w:shd w:val="clear" w:color="auto" w:fill="FABF8F"/>
          </w:tcPr>
          <w:p w:rsidR="00A83600" w:rsidRPr="000A1C8E" w:rsidRDefault="00A83600" w:rsidP="0050116B">
            <w:pPr>
              <w:keepNext/>
              <w:keepLines/>
              <w:jc w:val="center"/>
              <w:rPr>
                <w:rFonts w:eastAsia="Calibri" w:cs="Tahoma"/>
                <w:b/>
                <w:color w:val="000000"/>
                <w:sz w:val="20"/>
              </w:rPr>
            </w:pPr>
            <w:r w:rsidRPr="000A1C8E">
              <w:rPr>
                <w:rFonts w:eastAsia="Calibri" w:cs="Tahoma"/>
                <w:b/>
                <w:color w:val="000000"/>
                <w:sz w:val="20"/>
              </w:rPr>
              <w:t>Office 365 Government G2</w:t>
            </w:r>
          </w:p>
        </w:tc>
        <w:tc>
          <w:tcPr>
            <w:tcW w:w="2221" w:type="dxa"/>
            <w:shd w:val="clear" w:color="auto" w:fill="FABF8F"/>
          </w:tcPr>
          <w:p w:rsidR="00A83600" w:rsidRPr="000A1C8E" w:rsidRDefault="00A83600" w:rsidP="0050116B">
            <w:pPr>
              <w:keepNext/>
              <w:keepLines/>
              <w:jc w:val="center"/>
              <w:rPr>
                <w:rFonts w:eastAsia="Calibri" w:cs="Tahoma"/>
                <w:b/>
                <w:color w:val="000000"/>
                <w:sz w:val="20"/>
              </w:rPr>
            </w:pPr>
            <w:r w:rsidRPr="000A1C8E">
              <w:rPr>
                <w:rFonts w:eastAsia="Calibri" w:cs="Tahoma"/>
                <w:b/>
                <w:color w:val="000000"/>
                <w:sz w:val="20"/>
              </w:rPr>
              <w:t>Office 365 Government G3</w:t>
            </w:r>
          </w:p>
        </w:tc>
        <w:tc>
          <w:tcPr>
            <w:tcW w:w="2069" w:type="dxa"/>
            <w:shd w:val="clear" w:color="auto" w:fill="FABF8F"/>
          </w:tcPr>
          <w:p w:rsidR="00A83600" w:rsidRPr="000A1C8E" w:rsidRDefault="00A83600" w:rsidP="0050116B">
            <w:pPr>
              <w:keepNext/>
              <w:keepLines/>
              <w:jc w:val="center"/>
              <w:rPr>
                <w:rFonts w:eastAsia="Calibri" w:cs="Tahoma"/>
                <w:b/>
                <w:color w:val="000000"/>
                <w:sz w:val="20"/>
              </w:rPr>
            </w:pPr>
            <w:r w:rsidRPr="000A1C8E">
              <w:rPr>
                <w:rFonts w:eastAsia="Calibri" w:cs="Tahoma"/>
                <w:b/>
                <w:color w:val="000000"/>
                <w:sz w:val="20"/>
              </w:rPr>
              <w:t>Office 365 Government G4</w:t>
            </w:r>
          </w:p>
        </w:tc>
      </w:tr>
      <w:tr w:rsidR="00A83600" w:rsidRPr="000A1C8E" w:rsidTr="00630ED6">
        <w:tc>
          <w:tcPr>
            <w:tcW w:w="2047" w:type="dxa"/>
          </w:tcPr>
          <w:p w:rsidR="00A83600" w:rsidRPr="000A1C8E" w:rsidRDefault="00A83600" w:rsidP="00C066F9">
            <w:pPr>
              <w:keepNext/>
              <w:keepLines/>
              <w:ind w:left="180" w:right="186"/>
              <w:rPr>
                <w:rFonts w:eastAsia="Calibri" w:cs="Tahoma"/>
                <w:color w:val="000000"/>
              </w:rPr>
            </w:pPr>
            <w:r w:rsidRPr="000A1C8E">
              <w:rPr>
                <w:rFonts w:eastAsia="Calibri" w:cs="Tahoma"/>
                <w:color w:val="000000"/>
              </w:rPr>
              <w:t>Exchange Online Plano 1</w:t>
            </w:r>
          </w:p>
        </w:tc>
        <w:tc>
          <w:tcPr>
            <w:tcW w:w="2135" w:type="dxa"/>
            <w:shd w:val="clear" w:color="auto" w:fill="auto"/>
          </w:tcPr>
          <w:p w:rsidR="00A83600" w:rsidRPr="000A1C8E" w:rsidRDefault="00A83600" w:rsidP="00C066F9">
            <w:pPr>
              <w:keepNext/>
              <w:keepLines/>
              <w:ind w:left="180" w:right="186"/>
              <w:rPr>
                <w:rFonts w:eastAsia="Calibri" w:cs="Tahoma"/>
                <w:color w:val="000000"/>
              </w:rPr>
            </w:pPr>
            <w:r w:rsidRPr="000A1C8E">
              <w:rPr>
                <w:rFonts w:eastAsia="Calibri" w:cs="Tahoma"/>
                <w:color w:val="000000"/>
              </w:rPr>
              <w:t>Exchange Online Plano 1</w:t>
            </w:r>
          </w:p>
        </w:tc>
        <w:tc>
          <w:tcPr>
            <w:tcW w:w="2221" w:type="dxa"/>
            <w:shd w:val="clear" w:color="auto" w:fill="auto"/>
          </w:tcPr>
          <w:p w:rsidR="00A83600" w:rsidRPr="000A1C8E" w:rsidRDefault="00A83600" w:rsidP="00C066F9">
            <w:pPr>
              <w:keepNext/>
              <w:keepLines/>
              <w:ind w:left="138" w:right="138"/>
              <w:rPr>
                <w:rFonts w:eastAsia="Calibri" w:cs="Tahoma"/>
                <w:color w:val="000000"/>
              </w:rPr>
            </w:pPr>
            <w:r w:rsidRPr="000A1C8E">
              <w:rPr>
                <w:rFonts w:eastAsia="Calibri" w:cs="Tahoma"/>
                <w:color w:val="000000"/>
              </w:rPr>
              <w:t xml:space="preserve">Exchange Online Plano 2 </w:t>
            </w:r>
          </w:p>
        </w:tc>
        <w:tc>
          <w:tcPr>
            <w:tcW w:w="2069" w:type="dxa"/>
            <w:shd w:val="clear" w:color="auto" w:fill="auto"/>
          </w:tcPr>
          <w:p w:rsidR="00A83600" w:rsidRPr="000A1C8E" w:rsidRDefault="00A83600" w:rsidP="00C066F9">
            <w:pPr>
              <w:keepNext/>
              <w:keepLines/>
              <w:ind w:left="186" w:right="180"/>
              <w:rPr>
                <w:rFonts w:eastAsia="Calibri" w:cs="Tahoma"/>
                <w:color w:val="000000"/>
              </w:rPr>
            </w:pPr>
            <w:r w:rsidRPr="000A1C8E">
              <w:rPr>
                <w:rFonts w:eastAsia="Calibri" w:cs="Tahoma"/>
                <w:color w:val="000000"/>
              </w:rPr>
              <w:t>Exchange Online Plano 2</w:t>
            </w:r>
          </w:p>
        </w:tc>
      </w:tr>
      <w:tr w:rsidR="00A83600" w:rsidRPr="000A1C8E" w:rsidTr="00630ED6">
        <w:tc>
          <w:tcPr>
            <w:tcW w:w="2047" w:type="dxa"/>
          </w:tcPr>
          <w:p w:rsidR="00A83600" w:rsidRPr="000A1C8E" w:rsidRDefault="00A83600" w:rsidP="00C066F9">
            <w:pPr>
              <w:keepNext/>
              <w:keepLines/>
              <w:ind w:left="180" w:right="186"/>
              <w:rPr>
                <w:rFonts w:eastAsia="Calibri" w:cs="Tahoma"/>
                <w:color w:val="000000"/>
              </w:rPr>
            </w:pPr>
            <w:r w:rsidRPr="000A1C8E">
              <w:rPr>
                <w:rFonts w:eastAsia="Calibri" w:cs="Tahoma"/>
                <w:color w:val="000000"/>
              </w:rPr>
              <w:t>SharePoint Online Plano 1</w:t>
            </w:r>
          </w:p>
        </w:tc>
        <w:tc>
          <w:tcPr>
            <w:tcW w:w="2135" w:type="dxa"/>
            <w:shd w:val="clear" w:color="auto" w:fill="auto"/>
          </w:tcPr>
          <w:p w:rsidR="00A83600" w:rsidRPr="000A1C8E" w:rsidRDefault="00A83600" w:rsidP="00C066F9">
            <w:pPr>
              <w:keepNext/>
              <w:keepLines/>
              <w:ind w:left="180" w:right="186"/>
              <w:rPr>
                <w:rFonts w:eastAsia="Calibri" w:cs="Tahoma"/>
                <w:color w:val="000000"/>
              </w:rPr>
            </w:pPr>
            <w:r w:rsidRPr="000A1C8E">
              <w:rPr>
                <w:rFonts w:eastAsia="Calibri" w:cs="Tahoma"/>
                <w:color w:val="000000"/>
              </w:rPr>
              <w:t>SharePoint Online Plano 1</w:t>
            </w:r>
          </w:p>
        </w:tc>
        <w:tc>
          <w:tcPr>
            <w:tcW w:w="2221" w:type="dxa"/>
            <w:shd w:val="clear" w:color="auto" w:fill="auto"/>
          </w:tcPr>
          <w:p w:rsidR="00A83600" w:rsidRPr="000A1C8E" w:rsidRDefault="00A83600" w:rsidP="00C066F9">
            <w:pPr>
              <w:keepNext/>
              <w:keepLines/>
              <w:ind w:left="138" w:right="138"/>
              <w:rPr>
                <w:rFonts w:eastAsia="Calibri" w:cs="Tahoma"/>
                <w:color w:val="000000"/>
              </w:rPr>
            </w:pPr>
            <w:r w:rsidRPr="000A1C8E">
              <w:rPr>
                <w:rFonts w:eastAsia="Calibri" w:cs="Tahoma"/>
                <w:color w:val="000000"/>
              </w:rPr>
              <w:t>SharePoint Online Plano 2</w:t>
            </w:r>
          </w:p>
        </w:tc>
        <w:tc>
          <w:tcPr>
            <w:tcW w:w="2069" w:type="dxa"/>
            <w:shd w:val="clear" w:color="auto" w:fill="auto"/>
          </w:tcPr>
          <w:p w:rsidR="00A83600" w:rsidRPr="000A1C8E" w:rsidRDefault="00A83600" w:rsidP="00C066F9">
            <w:pPr>
              <w:keepNext/>
              <w:keepLines/>
              <w:ind w:left="186" w:right="180"/>
              <w:rPr>
                <w:rFonts w:eastAsia="Calibri" w:cs="Tahoma"/>
                <w:color w:val="000000"/>
              </w:rPr>
            </w:pPr>
            <w:r w:rsidRPr="000A1C8E">
              <w:rPr>
                <w:rFonts w:eastAsia="Calibri" w:cs="Tahoma"/>
                <w:color w:val="000000"/>
              </w:rPr>
              <w:t>SharePoint Online Plano 2</w:t>
            </w:r>
          </w:p>
        </w:tc>
      </w:tr>
      <w:tr w:rsidR="00A83600" w:rsidRPr="000A1C8E" w:rsidTr="00630ED6">
        <w:tc>
          <w:tcPr>
            <w:tcW w:w="2047" w:type="dxa"/>
          </w:tcPr>
          <w:p w:rsidR="00A83600" w:rsidRPr="000A1C8E" w:rsidRDefault="00A83600" w:rsidP="00F051AB">
            <w:pPr>
              <w:keepNext/>
              <w:keepLines/>
              <w:ind w:left="180" w:right="186"/>
              <w:rPr>
                <w:rFonts w:eastAsia="Calibri" w:cs="Tahoma"/>
                <w:color w:val="000000"/>
              </w:rPr>
            </w:pPr>
            <w:r w:rsidRPr="000A1C8E">
              <w:rPr>
                <w:rFonts w:eastAsia="Calibri" w:cs="Tahoma"/>
                <w:color w:val="000000"/>
              </w:rPr>
              <w:t>Lync Online Plano</w:t>
            </w:r>
            <w:r w:rsidR="00F051AB" w:rsidRPr="000A1C8E">
              <w:rPr>
                <w:rFonts w:eastAsia="Calibri" w:cs="Tahoma"/>
                <w:color w:val="000000"/>
              </w:rPr>
              <w:t> </w:t>
            </w:r>
            <w:r w:rsidRPr="000A1C8E">
              <w:rPr>
                <w:rFonts w:eastAsia="Calibri" w:cs="Tahoma"/>
                <w:color w:val="000000"/>
              </w:rPr>
              <w:t>2</w:t>
            </w:r>
          </w:p>
        </w:tc>
        <w:tc>
          <w:tcPr>
            <w:tcW w:w="2135" w:type="dxa"/>
            <w:shd w:val="clear" w:color="auto" w:fill="auto"/>
          </w:tcPr>
          <w:p w:rsidR="00A83600" w:rsidRPr="000A1C8E" w:rsidRDefault="00A83600" w:rsidP="00F051AB">
            <w:pPr>
              <w:keepNext/>
              <w:keepLines/>
              <w:ind w:left="180" w:right="186"/>
              <w:rPr>
                <w:rFonts w:eastAsia="Calibri" w:cs="Tahoma"/>
                <w:color w:val="000000"/>
              </w:rPr>
            </w:pPr>
            <w:r w:rsidRPr="000A1C8E">
              <w:rPr>
                <w:rFonts w:eastAsia="Calibri" w:cs="Tahoma"/>
                <w:color w:val="000000"/>
              </w:rPr>
              <w:t>Lync Online Plano</w:t>
            </w:r>
            <w:r w:rsidR="00F051AB" w:rsidRPr="000A1C8E">
              <w:rPr>
                <w:rFonts w:eastAsia="Calibri" w:cs="Tahoma"/>
                <w:color w:val="000000"/>
              </w:rPr>
              <w:t> </w:t>
            </w:r>
            <w:r w:rsidRPr="000A1C8E">
              <w:rPr>
                <w:rFonts w:eastAsia="Calibri" w:cs="Tahoma"/>
                <w:color w:val="000000"/>
              </w:rPr>
              <w:t>2</w:t>
            </w:r>
          </w:p>
        </w:tc>
        <w:tc>
          <w:tcPr>
            <w:tcW w:w="2221" w:type="dxa"/>
            <w:shd w:val="clear" w:color="auto" w:fill="auto"/>
          </w:tcPr>
          <w:p w:rsidR="00A83600" w:rsidRPr="000A1C8E" w:rsidRDefault="00A83600" w:rsidP="00C066F9">
            <w:pPr>
              <w:keepNext/>
              <w:keepLines/>
              <w:ind w:left="138" w:right="138"/>
              <w:rPr>
                <w:rFonts w:eastAsia="Calibri" w:cs="Tahoma"/>
                <w:color w:val="000000"/>
              </w:rPr>
            </w:pPr>
            <w:r w:rsidRPr="000A1C8E">
              <w:rPr>
                <w:rFonts w:eastAsia="Calibri" w:cs="Tahoma"/>
                <w:color w:val="000000"/>
              </w:rPr>
              <w:t>Lync Online Plano 2</w:t>
            </w:r>
          </w:p>
        </w:tc>
        <w:tc>
          <w:tcPr>
            <w:tcW w:w="2069" w:type="dxa"/>
            <w:shd w:val="clear" w:color="auto" w:fill="auto"/>
          </w:tcPr>
          <w:p w:rsidR="00A83600" w:rsidRPr="000A1C8E" w:rsidRDefault="00A83600" w:rsidP="00F051AB">
            <w:pPr>
              <w:keepNext/>
              <w:keepLines/>
              <w:ind w:left="186" w:right="180"/>
              <w:rPr>
                <w:rFonts w:eastAsia="Calibri" w:cs="Tahoma"/>
                <w:color w:val="000000"/>
              </w:rPr>
            </w:pPr>
            <w:r w:rsidRPr="000A1C8E">
              <w:rPr>
                <w:rFonts w:eastAsia="Calibri" w:cs="Tahoma"/>
                <w:color w:val="000000"/>
              </w:rPr>
              <w:t>Lync Online Plano</w:t>
            </w:r>
            <w:r w:rsidR="00F051AB" w:rsidRPr="000A1C8E">
              <w:rPr>
                <w:rFonts w:eastAsia="Calibri" w:cs="Tahoma"/>
                <w:color w:val="000000"/>
              </w:rPr>
              <w:t> </w:t>
            </w:r>
            <w:r w:rsidRPr="000A1C8E">
              <w:rPr>
                <w:rFonts w:eastAsia="Calibri" w:cs="Tahoma"/>
                <w:color w:val="000000"/>
              </w:rPr>
              <w:t>3*</w:t>
            </w:r>
          </w:p>
        </w:tc>
      </w:tr>
      <w:tr w:rsidR="00A83600" w:rsidRPr="000A1C8E" w:rsidTr="00630ED6">
        <w:tc>
          <w:tcPr>
            <w:tcW w:w="2047" w:type="dxa"/>
          </w:tcPr>
          <w:p w:rsidR="00A83600" w:rsidRPr="000A1C8E" w:rsidRDefault="0050116B" w:rsidP="00C066F9">
            <w:pPr>
              <w:keepNext/>
              <w:keepLines/>
              <w:ind w:left="180" w:right="186"/>
              <w:rPr>
                <w:rFonts w:eastAsia="Calibri" w:cs="Tahoma"/>
                <w:color w:val="000000"/>
              </w:rPr>
            </w:pPr>
            <w:r w:rsidRPr="000A1C8E">
              <w:rPr>
                <w:rFonts w:eastAsia="Calibri" w:cs="Tahoma"/>
                <w:color w:val="000000"/>
              </w:rPr>
              <w:t>Aplicativos da Web do Office (Hospedados pela Microsoft)</w:t>
            </w:r>
          </w:p>
        </w:tc>
        <w:tc>
          <w:tcPr>
            <w:tcW w:w="2135" w:type="dxa"/>
            <w:shd w:val="clear" w:color="auto" w:fill="auto"/>
          </w:tcPr>
          <w:p w:rsidR="00A83600" w:rsidRPr="000A1C8E" w:rsidRDefault="00A83600" w:rsidP="00C066F9">
            <w:pPr>
              <w:keepNext/>
              <w:keepLines/>
              <w:ind w:left="180" w:right="186"/>
              <w:rPr>
                <w:rFonts w:eastAsia="Calibri" w:cs="Tahoma"/>
                <w:color w:val="000000"/>
              </w:rPr>
            </w:pPr>
            <w:r w:rsidRPr="000A1C8E">
              <w:rPr>
                <w:rFonts w:eastAsia="Calibri" w:cs="Tahoma"/>
                <w:color w:val="000000"/>
              </w:rPr>
              <w:t>Aplicativos da Web do Office (Hospedados pela Microsoft)</w:t>
            </w:r>
          </w:p>
        </w:tc>
        <w:tc>
          <w:tcPr>
            <w:tcW w:w="2221" w:type="dxa"/>
            <w:shd w:val="clear" w:color="auto" w:fill="auto"/>
          </w:tcPr>
          <w:p w:rsidR="00A83600" w:rsidRPr="000A1C8E" w:rsidRDefault="00A83600" w:rsidP="00C066F9">
            <w:pPr>
              <w:keepNext/>
              <w:keepLines/>
              <w:ind w:left="138" w:right="138"/>
              <w:rPr>
                <w:rFonts w:eastAsia="Calibri" w:cs="Tahoma"/>
                <w:color w:val="000000"/>
              </w:rPr>
            </w:pPr>
            <w:r w:rsidRPr="000A1C8E">
              <w:rPr>
                <w:rFonts w:eastAsia="Calibri" w:cs="Tahoma"/>
                <w:color w:val="000000"/>
              </w:rPr>
              <w:t>Aplicativos da Web do Office (Hospedados pela Microsoft)</w:t>
            </w:r>
          </w:p>
        </w:tc>
        <w:tc>
          <w:tcPr>
            <w:tcW w:w="2069" w:type="dxa"/>
            <w:shd w:val="clear" w:color="auto" w:fill="auto"/>
          </w:tcPr>
          <w:p w:rsidR="00A83600" w:rsidRPr="000A1C8E" w:rsidRDefault="00A83600" w:rsidP="00C066F9">
            <w:pPr>
              <w:keepNext/>
              <w:keepLines/>
              <w:ind w:left="186" w:right="180"/>
              <w:rPr>
                <w:rFonts w:eastAsia="Calibri" w:cs="Tahoma"/>
                <w:color w:val="000000"/>
              </w:rPr>
            </w:pPr>
            <w:r w:rsidRPr="000A1C8E">
              <w:rPr>
                <w:rFonts w:eastAsia="Calibri" w:cs="Tahoma"/>
                <w:color w:val="000000"/>
              </w:rPr>
              <w:t>Aplicativos da Web do Office (Hospedados pela Microsoft)</w:t>
            </w:r>
          </w:p>
        </w:tc>
      </w:tr>
      <w:tr w:rsidR="00A83600" w:rsidRPr="000A1C8E" w:rsidTr="00630ED6">
        <w:tc>
          <w:tcPr>
            <w:tcW w:w="2047" w:type="dxa"/>
          </w:tcPr>
          <w:p w:rsidR="00A83600" w:rsidRPr="000A1C8E" w:rsidRDefault="00A83600" w:rsidP="00C066F9">
            <w:pPr>
              <w:keepNext/>
              <w:keepLines/>
              <w:ind w:left="180" w:right="186"/>
              <w:rPr>
                <w:rFonts w:eastAsia="Calibri" w:cs="Tahoma"/>
                <w:color w:val="000000"/>
              </w:rPr>
            </w:pPr>
          </w:p>
        </w:tc>
        <w:tc>
          <w:tcPr>
            <w:tcW w:w="2135" w:type="dxa"/>
            <w:shd w:val="clear" w:color="auto" w:fill="auto"/>
          </w:tcPr>
          <w:p w:rsidR="00A83600" w:rsidRPr="000A1C8E" w:rsidRDefault="00A83600" w:rsidP="00C066F9">
            <w:pPr>
              <w:keepNext/>
              <w:keepLines/>
              <w:ind w:left="180" w:right="186"/>
              <w:rPr>
                <w:rFonts w:eastAsia="Calibri" w:cs="Tahoma"/>
                <w:color w:val="000000"/>
              </w:rPr>
            </w:pPr>
          </w:p>
        </w:tc>
        <w:tc>
          <w:tcPr>
            <w:tcW w:w="2221" w:type="dxa"/>
            <w:shd w:val="clear" w:color="auto" w:fill="auto"/>
          </w:tcPr>
          <w:p w:rsidR="00A83600" w:rsidRPr="000A1C8E" w:rsidRDefault="00A83600" w:rsidP="00630ED6">
            <w:pPr>
              <w:keepNext/>
              <w:keepLines/>
              <w:ind w:left="138" w:right="138"/>
              <w:rPr>
                <w:rFonts w:eastAsia="Calibri" w:cs="Tahoma"/>
                <w:color w:val="000000"/>
              </w:rPr>
            </w:pPr>
            <w:r w:rsidRPr="000A1C8E">
              <w:rPr>
                <w:rFonts w:eastAsia="Calibri" w:cs="Tahoma"/>
                <w:color w:val="000000"/>
              </w:rPr>
              <w:t xml:space="preserve">Office 365 ProPlus </w:t>
            </w:r>
          </w:p>
        </w:tc>
        <w:tc>
          <w:tcPr>
            <w:tcW w:w="2069" w:type="dxa"/>
            <w:shd w:val="clear" w:color="auto" w:fill="auto"/>
          </w:tcPr>
          <w:p w:rsidR="00A83600" w:rsidRPr="000A1C8E" w:rsidRDefault="00630ED6" w:rsidP="00630ED6">
            <w:pPr>
              <w:keepNext/>
              <w:keepLines/>
              <w:ind w:left="186" w:right="180"/>
              <w:rPr>
                <w:rFonts w:eastAsia="Calibri" w:cs="Tahoma"/>
                <w:color w:val="000000"/>
              </w:rPr>
            </w:pPr>
            <w:r w:rsidRPr="000A1C8E">
              <w:rPr>
                <w:rFonts w:eastAsia="Calibri" w:cs="Tahoma"/>
                <w:color w:val="000000"/>
              </w:rPr>
              <w:t xml:space="preserve">Office 365 ProPlus </w:t>
            </w:r>
          </w:p>
        </w:tc>
      </w:tr>
      <w:tr w:rsidR="00630ED6" w:rsidRPr="000A1C8E" w:rsidTr="00630ED6">
        <w:tc>
          <w:tcPr>
            <w:tcW w:w="2047" w:type="dxa"/>
          </w:tcPr>
          <w:p w:rsidR="00630ED6" w:rsidRPr="000A1C8E" w:rsidRDefault="00630ED6" w:rsidP="00C066F9">
            <w:pPr>
              <w:keepNext/>
              <w:keepLines/>
              <w:ind w:left="180" w:right="186"/>
              <w:rPr>
                <w:rFonts w:eastAsia="Calibri" w:cs="Tahoma"/>
                <w:color w:val="000000"/>
              </w:rPr>
            </w:pPr>
          </w:p>
        </w:tc>
        <w:tc>
          <w:tcPr>
            <w:tcW w:w="2135" w:type="dxa"/>
            <w:shd w:val="clear" w:color="auto" w:fill="auto"/>
          </w:tcPr>
          <w:p w:rsidR="00630ED6" w:rsidRPr="000A1C8E" w:rsidRDefault="00630ED6" w:rsidP="00C066F9">
            <w:pPr>
              <w:keepNext/>
              <w:keepLines/>
              <w:ind w:left="180" w:right="186"/>
              <w:rPr>
                <w:rFonts w:eastAsia="Calibri" w:cs="Tahoma"/>
                <w:color w:val="000000"/>
              </w:rPr>
            </w:pPr>
          </w:p>
        </w:tc>
        <w:tc>
          <w:tcPr>
            <w:tcW w:w="2221" w:type="dxa"/>
            <w:shd w:val="clear" w:color="auto" w:fill="auto"/>
          </w:tcPr>
          <w:p w:rsidR="00630ED6" w:rsidRPr="000A1C8E" w:rsidRDefault="00630ED6" w:rsidP="00630ED6">
            <w:pPr>
              <w:keepNext/>
              <w:keepLines/>
              <w:ind w:left="138" w:right="138"/>
              <w:rPr>
                <w:rFonts w:eastAsia="Calibri" w:cs="Tahoma"/>
                <w:color w:val="000000"/>
              </w:rPr>
            </w:pPr>
            <w:r w:rsidRPr="000A1C8E">
              <w:rPr>
                <w:rFonts w:eastAsia="Calibri" w:cs="Tahoma"/>
                <w:color w:val="000000"/>
              </w:rPr>
              <w:t>Gerenciamento de Direitos do Active Directory do Windows Azure</w:t>
            </w:r>
          </w:p>
        </w:tc>
        <w:tc>
          <w:tcPr>
            <w:tcW w:w="2069" w:type="dxa"/>
            <w:shd w:val="clear" w:color="auto" w:fill="auto"/>
          </w:tcPr>
          <w:p w:rsidR="00630ED6" w:rsidRPr="000A1C8E" w:rsidRDefault="00630ED6" w:rsidP="00630ED6">
            <w:pPr>
              <w:keepNext/>
              <w:keepLines/>
              <w:ind w:left="186" w:right="180"/>
              <w:rPr>
                <w:rFonts w:eastAsia="Calibri" w:cs="Tahoma"/>
                <w:color w:val="000000"/>
              </w:rPr>
            </w:pPr>
            <w:r w:rsidRPr="000A1C8E">
              <w:rPr>
                <w:rFonts w:eastAsia="Calibri" w:cs="Tahoma"/>
                <w:color w:val="000000"/>
              </w:rPr>
              <w:t>Gerenciamento de Direitos do Active Directory do Windows Azure</w:t>
            </w:r>
          </w:p>
        </w:tc>
      </w:tr>
    </w:tbl>
    <w:p w:rsidR="00263B62" w:rsidRPr="000A1C8E" w:rsidRDefault="00630ED6" w:rsidP="00630ED6">
      <w:pPr>
        <w:pStyle w:val="PURBody"/>
        <w:spacing w:after="0"/>
        <w:ind w:left="540"/>
        <w:rPr>
          <w:rFonts w:ascii="Tahoma" w:hAnsi="Tahoma" w:cs="Tahoma"/>
        </w:rPr>
      </w:pPr>
      <w:r w:rsidRPr="000A1C8E">
        <w:rPr>
          <w:rFonts w:ascii="Tahoma" w:hAnsi="Tahoma" w:cs="Tahoma"/>
          <w:i/>
          <w:sz w:val="16"/>
          <w:vertAlign w:val="superscript"/>
        </w:rPr>
        <w:t>*</w:t>
      </w:r>
      <w:r w:rsidRPr="000A1C8E">
        <w:rPr>
          <w:rFonts w:ascii="Tahoma" w:hAnsi="Tahoma" w:cs="Tahoma"/>
          <w:i/>
          <w:sz w:val="16"/>
        </w:rPr>
        <w:t>Os clientes que compram de países que não são dos Estados Unidos e do Reino Unido recebem o Lync Online Plano 2 em vez de Lync Online Plano 3</w:t>
      </w:r>
      <w:r w:rsidRPr="000A1C8E">
        <w:rPr>
          <w:rFonts w:ascii="Tahoma" w:hAnsi="Tahoma" w:cs="Tahoma"/>
          <w:color w:val="000000"/>
        </w:rPr>
        <w:br/>
      </w:r>
    </w:p>
    <w:p w:rsidR="00A83600" w:rsidRPr="000A1C8E" w:rsidRDefault="00A83600" w:rsidP="00E62BC4">
      <w:pPr>
        <w:ind w:left="720"/>
        <w:rPr>
          <w:rFonts w:cs="Tahoma"/>
        </w:rPr>
      </w:pPr>
      <w:r w:rsidRPr="000A1C8E">
        <w:rPr>
          <w:rFonts w:cs="Tahoma"/>
          <w:color w:val="000000"/>
        </w:rPr>
        <w:t>Essa lista está sujeita a alterações.</w:t>
      </w:r>
      <w:r w:rsidR="00DC6D8B" w:rsidRPr="000A1C8E">
        <w:rPr>
          <w:rFonts w:cs="Tahoma"/>
          <w:color w:val="000000"/>
        </w:rPr>
        <w:t xml:space="preserve"> </w:t>
      </w:r>
      <w:r w:rsidRPr="000A1C8E">
        <w:rPr>
          <w:rFonts w:cs="Tahoma"/>
          <w:color w:val="000000"/>
        </w:rPr>
        <w:t>Os Direitos de Uso de Produto atuais prevalecerão caso haja conflitos entre os termos da licença do Office 365 Government G1 - G4 e esta observação.</w:t>
      </w:r>
      <w:r w:rsidR="00DC6D8B" w:rsidRPr="000A1C8E">
        <w:rPr>
          <w:rFonts w:cs="Tahoma"/>
          <w:color w:val="000000"/>
        </w:rPr>
        <w:t xml:space="preserve"> </w:t>
      </w:r>
      <w:r w:rsidRPr="000A1C8E">
        <w:rPr>
          <w:rFonts w:cs="Tahoma"/>
          <w:color w:val="000000"/>
        </w:rPr>
        <w:t>Os direitos de acesso adicionais, se houver, a softwares locais licenciados separadamente estão especificados nos Direitos de Uso de Produto.</w:t>
      </w:r>
    </w:p>
    <w:p w:rsidR="00A83600" w:rsidRPr="000A1C8E" w:rsidRDefault="00A83600" w:rsidP="00E62BC4">
      <w:pPr>
        <w:ind w:left="720"/>
        <w:rPr>
          <w:rFonts w:cs="Tahoma"/>
        </w:rPr>
      </w:pPr>
    </w:p>
    <w:p w:rsidR="00A83600" w:rsidRPr="000A1C8E" w:rsidRDefault="00A83600" w:rsidP="00F051AB">
      <w:pPr>
        <w:ind w:left="720"/>
        <w:rPr>
          <w:rFonts w:cs="Tahoma"/>
        </w:rPr>
      </w:pPr>
      <w:r w:rsidRPr="000A1C8E">
        <w:rPr>
          <w:rFonts w:cs="Tahoma"/>
          <w:color w:val="000000"/>
        </w:rPr>
        <w:t>O Lync Online Plano 1 e Plano 2 requerem compra separada e instalação do Microsoft Lync 2013 (ou Lync para Mac 2011</w:t>
      </w:r>
      <w:r w:rsidR="000251E1">
        <w:rPr>
          <w:rFonts w:cs="Tahoma"/>
          <w:color w:val="000000"/>
        </w:rPr>
        <w:t>)</w:t>
      </w:r>
      <w:r w:rsidRPr="000A1C8E">
        <w:rPr>
          <w:rFonts w:cs="Tahoma"/>
          <w:color w:val="000000"/>
        </w:rPr>
        <w:t xml:space="preserve"> para acessar o conjunto completo de recursos do Lync Online Plano 1 e Plano 2. Como oferta por tempo limitado, os clientes Mac licenciados para o Lync Online receberão uma cópia licenciada do</w:t>
      </w:r>
      <w:r w:rsidR="00F051AB" w:rsidRPr="000A1C8E">
        <w:rPr>
          <w:rFonts w:cs="Tahoma"/>
          <w:color w:val="000000"/>
        </w:rPr>
        <w:t> </w:t>
      </w:r>
      <w:r w:rsidRPr="000A1C8E">
        <w:rPr>
          <w:rFonts w:cs="Tahoma"/>
          <w:color w:val="000000"/>
        </w:rPr>
        <w:t>Lync for Mac 2011 a nenhum custo com cada licença de assinatura de teste ou paga do Lync Online. O</w:t>
      </w:r>
      <w:r w:rsidR="00F051AB" w:rsidRPr="000A1C8E">
        <w:rPr>
          <w:rFonts w:cs="Tahoma"/>
          <w:color w:val="000000"/>
        </w:rPr>
        <w:t> </w:t>
      </w:r>
      <w:r w:rsidRPr="000A1C8E">
        <w:rPr>
          <w:rFonts w:cs="Tahoma"/>
          <w:color w:val="000000"/>
        </w:rPr>
        <w:t>software só poderá ser usado com o Lync Online, e todos os direitos de uso do software se encerrarão ao</w:t>
      </w:r>
      <w:r w:rsidR="00F051AB" w:rsidRPr="000A1C8E">
        <w:rPr>
          <w:rFonts w:cs="Tahoma"/>
          <w:color w:val="000000"/>
        </w:rPr>
        <w:t> </w:t>
      </w:r>
      <w:r w:rsidRPr="000A1C8E">
        <w:rPr>
          <w:rFonts w:cs="Tahoma"/>
          <w:color w:val="000000"/>
        </w:rPr>
        <w:t>término da licença de assinatura básica ou da migração para a próxima nova versão principal do Lync Online, o que ocorrer primeiro.</w:t>
      </w:r>
      <w:r w:rsidR="00DC6D8B" w:rsidRPr="000A1C8E">
        <w:rPr>
          <w:rFonts w:cs="Tahoma"/>
          <w:color w:val="000000"/>
        </w:rPr>
        <w:t xml:space="preserve"> </w:t>
      </w:r>
      <w:r w:rsidRPr="000A1C8E">
        <w:rPr>
          <w:rFonts w:cs="Tahoma"/>
        </w:rPr>
        <w:t>Os clientes podem usar o cliente gratuito Lync Basic 2013 para seus usuários finais com base em Windows.</w:t>
      </w:r>
    </w:p>
    <w:p w:rsidR="00A83600" w:rsidRPr="000A1C8E" w:rsidRDefault="00A83600" w:rsidP="00E62BC4">
      <w:pPr>
        <w:ind w:left="720"/>
        <w:rPr>
          <w:rFonts w:cs="Tahoma"/>
        </w:rPr>
      </w:pPr>
    </w:p>
    <w:p w:rsidR="00A83600" w:rsidRPr="000A1C8E" w:rsidRDefault="00A83600" w:rsidP="00F051AB">
      <w:pPr>
        <w:ind w:left="720"/>
        <w:rPr>
          <w:rFonts w:cs="Tahoma"/>
        </w:rPr>
      </w:pPr>
      <w:r w:rsidRPr="000A1C8E">
        <w:rPr>
          <w:rFonts w:eastAsia="Calibri" w:cs="Tahoma"/>
          <w:color w:val="000000"/>
          <w:szCs w:val="18"/>
        </w:rPr>
        <w:t>G1-G4 não podem ser implantados no mesmo domínio que os serviços de nuvem da comunidade não governamental específicos.</w:t>
      </w:r>
      <w:r w:rsidR="00DC6D8B" w:rsidRPr="000A1C8E">
        <w:rPr>
          <w:rFonts w:eastAsia="Calibri" w:cs="Tahoma"/>
          <w:color w:val="000000"/>
          <w:szCs w:val="18"/>
        </w:rPr>
        <w:t xml:space="preserve"> </w:t>
      </w:r>
      <w:r w:rsidRPr="000A1C8E">
        <w:rPr>
          <w:rFonts w:eastAsia="Calibri" w:cs="Tahoma"/>
          <w:color w:val="000000"/>
          <w:szCs w:val="18"/>
        </w:rPr>
        <w:t>Esta limitação se estende a qualquer serviço online que faça parte da família de</w:t>
      </w:r>
      <w:r w:rsidR="00F051AB" w:rsidRPr="000A1C8E">
        <w:rPr>
          <w:rFonts w:eastAsia="Calibri" w:cs="Tahoma"/>
          <w:color w:val="000000"/>
          <w:szCs w:val="18"/>
        </w:rPr>
        <w:t> </w:t>
      </w:r>
      <w:r w:rsidRPr="000A1C8E">
        <w:rPr>
          <w:rFonts w:eastAsia="Calibri" w:cs="Tahoma"/>
          <w:color w:val="000000"/>
          <w:szCs w:val="18"/>
        </w:rPr>
        <w:t>produtos do Office 365, incluindo Exchange Online, SharePoint Online e Lync Online.</w:t>
      </w:r>
    </w:p>
    <w:p w:rsidR="00A83600" w:rsidRPr="000A1C8E" w:rsidRDefault="00A83600" w:rsidP="00E62BC4">
      <w:pPr>
        <w:ind w:left="720"/>
        <w:rPr>
          <w:rFonts w:cs="Tahoma"/>
        </w:rPr>
      </w:pPr>
    </w:p>
    <w:p w:rsidR="00D57009" w:rsidRPr="000A1C8E" w:rsidRDefault="00A83600" w:rsidP="007B35CE">
      <w:pPr>
        <w:ind w:left="720"/>
        <w:rPr>
          <w:rFonts w:cs="Tahoma"/>
        </w:rPr>
      </w:pPr>
      <w:r w:rsidRPr="000A1C8E">
        <w:rPr>
          <w:rFonts w:eastAsia="Calibri" w:cs="Tahoma"/>
          <w:color w:val="000000"/>
          <w:szCs w:val="18"/>
        </w:rPr>
        <w:t>Assim que um serviço online é provisionado na nuvem de comunidade do governo, ele permanecerá lá pela duração da vigência da assinatura.</w:t>
      </w:r>
      <w:r w:rsidR="00DC6D8B" w:rsidRPr="000A1C8E">
        <w:rPr>
          <w:rFonts w:eastAsia="Calibri" w:cs="Tahoma"/>
          <w:color w:val="000000"/>
          <w:szCs w:val="18"/>
        </w:rPr>
        <w:t xml:space="preserve"> </w:t>
      </w:r>
      <w:r w:rsidRPr="000A1C8E">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C6D8B" w:rsidRPr="000A1C8E">
        <w:rPr>
          <w:rFonts w:eastAsia="Calibri" w:cs="Tahoma"/>
          <w:color w:val="000000"/>
          <w:szCs w:val="18"/>
        </w:rPr>
        <w:t xml:space="preserve"> </w:t>
      </w:r>
      <w:r w:rsidRPr="000A1C8E">
        <w:rPr>
          <w:rFonts w:eastAsia="Calibri" w:cs="Tahoma"/>
          <w:color w:val="000000"/>
          <w:szCs w:val="18"/>
        </w:rPr>
        <w:t>Os Direitos de Uso para serviços de nuvem da comunidade do governo são equivalentes àqueles dos seus diversos locatários padrão, conforme indicado na tabela a seguir:</w:t>
      </w:r>
    </w:p>
    <w:p w:rsidR="00A83600" w:rsidRPr="000A1C8E"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3"/>
        <w:gridCol w:w="4319"/>
      </w:tblGrid>
      <w:tr w:rsidR="00A83600" w:rsidRPr="000A1C8E" w:rsidTr="00CA14C9">
        <w:tc>
          <w:tcPr>
            <w:tcW w:w="4202" w:type="dxa"/>
            <w:shd w:val="clear" w:color="auto" w:fill="FABF8F"/>
          </w:tcPr>
          <w:p w:rsidR="00A83600" w:rsidRPr="000A1C8E" w:rsidRDefault="00A83600" w:rsidP="00722522">
            <w:pPr>
              <w:rPr>
                <w:rFonts w:eastAsia="Calibri" w:cs="Tahoma"/>
                <w:b/>
                <w:color w:val="000000"/>
                <w:sz w:val="20"/>
                <w:szCs w:val="20"/>
              </w:rPr>
            </w:pPr>
            <w:r w:rsidRPr="000A1C8E">
              <w:rPr>
                <w:rFonts w:eastAsia="Calibri" w:cs="Tahoma"/>
                <w:b/>
                <w:color w:val="000000"/>
                <w:sz w:val="20"/>
                <w:szCs w:val="20"/>
              </w:rPr>
              <w:t xml:space="preserve">Office 365 Enterprise E </w:t>
            </w:r>
          </w:p>
        </w:tc>
        <w:tc>
          <w:tcPr>
            <w:tcW w:w="4366" w:type="dxa"/>
            <w:shd w:val="clear" w:color="auto" w:fill="FABF8F"/>
          </w:tcPr>
          <w:p w:rsidR="00A83600" w:rsidRPr="000A1C8E" w:rsidRDefault="00A83600" w:rsidP="00722522">
            <w:pPr>
              <w:rPr>
                <w:rFonts w:eastAsia="Calibri" w:cs="Tahoma"/>
                <w:b/>
                <w:color w:val="000000"/>
                <w:sz w:val="20"/>
                <w:szCs w:val="20"/>
              </w:rPr>
            </w:pPr>
            <w:r w:rsidRPr="000A1C8E">
              <w:rPr>
                <w:rFonts w:eastAsia="Calibri" w:cs="Tahoma"/>
                <w:b/>
                <w:color w:val="000000"/>
                <w:sz w:val="20"/>
                <w:szCs w:val="20"/>
              </w:rPr>
              <w:t>Serviço Office 365 Government G com Direitos de uso equivalentes</w:t>
            </w:r>
          </w:p>
        </w:tc>
      </w:tr>
      <w:tr w:rsidR="00A83600" w:rsidRPr="000A1C8E" w:rsidTr="00CA14C9">
        <w:tc>
          <w:tcPr>
            <w:tcW w:w="4202" w:type="dxa"/>
            <w:shd w:val="clear" w:color="auto" w:fill="auto"/>
          </w:tcPr>
          <w:p w:rsidR="00A83600" w:rsidRPr="000A1C8E" w:rsidRDefault="00A83600" w:rsidP="00722522">
            <w:pPr>
              <w:rPr>
                <w:rFonts w:eastAsia="Calibri" w:cs="Tahoma"/>
                <w:color w:val="000000"/>
              </w:rPr>
            </w:pPr>
            <w:r w:rsidRPr="000A1C8E">
              <w:rPr>
                <w:rFonts w:eastAsia="Calibri" w:cs="Tahoma"/>
                <w:color w:val="000000"/>
              </w:rPr>
              <w:t>Office 365 Enterprise E1</w:t>
            </w:r>
          </w:p>
        </w:tc>
        <w:tc>
          <w:tcPr>
            <w:tcW w:w="4366" w:type="dxa"/>
            <w:shd w:val="clear" w:color="auto" w:fill="auto"/>
          </w:tcPr>
          <w:p w:rsidR="00A83600" w:rsidRPr="000A1C8E" w:rsidRDefault="00A83600" w:rsidP="00722522">
            <w:pPr>
              <w:rPr>
                <w:rFonts w:eastAsia="Calibri" w:cs="Tahoma"/>
                <w:color w:val="000000"/>
              </w:rPr>
            </w:pPr>
            <w:r w:rsidRPr="000A1C8E">
              <w:rPr>
                <w:rFonts w:eastAsia="Calibri" w:cs="Tahoma"/>
                <w:color w:val="000000"/>
              </w:rPr>
              <w:t>Office 365 Government G1</w:t>
            </w:r>
          </w:p>
        </w:tc>
      </w:tr>
      <w:tr w:rsidR="00A83600" w:rsidRPr="000A1C8E" w:rsidTr="00CA14C9">
        <w:tc>
          <w:tcPr>
            <w:tcW w:w="4202" w:type="dxa"/>
            <w:shd w:val="clear" w:color="auto" w:fill="auto"/>
          </w:tcPr>
          <w:p w:rsidR="00A83600" w:rsidRPr="000A1C8E" w:rsidRDefault="00A83600" w:rsidP="00722522">
            <w:pPr>
              <w:rPr>
                <w:rFonts w:eastAsia="Calibri" w:cs="Tahoma"/>
                <w:color w:val="000000"/>
              </w:rPr>
            </w:pPr>
            <w:r w:rsidRPr="000A1C8E">
              <w:rPr>
                <w:rFonts w:eastAsia="Calibri" w:cs="Tahoma"/>
                <w:color w:val="000000"/>
              </w:rPr>
              <w:t>Office 365 Enterprise E2</w:t>
            </w:r>
          </w:p>
        </w:tc>
        <w:tc>
          <w:tcPr>
            <w:tcW w:w="4366" w:type="dxa"/>
            <w:shd w:val="clear" w:color="auto" w:fill="auto"/>
          </w:tcPr>
          <w:p w:rsidR="00A83600" w:rsidRPr="000A1C8E" w:rsidRDefault="00A83600" w:rsidP="00722522">
            <w:pPr>
              <w:rPr>
                <w:rFonts w:eastAsia="Calibri" w:cs="Tahoma"/>
                <w:color w:val="000000"/>
              </w:rPr>
            </w:pPr>
            <w:r w:rsidRPr="000A1C8E">
              <w:rPr>
                <w:rFonts w:eastAsia="Calibri" w:cs="Tahoma"/>
                <w:color w:val="000000"/>
              </w:rPr>
              <w:t>Office 365 Government G2</w:t>
            </w:r>
          </w:p>
        </w:tc>
      </w:tr>
      <w:tr w:rsidR="00A83600" w:rsidRPr="000A1C8E" w:rsidTr="00CA14C9">
        <w:tc>
          <w:tcPr>
            <w:tcW w:w="4202" w:type="dxa"/>
            <w:shd w:val="clear" w:color="auto" w:fill="auto"/>
          </w:tcPr>
          <w:p w:rsidR="00A83600" w:rsidRPr="000A1C8E" w:rsidRDefault="00A83600" w:rsidP="00722522">
            <w:pPr>
              <w:rPr>
                <w:rFonts w:eastAsia="Calibri" w:cs="Tahoma"/>
                <w:color w:val="000000"/>
              </w:rPr>
            </w:pPr>
            <w:r w:rsidRPr="000A1C8E">
              <w:rPr>
                <w:rFonts w:eastAsia="Calibri" w:cs="Tahoma"/>
                <w:color w:val="000000"/>
              </w:rPr>
              <w:t>Office 365 Enterprise E3</w:t>
            </w:r>
          </w:p>
        </w:tc>
        <w:tc>
          <w:tcPr>
            <w:tcW w:w="4366" w:type="dxa"/>
            <w:shd w:val="clear" w:color="auto" w:fill="auto"/>
          </w:tcPr>
          <w:p w:rsidR="00A83600" w:rsidRPr="000A1C8E" w:rsidRDefault="00A83600" w:rsidP="00722522">
            <w:pPr>
              <w:rPr>
                <w:rFonts w:eastAsia="Calibri" w:cs="Tahoma"/>
                <w:color w:val="000000"/>
              </w:rPr>
            </w:pPr>
            <w:r w:rsidRPr="000A1C8E">
              <w:rPr>
                <w:rFonts w:eastAsia="Calibri" w:cs="Tahoma"/>
                <w:color w:val="000000"/>
              </w:rPr>
              <w:t>Office 365 Government G3</w:t>
            </w:r>
          </w:p>
        </w:tc>
      </w:tr>
      <w:tr w:rsidR="00A83600" w:rsidRPr="000A1C8E" w:rsidTr="00CA14C9">
        <w:tc>
          <w:tcPr>
            <w:tcW w:w="4202" w:type="dxa"/>
            <w:shd w:val="clear" w:color="auto" w:fill="auto"/>
          </w:tcPr>
          <w:p w:rsidR="00A83600" w:rsidRPr="000A1C8E" w:rsidRDefault="00A83600" w:rsidP="00722522">
            <w:pPr>
              <w:rPr>
                <w:rFonts w:eastAsia="Calibri" w:cs="Tahoma"/>
                <w:color w:val="000000"/>
              </w:rPr>
            </w:pPr>
            <w:r w:rsidRPr="000A1C8E">
              <w:rPr>
                <w:rFonts w:eastAsia="Calibri" w:cs="Tahoma"/>
                <w:color w:val="000000"/>
              </w:rPr>
              <w:t>Office 365 Enterprise E4</w:t>
            </w:r>
          </w:p>
        </w:tc>
        <w:tc>
          <w:tcPr>
            <w:tcW w:w="4366" w:type="dxa"/>
            <w:shd w:val="clear" w:color="auto" w:fill="auto"/>
          </w:tcPr>
          <w:p w:rsidR="00A83600" w:rsidRPr="000A1C8E" w:rsidRDefault="00A83600" w:rsidP="00722522">
            <w:pPr>
              <w:rPr>
                <w:rFonts w:eastAsia="Calibri" w:cs="Tahoma"/>
                <w:color w:val="000000"/>
              </w:rPr>
            </w:pPr>
            <w:r w:rsidRPr="000A1C8E">
              <w:rPr>
                <w:rFonts w:eastAsia="Calibri" w:cs="Tahoma"/>
                <w:color w:val="000000"/>
              </w:rPr>
              <w:t>Office 365 Government G4</w:t>
            </w:r>
          </w:p>
        </w:tc>
      </w:tr>
    </w:tbl>
    <w:p w:rsidR="004574E9" w:rsidRPr="000A1C8E" w:rsidRDefault="004574E9" w:rsidP="00194DAF">
      <w:pPr>
        <w:rPr>
          <w:rFonts w:cs="Tahoma"/>
        </w:rPr>
      </w:pPr>
    </w:p>
    <w:p w:rsidR="00C737B6" w:rsidRPr="000A1C8E" w:rsidRDefault="00C737B6" w:rsidP="007B699C">
      <w:pPr>
        <w:pStyle w:val="EndnoteText"/>
        <w:ind w:left="0"/>
        <w:rPr>
          <w:rFonts w:ascii="Tahoma" w:hAnsi="Tahoma" w:cs="Tahoma"/>
        </w:rPr>
      </w:pPr>
      <w:bookmarkStart w:id="1438" w:name="_59_Office_Communications"/>
      <w:bookmarkStart w:id="1439" w:name="_57_Office_Communications"/>
      <w:bookmarkStart w:id="1440" w:name="_59_Office_Groove"/>
      <w:bookmarkStart w:id="1441" w:name="Srv_62OfficePerfPointSvr07"/>
      <w:bookmarkEnd w:id="1405"/>
      <w:bookmarkEnd w:id="1438"/>
      <w:bookmarkEnd w:id="1439"/>
      <w:bookmarkEnd w:id="1440"/>
    </w:p>
    <w:p w:rsidR="00F051AB" w:rsidRPr="000A1C8E" w:rsidRDefault="00F051AB" w:rsidP="007B699C">
      <w:pPr>
        <w:pStyle w:val="EndnoteText"/>
        <w:ind w:left="0"/>
        <w:rPr>
          <w:rFonts w:ascii="Tahoma" w:hAnsi="Tahoma" w:cs="Tahoma"/>
        </w:rPr>
      </w:pPr>
    </w:p>
    <w:p w:rsidR="00F42FD5" w:rsidRPr="000A1C8E" w:rsidRDefault="00A560B6" w:rsidP="00F42FD5">
      <w:pPr>
        <w:pStyle w:val="Heading2"/>
        <w:ind w:left="0"/>
        <w:rPr>
          <w:rFonts w:ascii="Tahoma" w:hAnsi="Tahoma" w:cs="Tahoma"/>
        </w:rPr>
      </w:pPr>
      <w:bookmarkStart w:id="1442" w:name="_68_SharePoint_Online"/>
      <w:bookmarkStart w:id="1443" w:name="_71_SharePoint_Online"/>
      <w:bookmarkStart w:id="1444" w:name="_78_SharePoint_Online"/>
      <w:bookmarkStart w:id="1445" w:name="_79_SharePoint_Online"/>
      <w:bookmarkStart w:id="1446" w:name="_Toc336338334"/>
      <w:bookmarkStart w:id="1447" w:name="_Toc361829422"/>
      <w:bookmarkStart w:id="1448" w:name="Srv_73SharepointOnlinePlan1"/>
      <w:bookmarkStart w:id="1449" w:name="Srv_74SharepointOnlinePlan1"/>
      <w:bookmarkEnd w:id="1442"/>
      <w:bookmarkEnd w:id="1443"/>
      <w:bookmarkEnd w:id="1444"/>
      <w:bookmarkEnd w:id="1445"/>
      <w:r w:rsidRPr="000A1C8E">
        <w:rPr>
          <w:rFonts w:ascii="Tahoma" w:hAnsi="Tahoma" w:cs="Tahoma"/>
          <w:caps/>
          <w:color w:val="FF6600"/>
          <w:sz w:val="22"/>
          <w:vertAlign w:val="superscript"/>
        </w:rPr>
        <w:lastRenderedPageBreak/>
        <w:t>79</w:t>
      </w:r>
      <w:r w:rsidRPr="000A1C8E">
        <w:rPr>
          <w:rFonts w:ascii="Tahoma" w:hAnsi="Tahoma" w:cs="Tahoma"/>
          <w:color w:val="FF6600"/>
        </w:rPr>
        <w:t xml:space="preserve"> </w:t>
      </w:r>
      <w:r w:rsidRPr="000A1C8E">
        <w:rPr>
          <w:rFonts w:ascii="Tahoma" w:hAnsi="Tahoma" w:cs="Tahoma"/>
          <w:color w:val="FF6600"/>
          <w:sz w:val="22"/>
          <w:szCs w:val="22"/>
        </w:rPr>
        <w:t>SharePoint Online Planos 1 e 2</w:t>
      </w:r>
      <w:bookmarkEnd w:id="1446"/>
      <w:bookmarkEnd w:id="1447"/>
    </w:p>
    <w:bookmarkEnd w:id="1448"/>
    <w:bookmarkEnd w:id="1449"/>
    <w:p w:rsidR="00F42FD5" w:rsidRPr="000A1C8E" w:rsidRDefault="00F42FD5" w:rsidP="00F42FD5">
      <w:pPr>
        <w:rPr>
          <w:rFonts w:cs="Tahoma"/>
        </w:rPr>
      </w:pPr>
    </w:p>
    <w:p w:rsidR="00F42FD5" w:rsidRPr="000A1C8E" w:rsidRDefault="00F42FD5" w:rsidP="00AC0ED2">
      <w:pPr>
        <w:pStyle w:val="EndnoteText"/>
        <w:ind w:left="720"/>
        <w:rPr>
          <w:rFonts w:ascii="Tahoma" w:hAnsi="Tahoma" w:cs="Tahoma"/>
        </w:rPr>
      </w:pPr>
      <w:r w:rsidRPr="000A1C8E">
        <w:rPr>
          <w:rFonts w:ascii="Tahoma" w:hAnsi="Tahoma" w:cs="Tahoma"/>
          <w:color w:val="000000"/>
          <w:sz w:val="18"/>
          <w:szCs w:val="18"/>
        </w:rPr>
        <w:t>O SharePoint Online Plano 1 era conhecido anteriormente como SharePoint Online Standard.</w:t>
      </w:r>
    </w:p>
    <w:p w:rsidR="00F42FD5" w:rsidRPr="000A1C8E" w:rsidRDefault="00F42FD5" w:rsidP="00AC0ED2">
      <w:pPr>
        <w:pStyle w:val="EndnoteText"/>
        <w:ind w:left="720"/>
        <w:rPr>
          <w:rFonts w:ascii="Tahoma" w:hAnsi="Tahoma" w:cs="Tahoma"/>
        </w:rPr>
      </w:pPr>
    </w:p>
    <w:p w:rsidR="00F42FD5" w:rsidRPr="000A1C8E" w:rsidRDefault="00F42FD5" w:rsidP="00AC0ED2">
      <w:pPr>
        <w:pStyle w:val="EndnoteText"/>
        <w:ind w:left="720"/>
        <w:rPr>
          <w:rFonts w:ascii="Tahoma" w:hAnsi="Tahoma" w:cs="Tahoma"/>
        </w:rPr>
      </w:pPr>
      <w:r w:rsidRPr="000A1C8E">
        <w:rPr>
          <w:rFonts w:ascii="Tahoma" w:hAnsi="Tahoma" w:cs="Tahoma"/>
          <w:color w:val="000000"/>
          <w:sz w:val="18"/>
          <w:szCs w:val="18"/>
        </w:rPr>
        <w:t>Os Clientes no Brasil ou no Chile que comprarem o SharePoint Online Plano 1 receberão o SharePoint Online Standard.</w:t>
      </w:r>
      <w:r w:rsidR="00DC6D8B" w:rsidRPr="000A1C8E">
        <w:rPr>
          <w:rFonts w:ascii="Tahoma" w:hAnsi="Tahoma" w:cs="Tahoma"/>
          <w:color w:val="000000"/>
          <w:sz w:val="18"/>
          <w:szCs w:val="18"/>
        </w:rPr>
        <w:t xml:space="preserve"> </w:t>
      </w:r>
      <w:r w:rsidRPr="000A1C8E">
        <w:rPr>
          <w:rFonts w:ascii="Tahoma" w:hAnsi="Tahoma" w:cs="Tahoma"/>
          <w:color w:val="000000"/>
          <w:sz w:val="18"/>
          <w:szCs w:val="18"/>
        </w:rPr>
        <w:t>Esses clientes poderão migrar para o SharePoint Online Plano 1 posteriormente.</w:t>
      </w:r>
    </w:p>
    <w:p w:rsidR="007316A1" w:rsidRPr="000A1C8E" w:rsidRDefault="007316A1" w:rsidP="00AC0ED2">
      <w:pPr>
        <w:pStyle w:val="EndnoteText"/>
        <w:ind w:left="720"/>
        <w:rPr>
          <w:rFonts w:ascii="Tahoma" w:hAnsi="Tahoma" w:cs="Tahoma"/>
        </w:rPr>
      </w:pPr>
    </w:p>
    <w:p w:rsidR="00DB7BD1" w:rsidRPr="000A1C8E" w:rsidRDefault="00DB7BD1" w:rsidP="007B699C">
      <w:pPr>
        <w:spacing w:after="60"/>
        <w:ind w:left="720"/>
        <w:rPr>
          <w:rFonts w:cs="Tahoma"/>
        </w:rPr>
      </w:pPr>
      <w:r w:rsidRPr="000A1C8E">
        <w:rPr>
          <w:rFonts w:eastAsia="Calibri" w:cs="Tahoma"/>
          <w:b/>
          <w:color w:val="000000"/>
          <w:szCs w:val="18"/>
        </w:rPr>
        <w:t>Nuvem da Comunidade do Governo (Apenas para os Estados Unidos)</w:t>
      </w:r>
    </w:p>
    <w:p w:rsidR="00DB7BD1" w:rsidRPr="000A1C8E" w:rsidRDefault="00DB7BD1" w:rsidP="00AC0ED2">
      <w:pPr>
        <w:ind w:left="720"/>
        <w:rPr>
          <w:rFonts w:cs="Tahoma"/>
        </w:rPr>
      </w:pPr>
      <w:r w:rsidRPr="000A1C8E">
        <w:rPr>
          <w:rFonts w:eastAsia="Calibri" w:cs="Tahoma"/>
          <w:color w:val="000000"/>
          <w:szCs w:val="18"/>
        </w:rPr>
        <w:t>Alguns serviços online na família de produtos do Office 365 (incluindo SharePoint Online Planos 1 e 2) são oferecidos como serviços de nuvem da comunidade do governo e serviços de nuvem da comunidade não governamental.</w:t>
      </w:r>
      <w:r w:rsidR="00DC6D8B" w:rsidRPr="000A1C8E">
        <w:rPr>
          <w:rFonts w:eastAsia="Calibri" w:cs="Tahoma"/>
          <w:color w:val="000000"/>
          <w:szCs w:val="18"/>
        </w:rPr>
        <w:t xml:space="preserve"> </w:t>
      </w:r>
      <w:r w:rsidRPr="000A1C8E">
        <w:rPr>
          <w:rFonts w:eastAsia="Calibri" w:cs="Tahoma"/>
          <w:color w:val="000000"/>
          <w:szCs w:val="18"/>
        </w:rPr>
        <w:t>Os clientes podem ser provisionados como um ou outro, mas não com uma mistura dos dois.</w:t>
      </w:r>
      <w:r w:rsidR="00DC6D8B" w:rsidRPr="000A1C8E">
        <w:rPr>
          <w:rFonts w:eastAsia="Calibri" w:cs="Tahoma"/>
          <w:color w:val="000000"/>
          <w:szCs w:val="18"/>
        </w:rPr>
        <w:t xml:space="preserve"> </w:t>
      </w:r>
      <w:r w:rsidRPr="000A1C8E">
        <w:rPr>
          <w:rFonts w:eastAsia="Calibri" w:cs="Tahoma"/>
          <w:color w:val="000000"/>
          <w:szCs w:val="18"/>
        </w:rPr>
        <w:t>Os Serviços Online projetados como nuvem de comunidade do governo não podem ser implantados no mesmo domínio que os serviços de nuvem da comunidade não governamental específicos.</w:t>
      </w:r>
      <w:r w:rsidR="00DC6D8B" w:rsidRPr="000A1C8E">
        <w:rPr>
          <w:rFonts w:eastAsia="Calibri" w:cs="Tahoma"/>
          <w:color w:val="000000"/>
          <w:szCs w:val="18"/>
        </w:rPr>
        <w:t xml:space="preserve"> </w:t>
      </w:r>
      <w:r w:rsidRPr="000A1C8E">
        <w:rPr>
          <w:rFonts w:eastAsia="Calibri" w:cs="Tahoma"/>
          <w:color w:val="000000"/>
          <w:szCs w:val="18"/>
        </w:rPr>
        <w:t>Esta limitação se estende a qualquer serviço online que faça parte da família de produtos do Office 365, incluindo Exchange Online, SharePoint Online e Lync Online.</w:t>
      </w:r>
      <w:r w:rsidR="00DC6D8B" w:rsidRPr="000A1C8E">
        <w:rPr>
          <w:rFonts w:eastAsia="Calibri" w:cs="Tahoma"/>
          <w:color w:val="000000"/>
          <w:szCs w:val="18"/>
        </w:rPr>
        <w:t xml:space="preserve"> </w:t>
      </w:r>
    </w:p>
    <w:p w:rsidR="00DB7BD1" w:rsidRPr="000A1C8E" w:rsidRDefault="00DB7BD1" w:rsidP="00AC0ED2">
      <w:pPr>
        <w:ind w:left="720"/>
        <w:rPr>
          <w:rFonts w:cs="Tahoma"/>
        </w:rPr>
      </w:pPr>
    </w:p>
    <w:p w:rsidR="00DB7BD1" w:rsidRPr="000A1C8E" w:rsidRDefault="00DB7BD1" w:rsidP="00AC0ED2">
      <w:pPr>
        <w:ind w:left="720"/>
        <w:rPr>
          <w:rFonts w:cs="Tahoma"/>
        </w:rPr>
      </w:pPr>
      <w:r w:rsidRPr="000A1C8E">
        <w:rPr>
          <w:rFonts w:eastAsia="Calibri" w:cs="Tahoma"/>
          <w:color w:val="000000"/>
          <w:szCs w:val="18"/>
        </w:rPr>
        <w:t>Assim que um serviço online é provisionado na nuvem de comunidade do governo, ele permanecerá lá pela duração da vigência da assinatura.</w:t>
      </w:r>
      <w:r w:rsidR="00DC6D8B" w:rsidRPr="000A1C8E">
        <w:rPr>
          <w:rFonts w:eastAsia="Calibri" w:cs="Tahoma"/>
          <w:color w:val="000000"/>
          <w:szCs w:val="18"/>
        </w:rPr>
        <w:t xml:space="preserve"> </w:t>
      </w:r>
      <w:r w:rsidRPr="000A1C8E">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C6D8B" w:rsidRPr="000A1C8E">
        <w:rPr>
          <w:rFonts w:eastAsia="Calibri" w:cs="Tahoma"/>
          <w:color w:val="000000"/>
          <w:szCs w:val="18"/>
        </w:rPr>
        <w:t xml:space="preserve"> </w:t>
      </w:r>
      <w:r w:rsidRPr="000A1C8E">
        <w:rPr>
          <w:rFonts w:eastAsia="Calibri" w:cs="Tahoma"/>
          <w:color w:val="000000"/>
          <w:szCs w:val="18"/>
        </w:rPr>
        <w:t>Os Direitos de Uso para serviços de nuvem da comunidade do governo são equivalentes àqueles dos seus diversos locatários padrão.</w:t>
      </w:r>
    </w:p>
    <w:p w:rsidR="00C737B6" w:rsidRPr="00805DDD" w:rsidRDefault="00C737B6" w:rsidP="00697E59">
      <w:pPr>
        <w:pStyle w:val="EndnoteText"/>
        <w:ind w:left="0"/>
        <w:rPr>
          <w:rFonts w:ascii="Tahoma" w:hAnsi="Tahoma" w:cs="Tahoma"/>
          <w:sz w:val="18"/>
          <w:szCs w:val="18"/>
        </w:rPr>
      </w:pPr>
    </w:p>
    <w:p w:rsidR="007B699C" w:rsidRPr="00805DDD" w:rsidRDefault="007B699C" w:rsidP="00697E59">
      <w:pPr>
        <w:pStyle w:val="EndnoteText"/>
        <w:ind w:left="0"/>
        <w:rPr>
          <w:rFonts w:ascii="Tahoma" w:hAnsi="Tahoma" w:cs="Tahoma"/>
          <w:sz w:val="18"/>
          <w:szCs w:val="18"/>
        </w:rPr>
      </w:pPr>
    </w:p>
    <w:p w:rsidR="002F7FB8" w:rsidRPr="000A1C8E" w:rsidRDefault="00A560B6" w:rsidP="002F7FB8">
      <w:pPr>
        <w:pStyle w:val="Heading2"/>
        <w:ind w:left="0"/>
        <w:rPr>
          <w:rFonts w:ascii="Tahoma" w:hAnsi="Tahoma" w:cs="Tahoma"/>
        </w:rPr>
      </w:pPr>
      <w:bookmarkStart w:id="1450" w:name="_69_SharePoint_Server"/>
      <w:bookmarkStart w:id="1451" w:name="_74_72_SharePoint"/>
      <w:bookmarkStart w:id="1452" w:name="_79_SharePoint_Server"/>
      <w:bookmarkStart w:id="1453" w:name="_80_SharePoint_Server"/>
      <w:bookmarkStart w:id="1454" w:name="_Toc336338335"/>
      <w:bookmarkStart w:id="1455" w:name="_Toc361829423"/>
      <w:bookmarkStart w:id="1456" w:name="Srv_65ShareptSvr10"/>
      <w:bookmarkStart w:id="1457" w:name="Srv_64OfficeShareptSvr10"/>
      <w:bookmarkStart w:id="1458" w:name="Srv_63OfficeShareptSvr07"/>
      <w:bookmarkStart w:id="1459" w:name="Srv_62OfficeShareptSvr07"/>
      <w:bookmarkEnd w:id="1441"/>
      <w:bookmarkEnd w:id="1450"/>
      <w:bookmarkEnd w:id="1451"/>
      <w:bookmarkEnd w:id="1452"/>
      <w:bookmarkEnd w:id="1453"/>
      <w:r w:rsidRPr="000A1C8E">
        <w:rPr>
          <w:rFonts w:ascii="Tahoma" w:hAnsi="Tahoma" w:cs="Tahoma"/>
          <w:caps/>
          <w:color w:val="FA6500"/>
          <w:sz w:val="22"/>
          <w:vertAlign w:val="superscript"/>
        </w:rPr>
        <w:t xml:space="preserve">80 </w:t>
      </w:r>
      <w:r w:rsidRPr="000A1C8E">
        <w:rPr>
          <w:rFonts w:ascii="Tahoma" w:hAnsi="Tahoma" w:cs="Tahoma"/>
          <w:color w:val="FA6500"/>
          <w:sz w:val="22"/>
        </w:rPr>
        <w:t xml:space="preserve">SharePoint Server </w:t>
      </w:r>
      <w:bookmarkEnd w:id="1454"/>
      <w:r w:rsidRPr="000A1C8E">
        <w:rPr>
          <w:rFonts w:ascii="Tahoma" w:hAnsi="Tahoma" w:cs="Tahoma"/>
          <w:color w:val="FA6500"/>
          <w:sz w:val="22"/>
        </w:rPr>
        <w:t>2013</w:t>
      </w:r>
      <w:bookmarkEnd w:id="1455"/>
      <w:r w:rsidRPr="000A1C8E">
        <w:rPr>
          <w:rFonts w:ascii="Tahoma" w:hAnsi="Tahoma" w:cs="Tahoma"/>
          <w:color w:val="FA6500"/>
          <w:sz w:val="22"/>
        </w:rPr>
        <w:t xml:space="preserve"> </w:t>
      </w:r>
    </w:p>
    <w:bookmarkEnd w:id="1456"/>
    <w:bookmarkEnd w:id="1457"/>
    <w:bookmarkEnd w:id="1458"/>
    <w:bookmarkEnd w:id="1459"/>
    <w:p w:rsidR="002F7FB8" w:rsidRPr="000A1C8E" w:rsidRDefault="002F7FB8" w:rsidP="002F7FB8">
      <w:pPr>
        <w:ind w:left="720"/>
        <w:rPr>
          <w:rFonts w:cs="Tahoma"/>
        </w:rPr>
      </w:pPr>
    </w:p>
    <w:p w:rsidR="002F7FB8" w:rsidRPr="000A1C8E" w:rsidRDefault="002F7FB8" w:rsidP="002F7FB8">
      <w:pPr>
        <w:ind w:left="720"/>
        <w:rPr>
          <w:rFonts w:cs="Tahoma"/>
        </w:rPr>
      </w:pPr>
      <w:r w:rsidRPr="000A1C8E">
        <w:rPr>
          <w:rFonts w:cs="Tahoma"/>
          <w:color w:val="000000"/>
          <w:szCs w:val="18"/>
        </w:rPr>
        <w:t>SharePoint Server 2013 é a versão mais recente do SharePoint Server.</w:t>
      </w:r>
    </w:p>
    <w:p w:rsidR="002F7FB8" w:rsidRPr="000A1C8E" w:rsidRDefault="002F7FB8" w:rsidP="002F7FB8">
      <w:pPr>
        <w:ind w:left="720"/>
        <w:rPr>
          <w:rFonts w:cs="Tahoma"/>
        </w:rPr>
      </w:pPr>
    </w:p>
    <w:p w:rsidR="002F7FB8" w:rsidRPr="000A1C8E" w:rsidRDefault="002F7FB8" w:rsidP="007B699C">
      <w:pPr>
        <w:spacing w:after="60"/>
        <w:ind w:left="720"/>
        <w:rPr>
          <w:rFonts w:cs="Tahoma"/>
        </w:rPr>
      </w:pPr>
      <w:r w:rsidRPr="000A1C8E">
        <w:rPr>
          <w:rFonts w:cs="Tahoma"/>
          <w:b/>
          <w:color w:val="000000"/>
          <w:szCs w:val="18"/>
        </w:rPr>
        <w:t>Outorgas de Licença para SharePoint 2010 para Internet Sites Enterprise, SharePoint Server 2010 para Internet Sites Standard, FAST Search Server 2010 para Clientes do SharePoint Server, Search Server 2010</w:t>
      </w:r>
    </w:p>
    <w:p w:rsidR="002F7FB8" w:rsidRPr="000A1C8E" w:rsidRDefault="00CD0D74" w:rsidP="002F7FB8">
      <w:pPr>
        <w:ind w:left="720"/>
        <w:rPr>
          <w:rFonts w:cs="Tahoma"/>
        </w:rPr>
      </w:pPr>
      <w:r w:rsidRPr="000A1C8E">
        <w:rPr>
          <w:rFonts w:cs="Tahoma"/>
          <w:color w:val="000000"/>
          <w:szCs w:val="18"/>
        </w:rPr>
        <w:t>A versão 2010 do SharePoint Server para Internet Sites Enterprise e SharePoint Server para Internet Sites Standard, FAST Search Server para SharePoint Server e Search Server é a versão final desses produtos.</w:t>
      </w:r>
      <w:r w:rsidR="00DC6D8B" w:rsidRPr="000A1C8E">
        <w:rPr>
          <w:rFonts w:cs="Tahoma"/>
          <w:color w:val="000000"/>
          <w:szCs w:val="18"/>
        </w:rPr>
        <w:t xml:space="preserve"> </w:t>
      </w:r>
      <w:r w:rsidRPr="000A1C8E">
        <w:rPr>
          <w:rFonts w:cs="Tahoma"/>
          <w:color w:val="000000"/>
          <w:szCs w:val="18"/>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outubro de 2012 estão qualificados para as seguintes outorgas de licença.</w:t>
      </w:r>
    </w:p>
    <w:p w:rsidR="007B35CE" w:rsidRPr="000A1C8E"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0A1C8E" w:rsidTr="002C3AB1">
        <w:trPr>
          <w:trHeight w:val="332"/>
        </w:trPr>
        <w:tc>
          <w:tcPr>
            <w:tcW w:w="4500" w:type="dxa"/>
            <w:shd w:val="clear" w:color="auto" w:fill="FABF8F"/>
          </w:tcPr>
          <w:p w:rsidR="002F7FB8" w:rsidRPr="000A1C8E" w:rsidRDefault="002F7FB8" w:rsidP="007E466C">
            <w:pPr>
              <w:keepNext/>
              <w:keepLines/>
              <w:spacing w:before="60" w:after="60"/>
              <w:rPr>
                <w:rFonts w:cs="Tahoma"/>
                <w:b/>
                <w:color w:val="000000"/>
                <w:szCs w:val="18"/>
              </w:rPr>
            </w:pPr>
            <w:r w:rsidRPr="000A1C8E">
              <w:rPr>
                <w:rFonts w:cs="Tahoma"/>
                <w:b/>
                <w:color w:val="000000"/>
                <w:szCs w:val="18"/>
              </w:rPr>
              <w:t>Licença Qualificada</w:t>
            </w:r>
          </w:p>
        </w:tc>
        <w:tc>
          <w:tcPr>
            <w:tcW w:w="3600" w:type="dxa"/>
            <w:shd w:val="clear" w:color="auto" w:fill="FABF8F"/>
          </w:tcPr>
          <w:p w:rsidR="002F7FB8" w:rsidRPr="000A1C8E" w:rsidRDefault="002F7FB8" w:rsidP="007E466C">
            <w:pPr>
              <w:keepNext/>
              <w:keepLines/>
              <w:spacing w:before="60" w:after="60"/>
              <w:rPr>
                <w:rFonts w:cs="Tahoma"/>
                <w:b/>
                <w:color w:val="000000"/>
                <w:szCs w:val="18"/>
              </w:rPr>
            </w:pPr>
            <w:r w:rsidRPr="000A1C8E">
              <w:rPr>
                <w:rFonts w:cs="Tahoma"/>
                <w:b/>
                <w:color w:val="000000"/>
                <w:szCs w:val="18"/>
              </w:rPr>
              <w:t>Licença Complementar e Benefícios</w:t>
            </w:r>
          </w:p>
        </w:tc>
      </w:tr>
      <w:tr w:rsidR="00CD0D74" w:rsidRPr="000A1C8E" w:rsidTr="002C3AB1">
        <w:trPr>
          <w:trHeight w:val="70"/>
        </w:trPr>
        <w:tc>
          <w:tcPr>
            <w:tcW w:w="4500" w:type="dxa"/>
            <w:shd w:val="clear" w:color="auto" w:fill="auto"/>
          </w:tcPr>
          <w:p w:rsidR="00CD0D74" w:rsidRPr="000A1C8E" w:rsidRDefault="00CD0D74" w:rsidP="003678D7">
            <w:pPr>
              <w:keepNext/>
              <w:keepLines/>
              <w:rPr>
                <w:rFonts w:cs="Tahoma"/>
                <w:color w:val="000000"/>
                <w:szCs w:val="18"/>
              </w:rPr>
            </w:pPr>
            <w:r w:rsidRPr="000A1C8E">
              <w:rPr>
                <w:rFonts w:cs="Tahoma"/>
                <w:color w:val="000000"/>
                <w:szCs w:val="18"/>
              </w:rPr>
              <w:t>Licença do SharePoint Server 2010 para Internet Sites Enterprise com Software Assurance ativo em 1º de outubro de 2012</w:t>
            </w:r>
          </w:p>
        </w:tc>
        <w:tc>
          <w:tcPr>
            <w:tcW w:w="3600" w:type="dxa"/>
            <w:shd w:val="clear" w:color="auto" w:fill="auto"/>
          </w:tcPr>
          <w:p w:rsidR="00CD0D74" w:rsidRPr="000A1C8E" w:rsidRDefault="00CD0D74" w:rsidP="00C066F9">
            <w:pPr>
              <w:keepNext/>
              <w:keepLines/>
              <w:rPr>
                <w:rFonts w:cs="Tahoma"/>
                <w:color w:val="000000"/>
                <w:szCs w:val="18"/>
              </w:rPr>
            </w:pPr>
            <w:r w:rsidRPr="000A1C8E">
              <w:rPr>
                <w:rFonts w:cs="Tahoma"/>
                <w:color w:val="000000"/>
                <w:szCs w:val="18"/>
              </w:rPr>
              <w:t>Uma licença do SharePoint Server 2013</w:t>
            </w:r>
          </w:p>
        </w:tc>
      </w:tr>
      <w:tr w:rsidR="00CD0D74" w:rsidRPr="000A1C8E" w:rsidTr="002C3AB1">
        <w:trPr>
          <w:trHeight w:val="152"/>
        </w:trPr>
        <w:tc>
          <w:tcPr>
            <w:tcW w:w="4500" w:type="dxa"/>
            <w:shd w:val="clear" w:color="auto" w:fill="auto"/>
          </w:tcPr>
          <w:p w:rsidR="00CD0D74" w:rsidRPr="000A1C8E" w:rsidRDefault="00CD0D74" w:rsidP="003678D7">
            <w:pPr>
              <w:keepNext/>
              <w:keepLines/>
              <w:rPr>
                <w:rFonts w:cs="Tahoma"/>
                <w:color w:val="000000"/>
                <w:szCs w:val="18"/>
              </w:rPr>
            </w:pPr>
            <w:r w:rsidRPr="000A1C8E">
              <w:rPr>
                <w:rFonts w:cs="Tahoma"/>
                <w:color w:val="000000"/>
                <w:szCs w:val="18"/>
              </w:rPr>
              <w:t xml:space="preserve">Licença do SharePoint Server 2010 para Internet Sites Standard com Software Assurance ativo em 1º de outubro de 2012 </w:t>
            </w:r>
          </w:p>
        </w:tc>
        <w:tc>
          <w:tcPr>
            <w:tcW w:w="3600" w:type="dxa"/>
            <w:shd w:val="clear" w:color="auto" w:fill="auto"/>
          </w:tcPr>
          <w:p w:rsidR="00CD0D74" w:rsidRPr="000A1C8E" w:rsidRDefault="00CD0D74" w:rsidP="00C066F9">
            <w:pPr>
              <w:keepNext/>
              <w:keepLines/>
              <w:rPr>
                <w:rFonts w:cs="Tahoma"/>
                <w:color w:val="000000"/>
                <w:szCs w:val="18"/>
              </w:rPr>
            </w:pPr>
            <w:r w:rsidRPr="000A1C8E">
              <w:rPr>
                <w:rFonts w:cs="Tahoma"/>
                <w:color w:val="000000"/>
                <w:szCs w:val="18"/>
              </w:rPr>
              <w:t>Uma licença do SharePoint Server 2013</w:t>
            </w:r>
          </w:p>
        </w:tc>
      </w:tr>
      <w:tr w:rsidR="00CD0D74" w:rsidRPr="000A1C8E" w:rsidTr="002C3AB1">
        <w:trPr>
          <w:trHeight w:val="152"/>
        </w:trPr>
        <w:tc>
          <w:tcPr>
            <w:tcW w:w="4500" w:type="dxa"/>
            <w:shd w:val="clear" w:color="auto" w:fill="auto"/>
          </w:tcPr>
          <w:p w:rsidR="00CD0D74" w:rsidRPr="000A1C8E" w:rsidRDefault="00CD0D74" w:rsidP="003678D7">
            <w:pPr>
              <w:keepNext/>
              <w:keepLines/>
              <w:rPr>
                <w:rFonts w:cs="Tahoma"/>
                <w:color w:val="000000"/>
                <w:szCs w:val="18"/>
              </w:rPr>
            </w:pPr>
            <w:r w:rsidRPr="000A1C8E">
              <w:rPr>
                <w:rFonts w:cs="Tahoma"/>
                <w:color w:val="000000"/>
                <w:szCs w:val="18"/>
              </w:rPr>
              <w:t>Licença do FAST Search Server 2010 para SharePoint Server com Software Assurance ativo em 1º de outubro de 2012</w:t>
            </w:r>
          </w:p>
        </w:tc>
        <w:tc>
          <w:tcPr>
            <w:tcW w:w="3600" w:type="dxa"/>
            <w:shd w:val="clear" w:color="auto" w:fill="auto"/>
          </w:tcPr>
          <w:p w:rsidR="00CD0D74" w:rsidRPr="000A1C8E" w:rsidRDefault="00CD0D74" w:rsidP="00C066F9">
            <w:pPr>
              <w:keepNext/>
              <w:keepLines/>
              <w:rPr>
                <w:rFonts w:cs="Tahoma"/>
                <w:color w:val="000000"/>
                <w:szCs w:val="18"/>
              </w:rPr>
            </w:pPr>
            <w:r w:rsidRPr="000A1C8E">
              <w:rPr>
                <w:rFonts w:cs="Tahoma"/>
                <w:color w:val="000000"/>
                <w:szCs w:val="18"/>
              </w:rPr>
              <w:t>Uma licença do SharePoint Server 2013</w:t>
            </w:r>
          </w:p>
        </w:tc>
      </w:tr>
      <w:tr w:rsidR="00CD0D74" w:rsidRPr="000A1C8E" w:rsidTr="002C3AB1">
        <w:trPr>
          <w:trHeight w:val="233"/>
        </w:trPr>
        <w:tc>
          <w:tcPr>
            <w:tcW w:w="4500" w:type="dxa"/>
            <w:shd w:val="clear" w:color="auto" w:fill="auto"/>
          </w:tcPr>
          <w:p w:rsidR="00CD0D74" w:rsidRPr="000A1C8E" w:rsidRDefault="00CD0D74" w:rsidP="003678D7">
            <w:pPr>
              <w:keepNext/>
              <w:keepLines/>
              <w:rPr>
                <w:rFonts w:cs="Tahoma"/>
                <w:color w:val="000000"/>
                <w:szCs w:val="18"/>
              </w:rPr>
            </w:pPr>
            <w:r w:rsidRPr="000A1C8E">
              <w:rPr>
                <w:rFonts w:cs="Tahoma"/>
                <w:color w:val="000000"/>
                <w:szCs w:val="18"/>
              </w:rPr>
              <w:t>Licença do Search Server 2010 com Software Assurance ativo em 1º de outubro de 2012</w:t>
            </w:r>
          </w:p>
        </w:tc>
        <w:tc>
          <w:tcPr>
            <w:tcW w:w="3600" w:type="dxa"/>
            <w:shd w:val="clear" w:color="auto" w:fill="auto"/>
          </w:tcPr>
          <w:p w:rsidR="00CD0D74" w:rsidRPr="000A1C8E" w:rsidRDefault="00CD0D74" w:rsidP="00C066F9">
            <w:pPr>
              <w:keepNext/>
              <w:keepLines/>
              <w:rPr>
                <w:rFonts w:cs="Tahoma"/>
              </w:rPr>
            </w:pPr>
            <w:r w:rsidRPr="000A1C8E">
              <w:rPr>
                <w:rFonts w:cs="Tahoma"/>
                <w:color w:val="000000"/>
                <w:szCs w:val="18"/>
              </w:rPr>
              <w:t xml:space="preserve">Uma licença do SharePoint Server 2013 </w:t>
            </w:r>
            <w:r w:rsidRPr="000A1C8E">
              <w:rPr>
                <w:rFonts w:cs="Tahoma"/>
                <w:b/>
                <w:color w:val="000000"/>
                <w:szCs w:val="18"/>
              </w:rPr>
              <w:t>e</w:t>
            </w:r>
          </w:p>
          <w:p w:rsidR="00CD0D74" w:rsidRPr="000A1C8E" w:rsidRDefault="00CD0D74" w:rsidP="00C066F9">
            <w:pPr>
              <w:keepNext/>
              <w:keepLines/>
              <w:rPr>
                <w:rFonts w:cs="Tahoma"/>
              </w:rPr>
            </w:pPr>
          </w:p>
          <w:p w:rsidR="00CD0D74" w:rsidRPr="000A1C8E" w:rsidRDefault="00CD0D74" w:rsidP="00C066F9">
            <w:pPr>
              <w:keepNext/>
              <w:keepLines/>
              <w:rPr>
                <w:rFonts w:cs="Tahoma"/>
                <w:color w:val="000000"/>
                <w:szCs w:val="18"/>
              </w:rPr>
            </w:pPr>
            <w:r w:rsidRPr="000A1C8E">
              <w:rPr>
                <w:rFonts w:cs="Tahoma"/>
                <w:color w:val="000000"/>
                <w:szCs w:val="18"/>
              </w:rPr>
              <w:t>100 CALs do SharePoint Server 2013 Standard</w:t>
            </w:r>
          </w:p>
        </w:tc>
      </w:tr>
    </w:tbl>
    <w:p w:rsidR="00586FCE" w:rsidRPr="000A1C8E" w:rsidRDefault="00586FCE" w:rsidP="00586FCE">
      <w:pPr>
        <w:rPr>
          <w:rFonts w:cs="Tahoma"/>
        </w:rPr>
      </w:pPr>
    </w:p>
    <w:p w:rsidR="00F051AB" w:rsidRPr="000A1C8E" w:rsidRDefault="00F051AB" w:rsidP="002F7FB8">
      <w:pPr>
        <w:ind w:left="720"/>
        <w:rPr>
          <w:rFonts w:cs="Tahoma"/>
          <w:color w:val="000000"/>
          <w:szCs w:val="18"/>
        </w:rPr>
      </w:pPr>
    </w:p>
    <w:p w:rsidR="00F051AB" w:rsidRPr="000A1C8E" w:rsidRDefault="00F051AB" w:rsidP="002F7FB8">
      <w:pPr>
        <w:ind w:left="720"/>
        <w:rPr>
          <w:rFonts w:cs="Tahoma"/>
          <w:color w:val="000000"/>
          <w:szCs w:val="18"/>
        </w:rPr>
      </w:pPr>
    </w:p>
    <w:p w:rsidR="00F051AB" w:rsidRPr="000A1C8E" w:rsidRDefault="00F051AB" w:rsidP="002F7FB8">
      <w:pPr>
        <w:ind w:left="720"/>
        <w:rPr>
          <w:rFonts w:cs="Tahoma"/>
          <w:color w:val="000000"/>
          <w:szCs w:val="18"/>
        </w:rPr>
      </w:pPr>
    </w:p>
    <w:p w:rsidR="00F051AB" w:rsidRPr="000A1C8E" w:rsidRDefault="00F051AB" w:rsidP="002F7FB8">
      <w:pPr>
        <w:ind w:left="720"/>
        <w:rPr>
          <w:rFonts w:cs="Tahoma"/>
          <w:color w:val="000000"/>
          <w:szCs w:val="18"/>
        </w:rPr>
      </w:pPr>
    </w:p>
    <w:p w:rsidR="002F7FB8" w:rsidRPr="000A1C8E" w:rsidRDefault="002F7FB8" w:rsidP="002F7FB8">
      <w:pPr>
        <w:ind w:left="720"/>
        <w:rPr>
          <w:rFonts w:cs="Tahoma"/>
        </w:rPr>
      </w:pPr>
      <w:r w:rsidRPr="000A1C8E">
        <w:rPr>
          <w:rFonts w:cs="Tahoma"/>
          <w:color w:val="000000"/>
          <w:szCs w:val="18"/>
        </w:rPr>
        <w:lastRenderedPageBreak/>
        <w:t>Os termos e as condições a seguir se aplicam à outorga de licença acima.</w:t>
      </w:r>
    </w:p>
    <w:p w:rsidR="002F7FB8" w:rsidRPr="000A1C8E" w:rsidRDefault="002F7FB8" w:rsidP="002F7FB8">
      <w:pPr>
        <w:ind w:left="720"/>
        <w:rPr>
          <w:rFonts w:cs="Tahoma"/>
        </w:rPr>
      </w:pPr>
    </w:p>
    <w:p w:rsidR="002F7FB8" w:rsidRPr="000A1C8E" w:rsidRDefault="002F7FB8" w:rsidP="00346F4B">
      <w:pPr>
        <w:numPr>
          <w:ilvl w:val="0"/>
          <w:numId w:val="101"/>
        </w:numPr>
        <w:spacing w:after="60"/>
        <w:ind w:left="1440"/>
        <w:rPr>
          <w:rFonts w:cs="Tahoma"/>
        </w:rPr>
      </w:pPr>
      <w:r w:rsidRPr="000A1C8E">
        <w:rPr>
          <w:rFonts w:cs="Tahoma"/>
          <w:bCs/>
          <w:color w:val="000000"/>
          <w:szCs w:val="18"/>
          <w:u w:val="single"/>
        </w:rPr>
        <w:t>Caminho de Migração</w:t>
      </w:r>
      <w:r w:rsidR="00B37689" w:rsidRPr="00B37689">
        <w:rPr>
          <w:rFonts w:cs="Tahoma"/>
          <w:color w:val="000000"/>
          <w:szCs w:val="18"/>
        </w:rPr>
        <w:t>:</w:t>
      </w:r>
      <w:r w:rsidRPr="000A1C8E">
        <w:rPr>
          <w:rFonts w:cs="Tahoma"/>
          <w:color w:val="000000"/>
          <w:szCs w:val="18"/>
        </w:rPr>
        <w:t xml:space="preserve"> os clientes com cobertura do Software Assurance ativa para uma determinada Licença Qualificada a partir de 1º de outubro de 2012 e mediante o lançamento do SharePoint Server 2013 estão qualificados para atualizar e usar o software SharePoint 2013 sob a Licença Complementar em vez da cópia licenciada correspondente do software de 2010.</w:t>
      </w:r>
      <w:r w:rsidR="00DC6D8B" w:rsidRPr="000A1C8E">
        <w:rPr>
          <w:rFonts w:cs="Tahoma"/>
          <w:color w:val="000000"/>
          <w:szCs w:val="18"/>
        </w:rPr>
        <w:t xml:space="preserve"> </w:t>
      </w:r>
    </w:p>
    <w:p w:rsidR="002F7FB8" w:rsidRPr="000A1C8E" w:rsidRDefault="002F7FB8" w:rsidP="00F051AB">
      <w:pPr>
        <w:numPr>
          <w:ilvl w:val="0"/>
          <w:numId w:val="101"/>
        </w:numPr>
        <w:spacing w:after="60"/>
        <w:ind w:left="1440"/>
        <w:rPr>
          <w:rFonts w:cs="Tahoma"/>
        </w:rPr>
      </w:pPr>
      <w:r w:rsidRPr="000A1C8E">
        <w:rPr>
          <w:rFonts w:cs="Tahoma"/>
          <w:color w:val="000000"/>
          <w:szCs w:val="18"/>
          <w:u w:val="single"/>
        </w:rPr>
        <w:t>Direitos de uso</w:t>
      </w:r>
      <w:r w:rsidRPr="000A1C8E">
        <w:rPr>
          <w:rFonts w:cs="Tahoma"/>
          <w:color w:val="000000"/>
          <w:szCs w:val="18"/>
        </w:rPr>
        <w:t>: O direito de usar o software sob as Licenças Complementares nessa oferta expirará quando o direito de usar o software sob as Licenças Qualificadas expirar.</w:t>
      </w:r>
      <w:r w:rsidR="00DC6D8B" w:rsidRPr="000A1C8E">
        <w:rPr>
          <w:rFonts w:cs="Tahoma"/>
          <w:color w:val="000000"/>
          <w:szCs w:val="18"/>
        </w:rPr>
        <w:t xml:space="preserve"> </w:t>
      </w:r>
      <w:r w:rsidRPr="000A1C8E">
        <w:rPr>
          <w:rFonts w:cs="Tahoma"/>
          <w:color w:val="000000"/>
          <w:szCs w:val="18"/>
        </w:rPr>
        <w:t>O uso desse software é regido pelos direitos de uso do software e pelos termos e condições do contrato de licenciamento por volume do cliente.</w:t>
      </w:r>
      <w:r w:rsidR="00DC6D8B" w:rsidRPr="000A1C8E">
        <w:rPr>
          <w:rFonts w:cs="Tahoma"/>
          <w:color w:val="000000"/>
          <w:szCs w:val="18"/>
        </w:rPr>
        <w:t xml:space="preserve"> </w:t>
      </w:r>
      <w:r w:rsidRPr="000A1C8E">
        <w:rPr>
          <w:rFonts w:cs="Tahoma"/>
          <w:color w:val="000000"/>
          <w:szCs w:val="18"/>
        </w:rPr>
        <w:t>Essa nota de condição do produto e a evidência do cliente da</w:t>
      </w:r>
      <w:r w:rsidR="00F051AB" w:rsidRPr="000A1C8E">
        <w:rPr>
          <w:rFonts w:cs="Tahoma"/>
          <w:color w:val="000000"/>
          <w:szCs w:val="18"/>
        </w:rPr>
        <w:t> </w:t>
      </w:r>
      <w:r w:rsidRPr="000A1C8E">
        <w:rPr>
          <w:rFonts w:cs="Tahoma"/>
          <w:color w:val="000000"/>
          <w:szCs w:val="18"/>
        </w:rPr>
        <w:t xml:space="preserve">Licença Qualificada e do Software Assurance do cliente juntas comprovam o direito de usar o software sob a Licença Complementar nessa oferta. </w:t>
      </w:r>
    </w:p>
    <w:p w:rsidR="002F7FB8" w:rsidRPr="000A1C8E" w:rsidRDefault="002F7FB8" w:rsidP="007B699C">
      <w:pPr>
        <w:numPr>
          <w:ilvl w:val="0"/>
          <w:numId w:val="8"/>
        </w:numPr>
        <w:spacing w:after="60"/>
        <w:ind w:left="1440"/>
        <w:rPr>
          <w:rFonts w:cs="Tahoma"/>
        </w:rPr>
      </w:pPr>
      <w:r w:rsidRPr="000A1C8E">
        <w:rPr>
          <w:rFonts w:cs="Tahoma"/>
          <w:color w:val="000000"/>
          <w:szCs w:val="18"/>
          <w:u w:val="single"/>
        </w:rPr>
        <w:t>Licença e Software Assurance (L&amp;SA)</w:t>
      </w:r>
      <w:r w:rsidRPr="000A1C8E">
        <w:rPr>
          <w:rFonts w:cs="Tahoma"/>
          <w:color w:val="000000"/>
          <w:szCs w:val="18"/>
        </w:rPr>
        <w:t>: A Licença Complementar inclui a cobertura do Software Assurance.</w:t>
      </w:r>
      <w:r w:rsidR="00DC6D8B" w:rsidRPr="000A1C8E">
        <w:rPr>
          <w:rFonts w:cs="Tahoma"/>
          <w:color w:val="000000"/>
          <w:szCs w:val="18"/>
        </w:rPr>
        <w:t xml:space="preserve"> </w:t>
      </w:r>
      <w:r w:rsidRPr="000A1C8E">
        <w:rPr>
          <w:rFonts w:cs="Tahoma"/>
          <w:color w:val="000000"/>
          <w:szCs w:val="18"/>
        </w:rPr>
        <w:t>A cobertura do Software Assurance sobre a Licença Complementar expirará quando a cobertura da Licença Qualificada expirar.</w:t>
      </w:r>
      <w:r w:rsidR="00DC6D8B" w:rsidRPr="000A1C8E">
        <w:rPr>
          <w:rFonts w:cs="Tahoma"/>
          <w:color w:val="000000"/>
          <w:szCs w:val="18"/>
        </w:rPr>
        <w:t xml:space="preserve"> </w:t>
      </w:r>
      <w:r w:rsidRPr="000A1C8E">
        <w:rPr>
          <w:rFonts w:cs="Tahoma"/>
          <w:color w:val="000000"/>
          <w:szCs w:val="18"/>
        </w:rPr>
        <w:t>No término da cobertura do Software Assurance para a Licença Qualificada, o cliente poderá renovar o Software Assurance para a Licença Complementar sem precisar adquirir uma nova licença separadamente.</w:t>
      </w:r>
    </w:p>
    <w:p w:rsidR="002F7FB8" w:rsidRPr="000A1C8E" w:rsidRDefault="002F7FB8" w:rsidP="00346F4B">
      <w:pPr>
        <w:numPr>
          <w:ilvl w:val="0"/>
          <w:numId w:val="102"/>
        </w:numPr>
        <w:spacing w:after="60"/>
        <w:ind w:left="1440"/>
        <w:rPr>
          <w:rFonts w:cs="Tahoma"/>
        </w:rPr>
      </w:pPr>
      <w:r w:rsidRPr="000A1C8E">
        <w:rPr>
          <w:rFonts w:eastAsia="Calibri" w:cs="Tahoma"/>
          <w:color w:val="000000"/>
          <w:szCs w:val="18"/>
          <w:u w:val="single"/>
        </w:rPr>
        <w:t>Adequações (“true-ups”)</w:t>
      </w:r>
      <w:r w:rsidRPr="009959DF">
        <w:rPr>
          <w:rFonts w:eastAsia="Calibri" w:cs="Tahoma"/>
          <w:bCs/>
          <w:color w:val="000000"/>
          <w:szCs w:val="18"/>
        </w:rPr>
        <w:t>.</w:t>
      </w:r>
      <w:r w:rsidR="00DC6D8B" w:rsidRPr="000A1C8E">
        <w:rPr>
          <w:rFonts w:eastAsia="Calibri" w:cs="Tahoma"/>
          <w:color w:val="000000"/>
          <w:szCs w:val="18"/>
        </w:rPr>
        <w:t xml:space="preserve"> </w:t>
      </w:r>
      <w:r w:rsidRPr="000A1C8E">
        <w:rPr>
          <w:rFonts w:eastAsia="Calibri" w:cs="Tahoma"/>
          <w:color w:val="000000"/>
          <w:szCs w:val="18"/>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0A1C8E">
        <w:rPr>
          <w:rFonts w:cs="Tahoma"/>
          <w:color w:val="000000"/>
          <w:szCs w:val="20"/>
        </w:rPr>
        <w:t xml:space="preserve">e FAST Search Server 2010 para SharePoint Server </w:t>
      </w:r>
      <w:r w:rsidRPr="000A1C8E">
        <w:rPr>
          <w:rFonts w:eastAsia="Calibri" w:cs="Tahoma"/>
          <w:color w:val="000000"/>
          <w:szCs w:val="18"/>
        </w:rPr>
        <w:t xml:space="preserve">adquiridas como parte de um processo de adequações (“true-ups”) </w:t>
      </w:r>
      <w:r w:rsidRPr="000A1C8E">
        <w:rPr>
          <w:rFonts w:cs="Tahoma"/>
          <w:color w:val="000000"/>
          <w:szCs w:val="18"/>
        </w:rPr>
        <w:t xml:space="preserve">anuais do cliente também são licenças qualificadas. </w:t>
      </w:r>
    </w:p>
    <w:p w:rsidR="002F7FB8" w:rsidRPr="000A1C8E" w:rsidRDefault="002F7FB8" w:rsidP="00346F4B">
      <w:pPr>
        <w:numPr>
          <w:ilvl w:val="0"/>
          <w:numId w:val="102"/>
        </w:numPr>
        <w:spacing w:after="60"/>
        <w:ind w:left="1440"/>
        <w:rPr>
          <w:rFonts w:cs="Tahoma"/>
        </w:rPr>
      </w:pPr>
      <w:r w:rsidRPr="000A1C8E">
        <w:rPr>
          <w:rFonts w:cs="Tahoma"/>
          <w:color w:val="000000"/>
          <w:szCs w:val="18"/>
          <w:u w:val="single"/>
        </w:rPr>
        <w:t>Contratos Subscription</w:t>
      </w:r>
      <w:r w:rsidR="00B37689" w:rsidRPr="00B37689">
        <w:rPr>
          <w:rFonts w:cs="Tahoma"/>
          <w:color w:val="000000"/>
          <w:szCs w:val="18"/>
        </w:rPr>
        <w:t>.</w:t>
      </w:r>
      <w:r w:rsidR="00DC6D8B" w:rsidRPr="000A1C8E">
        <w:rPr>
          <w:rFonts w:cs="Tahoma"/>
          <w:color w:val="000000"/>
          <w:szCs w:val="18"/>
        </w:rPr>
        <w:t xml:space="preserve"> </w:t>
      </w:r>
      <w:r w:rsidRPr="000A1C8E">
        <w:rPr>
          <w:rFonts w:cs="Tahoma"/>
          <w:color w:val="000000"/>
          <w:szCs w:val="18"/>
        </w:rPr>
        <w:t xml:space="preserve">Para Enterprise Subscription, </w:t>
      </w:r>
      <w:r w:rsidRPr="000A1C8E">
        <w:rPr>
          <w:rFonts w:cs="Tahoma"/>
          <w:szCs w:val="18"/>
        </w:rPr>
        <w:t>Open Value Subscription, Campus e School, Enrollment for Education Solutions e Open Value Subscription – Education Solutions, os mesmos direitos serão outorgados temporariamente sob as mesmas condições</w:t>
      </w:r>
      <w:r w:rsidRPr="000A1C8E">
        <w:rPr>
          <w:rFonts w:cs="Tahoma"/>
          <w:color w:val="000000"/>
          <w:szCs w:val="18"/>
        </w:rPr>
        <w:t xml:space="preserve"> até o final do prazo do registro atual (ou prazo do contrato no caso do Open Value).</w:t>
      </w:r>
      <w:r w:rsidR="00DC6D8B" w:rsidRPr="000A1C8E">
        <w:rPr>
          <w:rFonts w:cs="Tahoma"/>
          <w:color w:val="000000"/>
          <w:szCs w:val="18"/>
        </w:rPr>
        <w:t xml:space="preserve"> </w:t>
      </w:r>
      <w:r w:rsidRPr="000A1C8E">
        <w:rPr>
          <w:rFonts w:cs="Tahoma"/>
          <w:color w:val="000000"/>
          <w:szCs w:val="18"/>
        </w:rPr>
        <w:t>O cliente deverá manter uma cobertura contínua da assinatura.</w:t>
      </w:r>
      <w:r w:rsidR="00DC6D8B" w:rsidRPr="000A1C8E">
        <w:rPr>
          <w:rFonts w:cs="Tahoma"/>
          <w:color w:val="000000"/>
          <w:szCs w:val="18"/>
        </w:rPr>
        <w:t xml:space="preserve"> </w:t>
      </w:r>
      <w:r w:rsidRPr="000A1C8E">
        <w:rPr>
          <w:rFonts w:cs="Tahoma"/>
          <w:color w:val="000000"/>
          <w:szCs w:val="18"/>
        </w:rPr>
        <w:t>Esses direitos só se tornarão permanentes se a opção de compra (“buy-out”) for exercida e continuarão sujeitos a todos os termos e condições do contrato de licença do cliente.</w:t>
      </w:r>
    </w:p>
    <w:p w:rsidR="002F7FB8" w:rsidRPr="000A1C8E" w:rsidRDefault="002F7FB8" w:rsidP="00346F4B">
      <w:pPr>
        <w:numPr>
          <w:ilvl w:val="0"/>
          <w:numId w:val="103"/>
        </w:numPr>
        <w:spacing w:after="60"/>
        <w:ind w:left="1440"/>
        <w:rPr>
          <w:rFonts w:cs="Tahoma"/>
          <w:spacing w:val="-2"/>
        </w:rPr>
      </w:pPr>
      <w:r w:rsidRPr="000A1C8E">
        <w:rPr>
          <w:rFonts w:cs="Tahoma"/>
          <w:spacing w:val="-2"/>
          <w:szCs w:val="18"/>
          <w:u w:val="single"/>
        </w:rPr>
        <w:t>Transições do Contrato Campus e Escola</w:t>
      </w:r>
      <w:r w:rsidR="00B37689" w:rsidRPr="00B37689">
        <w:rPr>
          <w:rFonts w:cs="Tahoma"/>
          <w:spacing w:val="-2"/>
          <w:szCs w:val="18"/>
        </w:rPr>
        <w:t>.</w:t>
      </w:r>
      <w:r w:rsidRPr="000A1C8E">
        <w:rPr>
          <w:rFonts w:cs="Tahoma"/>
          <w:spacing w:val="-2"/>
          <w:szCs w:val="18"/>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rsidR="002F7FB8" w:rsidRPr="009959DF" w:rsidRDefault="002F7FB8" w:rsidP="00346F4B">
      <w:pPr>
        <w:pStyle w:val="ListParagraph"/>
        <w:numPr>
          <w:ilvl w:val="0"/>
          <w:numId w:val="87"/>
        </w:numPr>
        <w:spacing w:after="60"/>
        <w:ind w:left="1800"/>
        <w:rPr>
          <w:rFonts w:ascii="Tahoma" w:hAnsi="Tahoma" w:cs="Tahoma"/>
          <w:sz w:val="18"/>
          <w:szCs w:val="18"/>
        </w:rPr>
      </w:pPr>
      <w:r w:rsidRPr="009959DF">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2512D3" w:rsidRPr="009959DF" w:rsidRDefault="002F7FB8" w:rsidP="00F051AB">
      <w:pPr>
        <w:pStyle w:val="ListParagraph"/>
        <w:numPr>
          <w:ilvl w:val="0"/>
          <w:numId w:val="87"/>
        </w:numPr>
        <w:spacing w:after="60"/>
        <w:ind w:left="1800"/>
        <w:rPr>
          <w:rFonts w:ascii="Tahoma" w:hAnsi="Tahoma" w:cs="Tahoma"/>
          <w:sz w:val="18"/>
          <w:szCs w:val="18"/>
        </w:rPr>
      </w:pPr>
      <w:r w:rsidRPr="009959DF">
        <w:rPr>
          <w:rFonts w:ascii="Tahoma" w:hAnsi="Tahoma" w:cs="Tahoma"/>
          <w:sz w:val="18"/>
          <w:szCs w:val="18"/>
        </w:rPr>
        <w:t>Esses direitos só se tornarão permanentes se a opção de compra (“buy-out”) for exercida e</w:t>
      </w:r>
      <w:r w:rsidR="00F051AB" w:rsidRPr="009959DF">
        <w:rPr>
          <w:rFonts w:ascii="Tahoma" w:hAnsi="Tahoma" w:cs="Tahoma"/>
          <w:sz w:val="18"/>
          <w:szCs w:val="18"/>
        </w:rPr>
        <w:t> </w:t>
      </w:r>
      <w:r w:rsidRPr="009959DF">
        <w:rPr>
          <w:rFonts w:ascii="Tahoma" w:hAnsi="Tahoma" w:cs="Tahoma"/>
          <w:sz w:val="18"/>
          <w:szCs w:val="18"/>
        </w:rPr>
        <w:t>continuarão sujeitos a todos os termos e condições do contrato de licença do cliente.</w:t>
      </w:r>
    </w:p>
    <w:p w:rsidR="0004051B" w:rsidRPr="000A1C8E" w:rsidRDefault="0004051B" w:rsidP="0004051B">
      <w:pPr>
        <w:ind w:left="720"/>
        <w:rPr>
          <w:rFonts w:cs="Tahoma"/>
        </w:rPr>
      </w:pPr>
    </w:p>
    <w:p w:rsidR="002F7FB8" w:rsidRPr="000A1C8E" w:rsidRDefault="002F7FB8" w:rsidP="007B699C">
      <w:pPr>
        <w:spacing w:after="60"/>
        <w:ind w:left="720"/>
        <w:rPr>
          <w:rFonts w:cs="Tahoma"/>
        </w:rPr>
      </w:pPr>
      <w:r w:rsidRPr="000A1C8E">
        <w:rPr>
          <w:rFonts w:cs="Tahoma"/>
          <w:b/>
          <w:color w:val="000000"/>
          <w:szCs w:val="18"/>
        </w:rPr>
        <w:t>Direitos excepcionais de downgrade do SharePoint Server 2013</w:t>
      </w:r>
    </w:p>
    <w:p w:rsidR="002F7FB8" w:rsidRPr="000A1C8E" w:rsidRDefault="002F7FB8" w:rsidP="002F7FB8">
      <w:pPr>
        <w:ind w:left="720"/>
        <w:rPr>
          <w:rFonts w:cs="Tahoma"/>
        </w:rPr>
      </w:pPr>
      <w:r w:rsidRPr="000A1C8E">
        <w:rPr>
          <w:rFonts w:cs="Tahoma"/>
          <w:szCs w:val="18"/>
        </w:rPr>
        <w:t>Os clientes licenciados para o SharePoint Server 2013 poderão acessar e usar qualquer um dos produtos listados na tabela abaixo em vez do SharePoint Server 2013, como pode ser visto a seguir:</w:t>
      </w:r>
    </w:p>
    <w:p w:rsidR="002F7FB8" w:rsidRPr="000A1C8E" w:rsidRDefault="002F7FB8" w:rsidP="002F7FB8">
      <w:pPr>
        <w:ind w:left="810"/>
        <w:rPr>
          <w:rFonts w:cs="Tahoma"/>
        </w:rPr>
      </w:pPr>
      <w:r w:rsidRPr="000A1C8E">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0A1C8E"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0A1C8E" w:rsidRDefault="00BD1A6A" w:rsidP="007E466C">
            <w:pPr>
              <w:spacing w:before="60" w:after="60"/>
              <w:ind w:left="162"/>
              <w:rPr>
                <w:rFonts w:cs="Tahoma"/>
                <w:b/>
                <w:bCs/>
                <w:color w:val="000000"/>
                <w:szCs w:val="18"/>
              </w:rPr>
            </w:pPr>
            <w:r w:rsidRPr="000A1C8E">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0A1C8E" w:rsidRDefault="00BD1A6A" w:rsidP="007E466C">
            <w:pPr>
              <w:spacing w:before="60" w:after="60"/>
              <w:ind w:left="180"/>
              <w:rPr>
                <w:rFonts w:cs="Tahoma"/>
                <w:b/>
                <w:bCs/>
                <w:color w:val="000000"/>
                <w:szCs w:val="18"/>
              </w:rPr>
            </w:pPr>
            <w:r w:rsidRPr="000A1C8E">
              <w:rPr>
                <w:rFonts w:cs="Tahoma"/>
                <w:b/>
                <w:bCs/>
                <w:color w:val="000000"/>
                <w:szCs w:val="18"/>
              </w:rPr>
              <w:t>Uso de Versão Anterior (Downgrade) para</w:t>
            </w:r>
          </w:p>
        </w:tc>
      </w:tr>
      <w:tr w:rsidR="00BD1A6A" w:rsidRPr="000A1C8E"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0A1C8E" w:rsidRDefault="00BD1A6A" w:rsidP="00722522">
            <w:pPr>
              <w:ind w:left="162"/>
              <w:rPr>
                <w:rFonts w:cs="Tahoma"/>
                <w:color w:val="000000"/>
                <w:szCs w:val="18"/>
              </w:rPr>
            </w:pPr>
            <w:r w:rsidRPr="000A1C8E">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rsidR="00BD1A6A" w:rsidRPr="000A1C8E" w:rsidRDefault="00BD1A6A" w:rsidP="00F249BF">
            <w:pPr>
              <w:ind w:left="162" w:right="180"/>
              <w:rPr>
                <w:rFonts w:cs="Tahoma"/>
              </w:rPr>
            </w:pPr>
            <w:r w:rsidRPr="000A1C8E">
              <w:rPr>
                <w:rFonts w:cs="Tahoma"/>
                <w:color w:val="000000"/>
                <w:szCs w:val="18"/>
              </w:rPr>
              <w:t xml:space="preserve">SharePoint Server 2010 </w:t>
            </w:r>
            <w:r w:rsidRPr="000A1C8E">
              <w:rPr>
                <w:rFonts w:cs="Tahoma"/>
                <w:b/>
                <w:color w:val="000000"/>
                <w:szCs w:val="18"/>
              </w:rPr>
              <w:t>ou</w:t>
            </w:r>
          </w:p>
          <w:p w:rsidR="00BD1A6A" w:rsidRPr="000A1C8E" w:rsidRDefault="00BD1A6A" w:rsidP="002C3AB1">
            <w:pPr>
              <w:ind w:left="162" w:right="180"/>
              <w:rPr>
                <w:rFonts w:cs="Tahoma"/>
                <w:color w:val="000000"/>
                <w:szCs w:val="18"/>
              </w:rPr>
            </w:pPr>
            <w:r w:rsidRPr="000A1C8E">
              <w:rPr>
                <w:rFonts w:cs="Tahoma"/>
                <w:color w:val="000000"/>
                <w:szCs w:val="18"/>
              </w:rPr>
              <w:t xml:space="preserve">FAST Search Server 2010 para SharePoint Server </w:t>
            </w:r>
          </w:p>
        </w:tc>
      </w:tr>
    </w:tbl>
    <w:p w:rsidR="002F7FB8" w:rsidRPr="000A1C8E" w:rsidRDefault="00DC6D8B" w:rsidP="002F7FB8">
      <w:pPr>
        <w:ind w:left="810"/>
        <w:rPr>
          <w:rFonts w:cs="Tahoma"/>
        </w:rPr>
      </w:pPr>
      <w:r w:rsidRPr="000A1C8E">
        <w:rPr>
          <w:rFonts w:cs="Tahoma"/>
          <w:color w:val="000000"/>
          <w:szCs w:val="18"/>
        </w:rPr>
        <w:t xml:space="preserve"> </w:t>
      </w:r>
    </w:p>
    <w:p w:rsidR="002F7FB8" w:rsidRPr="000A1C8E" w:rsidRDefault="002F7FB8" w:rsidP="002F7FB8">
      <w:pPr>
        <w:ind w:left="720"/>
        <w:rPr>
          <w:rFonts w:cs="Tahoma"/>
        </w:rPr>
      </w:pPr>
      <w:r w:rsidRPr="000A1C8E">
        <w:rPr>
          <w:rFonts w:cs="Tahoma"/>
          <w:color w:val="000000"/>
          <w:szCs w:val="18"/>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rsidR="002F7FB8" w:rsidRPr="000A1C8E" w:rsidRDefault="002F7FB8" w:rsidP="002F7FB8">
      <w:pPr>
        <w:ind w:left="720"/>
        <w:rPr>
          <w:rFonts w:cs="Tahoma"/>
        </w:rPr>
      </w:pPr>
    </w:p>
    <w:p w:rsidR="00F051AB" w:rsidRPr="000A1C8E" w:rsidRDefault="00F051AB" w:rsidP="002F7FB8">
      <w:pPr>
        <w:ind w:left="720"/>
        <w:rPr>
          <w:rFonts w:cs="Tahoma"/>
        </w:rPr>
      </w:pPr>
    </w:p>
    <w:p w:rsidR="00F051AB" w:rsidRPr="000A1C8E" w:rsidRDefault="00F051AB" w:rsidP="002F7FB8">
      <w:pPr>
        <w:ind w:left="720"/>
        <w:rPr>
          <w:rFonts w:cs="Tahoma"/>
        </w:rPr>
      </w:pPr>
    </w:p>
    <w:p w:rsidR="00F051AB" w:rsidRPr="000A1C8E" w:rsidRDefault="00F051AB" w:rsidP="002F7FB8">
      <w:pPr>
        <w:ind w:left="720"/>
        <w:rPr>
          <w:rFonts w:cs="Tahoma"/>
        </w:rPr>
      </w:pPr>
    </w:p>
    <w:p w:rsidR="002F7FB8" w:rsidRPr="000A1C8E" w:rsidRDefault="002F7FB8" w:rsidP="00031ABF">
      <w:pPr>
        <w:spacing w:after="60"/>
        <w:ind w:left="720"/>
        <w:rPr>
          <w:rFonts w:cs="Tahoma"/>
        </w:rPr>
      </w:pPr>
      <w:r w:rsidRPr="000A1C8E">
        <w:rPr>
          <w:rFonts w:cs="Tahoma"/>
          <w:b/>
          <w:color w:val="000000"/>
          <w:szCs w:val="18"/>
        </w:rPr>
        <w:lastRenderedPageBreak/>
        <w:t xml:space="preserve">Extensão dos direitos de Aplicativos Auto-hospedados de Software Assurance para Clientes do SharePoint Server </w:t>
      </w:r>
      <w:bookmarkStart w:id="1460" w:name="Srv_65SharepointSvr10IntSites"/>
      <w:bookmarkStart w:id="1461" w:name="_Toc336338336"/>
      <w:bookmarkStart w:id="1462" w:name="Srv_66SharepointSvr10IntSites"/>
      <w:bookmarkStart w:id="1463" w:name="Srv_63SharepointSvr07IntSites"/>
      <w:bookmarkStart w:id="1464" w:name="Srv_64SharepointSvr07IntSites"/>
      <w:r w:rsidRPr="000A1C8E">
        <w:rPr>
          <w:rFonts w:cs="Tahoma"/>
          <w:b/>
          <w:color w:val="000000"/>
          <w:szCs w:val="18"/>
        </w:rPr>
        <w:t>para Internet Sites Enterprise</w:t>
      </w:r>
      <w:bookmarkEnd w:id="1460"/>
      <w:bookmarkEnd w:id="1461"/>
      <w:bookmarkEnd w:id="1462"/>
      <w:bookmarkEnd w:id="1463"/>
    </w:p>
    <w:bookmarkEnd w:id="1464"/>
    <w:p w:rsidR="002F7FB8" w:rsidRPr="000A1C8E" w:rsidRDefault="002F7FB8" w:rsidP="00F051AB">
      <w:pPr>
        <w:ind w:left="720"/>
        <w:rPr>
          <w:rFonts w:cs="Tahoma"/>
        </w:rPr>
      </w:pPr>
      <w:r w:rsidRPr="000A1C8E">
        <w:rPr>
          <w:rFonts w:cs="Tahoma"/>
          <w:color w:val="000000"/>
          <w:szCs w:val="18"/>
        </w:rPr>
        <w:t>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“Servidores – Aplicativos Auto-hospedados” dos Direitos de Uso do Produto. Uma vez que os clientes mantêm a cobertura de Software Assurance em suas licenças complementares do SharePoint Server 2013, o direito de usar o</w:t>
      </w:r>
      <w:r w:rsidR="00F051AB" w:rsidRPr="000A1C8E">
        <w:rPr>
          <w:rFonts w:cs="Tahoma"/>
          <w:color w:val="000000"/>
          <w:szCs w:val="18"/>
        </w:rPr>
        <w:t> </w:t>
      </w:r>
      <w:r w:rsidRPr="000A1C8E">
        <w:rPr>
          <w:rFonts w:cs="Tahoma"/>
          <w:color w:val="000000"/>
          <w:szCs w:val="18"/>
        </w:rPr>
        <w:t>SharePoint Server 2013 desta forma se aplica até a disponibilidade da versão sucessora do SharePoint Server 2013.</w:t>
      </w:r>
      <w:r w:rsidR="00DC6D8B" w:rsidRPr="000A1C8E">
        <w:rPr>
          <w:rFonts w:cs="Tahoma"/>
          <w:color w:val="000000"/>
          <w:szCs w:val="18"/>
        </w:rPr>
        <w:t xml:space="preserve"> </w:t>
      </w:r>
    </w:p>
    <w:p w:rsidR="000D76F0" w:rsidRPr="000A1C8E" w:rsidRDefault="000D76F0" w:rsidP="00031ABF">
      <w:pPr>
        <w:rPr>
          <w:rFonts w:cs="Tahoma"/>
        </w:rPr>
      </w:pPr>
    </w:p>
    <w:p w:rsidR="00023FE7" w:rsidRPr="000A1C8E" w:rsidRDefault="00023FE7" w:rsidP="00697E59">
      <w:pPr>
        <w:pStyle w:val="EndnoteText"/>
        <w:ind w:left="0"/>
        <w:rPr>
          <w:rFonts w:ascii="Tahoma" w:hAnsi="Tahoma" w:cs="Tahoma"/>
        </w:rPr>
      </w:pPr>
      <w:bookmarkStart w:id="1465" w:name="_78_SharePoint™_Server"/>
      <w:bookmarkStart w:id="1466" w:name="_Toc336338339"/>
      <w:bookmarkStart w:id="1467" w:name="Srv_81SQLSvr08R2DataCenter"/>
      <w:bookmarkEnd w:id="1465"/>
    </w:p>
    <w:p w:rsidR="00A81E83" w:rsidRPr="000A1C8E" w:rsidRDefault="00A560B6" w:rsidP="00A81E83">
      <w:pPr>
        <w:pStyle w:val="Heading3"/>
        <w:rPr>
          <w:rFonts w:ascii="Tahoma" w:hAnsi="Tahoma" w:cs="Tahoma"/>
        </w:rPr>
      </w:pPr>
      <w:bookmarkStart w:id="1468" w:name="_75_73_SQL"/>
      <w:bookmarkStart w:id="1469" w:name="_Toc361829424"/>
      <w:bookmarkStart w:id="1470" w:name="Srv_69SQLSvr08EntandEntProc"/>
      <w:bookmarkStart w:id="1471" w:name="Srv_70SQLSvr08EntandEntProc"/>
      <w:bookmarkStart w:id="1472" w:name="Srv_72SQLSvr08R2developer"/>
      <w:bookmarkStart w:id="1473" w:name="Srv_72SQLSvr08R2DataCenter"/>
      <w:bookmarkEnd w:id="1468"/>
      <w:r w:rsidRPr="000A1C8E">
        <w:rPr>
          <w:rFonts w:ascii="Tahoma" w:hAnsi="Tahoma" w:cs="Tahoma"/>
          <w:caps/>
          <w:color w:val="F66400"/>
          <w:sz w:val="22"/>
          <w:vertAlign w:val="superscript"/>
        </w:rPr>
        <w:t>81</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2008 R2 Datacenter</w:t>
      </w:r>
      <w:bookmarkEnd w:id="1466"/>
      <w:bookmarkEnd w:id="1469"/>
    </w:p>
    <w:bookmarkEnd w:id="1467"/>
    <w:p w:rsidR="00A81E83" w:rsidRPr="000A1C8E" w:rsidRDefault="00A81E83" w:rsidP="00031ABF">
      <w:pPr>
        <w:rPr>
          <w:rFonts w:cs="Tahoma"/>
        </w:rPr>
      </w:pPr>
    </w:p>
    <w:p w:rsidR="00031ABF" w:rsidRPr="000A1C8E" w:rsidRDefault="00A81E83" w:rsidP="00031ABF">
      <w:pPr>
        <w:spacing w:after="60"/>
        <w:ind w:left="720"/>
        <w:rPr>
          <w:rFonts w:cs="Tahoma"/>
        </w:rPr>
      </w:pPr>
      <w:r w:rsidRPr="000A1C8E">
        <w:rPr>
          <w:rFonts w:cs="Tahoma"/>
          <w:b/>
          <w:color w:val="000000"/>
          <w:szCs w:val="18"/>
        </w:rPr>
        <w:t>Outorga de Licença Associadas à Alteração no Modelo de Licenciamento e ao Término da Validade do SQL Server Datacenter</w:t>
      </w:r>
    </w:p>
    <w:p w:rsidR="00A81E83" w:rsidRPr="000A1C8E" w:rsidRDefault="00A81E83" w:rsidP="00031ABF">
      <w:pPr>
        <w:ind w:left="720"/>
        <w:rPr>
          <w:rFonts w:cs="Tahoma"/>
          <w:spacing w:val="-2"/>
        </w:rPr>
      </w:pPr>
      <w:r w:rsidRPr="000A1C8E">
        <w:rPr>
          <w:rFonts w:cs="Tahoma"/>
          <w:color w:val="000000"/>
          <w:spacing w:val="-2"/>
        </w:rPr>
        <w:t>O SQL Server 2008 R2 será a última versão do SQL Server licenciada sob o modelo de licenciamento por processador e a última versão do SQL Server Datacenter.</w:t>
      </w:r>
      <w:r w:rsidR="00DC6D8B" w:rsidRPr="000A1C8E">
        <w:rPr>
          <w:rFonts w:cs="Tahoma"/>
          <w:color w:val="000000"/>
          <w:spacing w:val="-2"/>
        </w:rPr>
        <w:t xml:space="preserve"> </w:t>
      </w:r>
      <w:r w:rsidRPr="000A1C8E">
        <w:rPr>
          <w:rFonts w:cs="Tahoma"/>
          <w:color w:val="000000"/>
          <w:spacing w:val="-2"/>
        </w:rPr>
        <w:t xml:space="preserve">Como uma exceção, aos clientes de Licenciamento por Volume com Software Assurance ativo para licenças do processador do SQL Server 2008 R2 Datacenter em 1º de abril de 2012 (“licenças qualificadas”) são concedidas as seguintes opções. As licenças do processador do SQL Server 2008 R2 Datacenter </w:t>
      </w:r>
      <w:r w:rsidRPr="000A1C8E">
        <w:rPr>
          <w:rFonts w:cs="Tahoma"/>
          <w:bCs/>
          <w:color w:val="000000"/>
          <w:spacing w:val="-2"/>
          <w:szCs w:val="18"/>
        </w:rPr>
        <w:t>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DC6D8B" w:rsidRPr="000A1C8E">
        <w:rPr>
          <w:rFonts w:cs="Tahoma"/>
          <w:bCs/>
          <w:color w:val="000000"/>
          <w:spacing w:val="-2"/>
          <w:szCs w:val="18"/>
        </w:rPr>
        <w:t xml:space="preserve"> </w:t>
      </w:r>
      <w:r w:rsidRPr="000A1C8E">
        <w:rPr>
          <w:rFonts w:cs="Tahoma"/>
          <w:bCs/>
          <w:color w:val="000000"/>
          <w:spacing w:val="-2"/>
          <w:szCs w:val="18"/>
        </w:rPr>
        <w:t>As licenças adquiridas depois de 1º de abril de 2015 ou sob um prazo de registro subsequente, um contrato separado ou qualquer registro com uma data de início de vigência após 1º de abril de 2012 não são licenças qualificadas.</w:t>
      </w:r>
    </w:p>
    <w:p w:rsidR="00031ABF" w:rsidRPr="000A1C8E" w:rsidRDefault="00031ABF" w:rsidP="00031ABF">
      <w:pPr>
        <w:ind w:left="720"/>
        <w:rPr>
          <w:rFonts w:cs="Tahoma"/>
        </w:rPr>
      </w:pPr>
    </w:p>
    <w:p w:rsidR="00031ABF" w:rsidRPr="000A1C8E" w:rsidRDefault="00031ABF" w:rsidP="00031ABF">
      <w:pPr>
        <w:spacing w:after="60"/>
        <w:ind w:left="720"/>
        <w:rPr>
          <w:rFonts w:cs="Tahoma"/>
        </w:rPr>
      </w:pPr>
      <w:r w:rsidRPr="000A1C8E">
        <w:rPr>
          <w:rFonts w:cs="Tahoma"/>
          <w:b/>
          <w:color w:val="000000"/>
          <w:szCs w:val="18"/>
        </w:rPr>
        <w:t>Prazo Atual</w:t>
      </w:r>
    </w:p>
    <w:p w:rsidR="00A81E83" w:rsidRPr="000A1C8E" w:rsidRDefault="00A81E83" w:rsidP="00031ABF">
      <w:pPr>
        <w:ind w:left="720"/>
        <w:contextualSpacing/>
        <w:rPr>
          <w:rFonts w:cs="Tahoma"/>
        </w:rPr>
      </w:pPr>
      <w:r w:rsidRPr="000A1C8E">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Enterprise Core em vez do SQL Server 2008 R2 Datacenter sujeito aos direitos de uso do produto de licença do processador do SQL Server 2008 R2 Enterprise (conforme os Direitos de Uso do Produto de janeiro de 2012). Esses clientes também têm os direitos de uso da “Virtualização Ilimitada” conforme descrito nas notas do produto do SQL Server 2012 Enterprise nesta Lista de Produtos.</w:t>
      </w:r>
    </w:p>
    <w:p w:rsidR="00031ABF" w:rsidRPr="000A1C8E" w:rsidRDefault="00031ABF" w:rsidP="00031ABF">
      <w:pPr>
        <w:ind w:left="720"/>
        <w:contextualSpacing/>
        <w:rPr>
          <w:rFonts w:cs="Tahoma"/>
        </w:rPr>
      </w:pPr>
    </w:p>
    <w:p w:rsidR="00031ABF" w:rsidRPr="000A1C8E" w:rsidRDefault="00A81E83" w:rsidP="00031ABF">
      <w:pPr>
        <w:spacing w:after="60"/>
        <w:ind w:left="720"/>
        <w:rPr>
          <w:rFonts w:cs="Tahoma"/>
        </w:rPr>
      </w:pPr>
      <w:r w:rsidRPr="000A1C8E">
        <w:rPr>
          <w:rFonts w:cs="Tahoma"/>
          <w:b/>
          <w:color w:val="000000"/>
          <w:szCs w:val="18"/>
        </w:rPr>
        <w:t>Primeiro Prazo de Renovação (antes de 1º de abril de 2015)</w:t>
      </w:r>
    </w:p>
    <w:p w:rsidR="00A81E83" w:rsidRPr="000A1C8E" w:rsidRDefault="00A81E83" w:rsidP="00031ABF">
      <w:pPr>
        <w:tabs>
          <w:tab w:val="left" w:pos="720"/>
        </w:tabs>
        <w:ind w:left="720"/>
        <w:contextualSpacing/>
        <w:rPr>
          <w:rFonts w:cs="Tahoma"/>
        </w:rPr>
      </w:pPr>
      <w:r w:rsidRPr="000A1C8E">
        <w:rPr>
          <w:rFonts w:eastAsia="Calibri" w:cs="Tahoma"/>
          <w:szCs w:val="18"/>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A81E83" w:rsidRPr="000251E1" w:rsidRDefault="00A81E83" w:rsidP="003D3933">
      <w:pPr>
        <w:pStyle w:val="ListParagraph"/>
        <w:numPr>
          <w:ilvl w:val="0"/>
          <w:numId w:val="134"/>
        </w:numPr>
        <w:tabs>
          <w:tab w:val="left" w:pos="1440"/>
        </w:tabs>
        <w:ind w:left="1440"/>
        <w:rPr>
          <w:rFonts w:ascii="Tahoma" w:hAnsi="Tahoma" w:cs="Tahoma"/>
          <w:sz w:val="18"/>
          <w:szCs w:val="18"/>
        </w:rPr>
      </w:pPr>
      <w:r w:rsidRPr="000251E1">
        <w:rPr>
          <w:rFonts w:ascii="Tahoma" w:eastAsia="Calibri" w:hAnsi="Tahoma" w:cs="Tahoma"/>
          <w:sz w:val="18"/>
          <w:szCs w:val="18"/>
        </w:rPr>
        <w:t xml:space="preserve">um número igual ao menor número de licenças qualificadas atribuído ao servidor ou o número total de processadores físicos no servidor multiplicado pelo maior de: </w:t>
      </w:r>
    </w:p>
    <w:p w:rsidR="00A81E83" w:rsidRPr="000A1C8E" w:rsidRDefault="00A81E83" w:rsidP="00346F4B">
      <w:pPr>
        <w:numPr>
          <w:ilvl w:val="2"/>
          <w:numId w:val="54"/>
        </w:numPr>
        <w:tabs>
          <w:tab w:val="left" w:pos="1800"/>
        </w:tabs>
        <w:ind w:left="1800" w:hanging="360"/>
        <w:contextualSpacing/>
        <w:rPr>
          <w:rFonts w:cs="Tahoma"/>
        </w:rPr>
      </w:pPr>
      <w:r w:rsidRPr="000A1C8E">
        <w:rPr>
          <w:rFonts w:eastAsia="Calibri" w:cs="Tahoma"/>
          <w:szCs w:val="18"/>
        </w:rPr>
        <w:t>Oito OU</w:t>
      </w:r>
    </w:p>
    <w:p w:rsidR="00A81E83" w:rsidRPr="000A1C8E" w:rsidRDefault="00A81E83" w:rsidP="00A37DE2">
      <w:pPr>
        <w:numPr>
          <w:ilvl w:val="2"/>
          <w:numId w:val="54"/>
        </w:numPr>
        <w:tabs>
          <w:tab w:val="left" w:pos="1800"/>
        </w:tabs>
        <w:ind w:left="1800" w:hanging="360"/>
        <w:contextualSpacing/>
        <w:rPr>
          <w:rFonts w:cs="Tahoma"/>
        </w:rPr>
      </w:pPr>
      <w:r w:rsidRPr="000A1C8E">
        <w:rPr>
          <w:rFonts w:eastAsia="Calibri" w:cs="Tahoma"/>
          <w:szCs w:val="18"/>
        </w:rPr>
        <w:t>o número real de núcleos por processador físico multiplicado pelo fator do núcleo apropriado.</w:t>
      </w:r>
      <w:r w:rsidR="00DC6D8B" w:rsidRPr="000A1C8E">
        <w:rPr>
          <w:rFonts w:eastAsia="Calibri" w:cs="Tahoma"/>
          <w:szCs w:val="18"/>
        </w:rPr>
        <w:t xml:space="preserve"> </w:t>
      </w:r>
      <w:r w:rsidRPr="000A1C8E">
        <w:rPr>
          <w:rFonts w:eastAsia="Calibri" w:cs="Tahoma"/>
          <w:szCs w:val="18"/>
        </w:rPr>
        <w:t xml:space="preserve">(Nos casos em que o número real de núcleos por processador físico excede oito, os clientes devem manter um registro da configuração do software SQL Server executando no servidor </w:t>
      </w:r>
      <w:r w:rsidR="00A37DE2">
        <w:rPr>
          <w:rFonts w:eastAsia="Calibri" w:cs="Tahoma"/>
          <w:szCs w:val="18"/>
        </w:rPr>
        <w:t>(</w:t>
      </w:r>
      <w:r w:rsidRPr="000A1C8E">
        <w:rPr>
          <w:rFonts w:eastAsia="Calibri" w:cs="Tahoma"/>
          <w:szCs w:val="18"/>
        </w:rPr>
        <w:t>instâncias licenciadas executando em ambientes do sistema operacional no servidor licenciado) e o hardware físico oferecendo suporte ao software que está antecedendo a</w:t>
      </w:r>
      <w:r w:rsidR="00A37DE2">
        <w:rPr>
          <w:rFonts w:eastAsia="Calibri" w:cs="Tahoma"/>
          <w:szCs w:val="18"/>
        </w:rPr>
        <w:t> </w:t>
      </w:r>
      <w:r w:rsidRPr="000A1C8E">
        <w:rPr>
          <w:rFonts w:eastAsia="Calibri" w:cs="Tahoma"/>
          <w:szCs w:val="18"/>
        </w:rPr>
        <w:t>renovação do Software Assurance usando a ferramenta Microsoft MAP ou qualquer software</w:t>
      </w:r>
      <w:r w:rsidR="00A37DE2">
        <w:rPr>
          <w:rFonts w:eastAsia="Calibri" w:cs="Tahoma"/>
          <w:szCs w:val="18"/>
        </w:rPr>
        <w:t> </w:t>
      </w:r>
      <w:r w:rsidRPr="000A1C8E">
        <w:rPr>
          <w:rFonts w:eastAsia="Calibri" w:cs="Tahoma"/>
          <w:szCs w:val="18"/>
        </w:rPr>
        <w:t xml:space="preserve">equivalente.) </w:t>
      </w:r>
    </w:p>
    <w:p w:rsidR="00A81E83" w:rsidRPr="000251E1" w:rsidRDefault="00A81E83" w:rsidP="003D3933">
      <w:pPr>
        <w:pStyle w:val="ListParagraph"/>
        <w:numPr>
          <w:ilvl w:val="0"/>
          <w:numId w:val="134"/>
        </w:numPr>
        <w:tabs>
          <w:tab w:val="left" w:pos="1440"/>
        </w:tabs>
        <w:ind w:left="1440"/>
        <w:rPr>
          <w:rFonts w:ascii="Tahoma" w:hAnsi="Tahoma" w:cs="Tahoma"/>
          <w:sz w:val="18"/>
          <w:szCs w:val="18"/>
        </w:rPr>
      </w:pPr>
      <w:r w:rsidRPr="000251E1">
        <w:rPr>
          <w:rFonts w:ascii="Tahoma" w:eastAsia="Calibri" w:hAnsi="Tahoma" w:cs="Tahoma"/>
          <w:sz w:val="18"/>
          <w:szCs w:val="18"/>
        </w:rPr>
        <w:t>um número igual ao número das licenças qatribuído ao servidor em excesso do número real de</w:t>
      </w:r>
      <w:r w:rsidR="00A37DE2">
        <w:rPr>
          <w:rFonts w:ascii="Tahoma" w:eastAsia="Calibri" w:hAnsi="Tahoma" w:cs="Tahoma"/>
          <w:sz w:val="18"/>
          <w:szCs w:val="18"/>
        </w:rPr>
        <w:t> </w:t>
      </w:r>
      <w:r w:rsidRPr="000251E1">
        <w:rPr>
          <w:rFonts w:ascii="Tahoma" w:eastAsia="Calibri" w:hAnsi="Tahoma" w:cs="Tahoma"/>
          <w:sz w:val="18"/>
          <w:szCs w:val="18"/>
        </w:rPr>
        <w:t>processadores físicos no servidor multiplicado por oito.</w:t>
      </w:r>
    </w:p>
    <w:p w:rsidR="00031ABF" w:rsidRPr="000A1C8E" w:rsidRDefault="00031ABF" w:rsidP="00031ABF">
      <w:pPr>
        <w:ind w:left="720"/>
        <w:contextualSpacing/>
        <w:rPr>
          <w:rFonts w:cs="Tahoma"/>
        </w:rPr>
      </w:pPr>
    </w:p>
    <w:p w:rsidR="00F051AB" w:rsidRPr="000A1C8E" w:rsidRDefault="00F051AB" w:rsidP="00031ABF">
      <w:pPr>
        <w:ind w:left="720"/>
        <w:contextualSpacing/>
        <w:rPr>
          <w:rFonts w:cs="Tahoma"/>
        </w:rPr>
      </w:pPr>
    </w:p>
    <w:p w:rsidR="00F051AB" w:rsidRPr="000A1C8E" w:rsidRDefault="00F051AB" w:rsidP="00031ABF">
      <w:pPr>
        <w:ind w:left="720"/>
        <w:contextualSpacing/>
        <w:rPr>
          <w:rFonts w:cs="Tahoma"/>
        </w:rPr>
      </w:pPr>
    </w:p>
    <w:p w:rsidR="00F051AB" w:rsidRPr="000A1C8E" w:rsidRDefault="00F051AB" w:rsidP="00031ABF">
      <w:pPr>
        <w:ind w:left="720"/>
        <w:contextualSpacing/>
        <w:rPr>
          <w:rFonts w:cs="Tahoma"/>
        </w:rPr>
      </w:pPr>
    </w:p>
    <w:p w:rsidR="00F051AB" w:rsidRPr="000A1C8E" w:rsidRDefault="00F051AB" w:rsidP="00031ABF">
      <w:pPr>
        <w:ind w:left="720"/>
        <w:contextualSpacing/>
        <w:rPr>
          <w:rFonts w:cs="Tahoma"/>
        </w:rPr>
      </w:pPr>
    </w:p>
    <w:p w:rsidR="00031ABF" w:rsidRPr="000A1C8E" w:rsidRDefault="00A81E83" w:rsidP="00031ABF">
      <w:pPr>
        <w:spacing w:after="60"/>
        <w:ind w:left="720"/>
        <w:rPr>
          <w:rFonts w:cs="Tahoma"/>
        </w:rPr>
      </w:pPr>
      <w:r w:rsidRPr="000A1C8E">
        <w:rPr>
          <w:rFonts w:eastAsia="Calibri" w:cs="Tahoma"/>
          <w:b/>
          <w:szCs w:val="18"/>
        </w:rPr>
        <w:lastRenderedPageBreak/>
        <w:t>Primeiro Prazo de Renovação (em ou após 1º de abril de 2015)</w:t>
      </w:r>
    </w:p>
    <w:p w:rsidR="00A81E83" w:rsidRPr="000A1C8E" w:rsidRDefault="00A81E83" w:rsidP="00031ABF">
      <w:pPr>
        <w:ind w:left="720"/>
        <w:contextualSpacing/>
        <w:rPr>
          <w:rFonts w:cs="Tahoma"/>
        </w:rPr>
      </w:pPr>
      <w:r w:rsidRPr="000A1C8E">
        <w:rPr>
          <w:rFonts w:eastAsia="Calibri" w:cs="Tahoma"/>
          <w:color w:val="000000"/>
          <w:szCs w:val="18"/>
        </w:rPr>
        <w:t>Os clientes que renovaram primeiro a cobertura em ou depois de 1o. de abril de 2015</w:t>
      </w:r>
      <w:r w:rsidRPr="000A1C8E">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031ABF" w:rsidRPr="000A1C8E" w:rsidRDefault="00031ABF" w:rsidP="00031ABF">
      <w:pPr>
        <w:ind w:left="720"/>
        <w:contextualSpacing/>
        <w:rPr>
          <w:rFonts w:cs="Tahoma"/>
        </w:rPr>
      </w:pPr>
    </w:p>
    <w:p w:rsidR="00A81E83" w:rsidRPr="000A1C8E" w:rsidRDefault="00A81E83" w:rsidP="00346F4B">
      <w:pPr>
        <w:numPr>
          <w:ilvl w:val="2"/>
          <w:numId w:val="50"/>
        </w:numPr>
        <w:spacing w:after="60"/>
        <w:ind w:left="1440"/>
        <w:rPr>
          <w:rFonts w:cs="Tahoma"/>
        </w:rPr>
      </w:pPr>
      <w:r w:rsidRPr="000A1C8E">
        <w:rPr>
          <w:rFonts w:eastAsia="Calibri" w:cs="Tahoma"/>
          <w:szCs w:val="18"/>
        </w:rPr>
        <w:t>Conforme fornecido no primeiro parágrafo desta nota do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renovar o SA de acordo com os termos na seção “Primeiro Prazo de Renovação (Antes de 1</w:t>
      </w:r>
      <w:r w:rsidRPr="000A1C8E">
        <w:rPr>
          <w:rFonts w:eastAsia="Calibri" w:cs="Tahoma"/>
          <w:szCs w:val="18"/>
          <w:vertAlign w:val="superscript"/>
        </w:rPr>
        <w:t>º</w:t>
      </w:r>
      <w:r w:rsidRPr="000A1C8E">
        <w:rPr>
          <w:rFonts w:eastAsia="Calibri" w:cs="Tahoma"/>
          <w:szCs w:val="18"/>
        </w:rPr>
        <w:t xml:space="preserve"> de abril de 2015)“ acima e</w:t>
      </w:r>
    </w:p>
    <w:p w:rsidR="00A81E83" w:rsidRPr="000A1C8E" w:rsidRDefault="00A81E83" w:rsidP="00F051AB">
      <w:pPr>
        <w:numPr>
          <w:ilvl w:val="2"/>
          <w:numId w:val="50"/>
        </w:numPr>
        <w:spacing w:after="60"/>
        <w:ind w:left="1440"/>
        <w:rPr>
          <w:rFonts w:cs="Tahoma"/>
        </w:rPr>
      </w:pPr>
      <w:r w:rsidRPr="000A1C8E">
        <w:rPr>
          <w:rFonts w:eastAsia="Calibri" w:cs="Tahoma"/>
          <w:szCs w:val="18"/>
        </w:rPr>
        <w:t>Para as licenças adquiridas depois de 1</w:t>
      </w:r>
      <w:r w:rsidRPr="000A1C8E">
        <w:rPr>
          <w:rFonts w:eastAsia="Calibri" w:cs="Tahoma"/>
          <w:szCs w:val="18"/>
          <w:vertAlign w:val="superscript"/>
        </w:rPr>
        <w:t>º</w:t>
      </w:r>
      <w:r w:rsidRPr="000A1C8E">
        <w:rPr>
          <w:rFonts w:eastAsia="Calibri" w:cs="Tahoma"/>
          <w:szCs w:val="18"/>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w:t>
      </w:r>
      <w:r w:rsidR="00F051AB" w:rsidRPr="000A1C8E">
        <w:rPr>
          <w:rFonts w:eastAsia="Calibri" w:cs="Tahoma"/>
          <w:szCs w:val="18"/>
        </w:rPr>
        <w:t> </w:t>
      </w:r>
      <w:r w:rsidRPr="000A1C8E">
        <w:rPr>
          <w:rFonts w:eastAsia="Calibri" w:cs="Tahoma"/>
          <w:szCs w:val="18"/>
        </w:rPr>
        <w:t>cliente tem que adquirir licenças principais adicionais.</w:t>
      </w:r>
    </w:p>
    <w:p w:rsidR="00031ABF" w:rsidRPr="000A1C8E" w:rsidRDefault="00031ABF" w:rsidP="00031ABF">
      <w:pPr>
        <w:ind w:left="1440"/>
        <w:contextualSpacing/>
        <w:rPr>
          <w:rFonts w:cs="Tahoma"/>
          <w:sz w:val="16"/>
          <w:szCs w:val="16"/>
        </w:rPr>
      </w:pPr>
    </w:p>
    <w:p w:rsidR="00A81E83" w:rsidRPr="000A1C8E" w:rsidRDefault="00A81E83" w:rsidP="00031ABF">
      <w:pPr>
        <w:ind w:left="720"/>
        <w:contextualSpacing/>
        <w:rPr>
          <w:rFonts w:cs="Tahoma"/>
        </w:rPr>
      </w:pPr>
      <w:r w:rsidRPr="000A1C8E">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031ABF" w:rsidRPr="000A1C8E" w:rsidRDefault="00031ABF" w:rsidP="00031ABF">
      <w:pPr>
        <w:tabs>
          <w:tab w:val="left" w:pos="720"/>
        </w:tabs>
        <w:ind w:left="720"/>
        <w:contextualSpacing/>
        <w:rPr>
          <w:rFonts w:cs="Tahoma"/>
        </w:rPr>
      </w:pPr>
    </w:p>
    <w:p w:rsidR="00031ABF" w:rsidRPr="000A1C8E" w:rsidRDefault="00A81E83" w:rsidP="00031ABF">
      <w:pPr>
        <w:tabs>
          <w:tab w:val="left" w:pos="720"/>
        </w:tabs>
        <w:spacing w:after="60"/>
        <w:ind w:left="720"/>
        <w:rPr>
          <w:rFonts w:cs="Tahoma"/>
        </w:rPr>
      </w:pPr>
      <w:r w:rsidRPr="000A1C8E">
        <w:rPr>
          <w:rFonts w:eastAsia="Calibri" w:cs="Tahoma"/>
          <w:b/>
          <w:szCs w:val="18"/>
        </w:rPr>
        <w:t>Para os clientes com cobertura de Software Assurance que expiram antes de 1º de abril de 2015 que optaram pela não renovação</w:t>
      </w:r>
    </w:p>
    <w:p w:rsidR="00A81E83" w:rsidRPr="000A1C8E" w:rsidRDefault="00A81E83" w:rsidP="00F051AB">
      <w:pPr>
        <w:tabs>
          <w:tab w:val="left" w:pos="720"/>
        </w:tabs>
        <w:ind w:left="720"/>
        <w:contextualSpacing/>
        <w:rPr>
          <w:rFonts w:cs="Tahoma"/>
        </w:rPr>
      </w:pPr>
      <w:r w:rsidRPr="000A1C8E">
        <w:rPr>
          <w:rFonts w:eastAsia="Calibri" w:cs="Tahoma"/>
          <w:szCs w:val="18"/>
        </w:rPr>
        <w:t xml:space="preserve">Os clientes do Enterprise Subscription </w:t>
      </w:r>
      <w:r w:rsidRPr="000A1C8E">
        <w:rPr>
          <w:rFonts w:cs="Tahoma"/>
          <w:bCs/>
          <w:color w:val="000000"/>
          <w:szCs w:val="18"/>
        </w:rPr>
        <w:t xml:space="preserve">e Open Value Subscription </w:t>
      </w:r>
      <w:r w:rsidRPr="000A1C8E">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w:t>
      </w:r>
      <w:r w:rsidR="00F051AB" w:rsidRPr="000A1C8E">
        <w:rPr>
          <w:rFonts w:eastAsia="Calibri" w:cs="Tahoma"/>
          <w:szCs w:val="18"/>
        </w:rPr>
        <w:t> </w:t>
      </w:r>
      <w:r w:rsidRPr="000A1C8E">
        <w:rPr>
          <w:rFonts w:eastAsia="Calibri" w:cs="Tahoma"/>
          <w:szCs w:val="18"/>
        </w:rPr>
        <w:t>SQL Server 2008 R2 ou SQL Server 2012 sob essas licenças da seguinte forma:</w:t>
      </w:r>
    </w:p>
    <w:p w:rsidR="00CA0E2D" w:rsidRPr="000A1C8E" w:rsidRDefault="00CA0E2D" w:rsidP="00031ABF">
      <w:pPr>
        <w:tabs>
          <w:tab w:val="left" w:pos="720"/>
        </w:tabs>
        <w:ind w:left="720"/>
        <w:contextualSpacing/>
        <w:rPr>
          <w:rFonts w:cs="Tahoma"/>
        </w:rPr>
      </w:pPr>
    </w:p>
    <w:p w:rsidR="00A81E83" w:rsidRPr="000A1C8E" w:rsidRDefault="00A81E83" w:rsidP="00346F4B">
      <w:pPr>
        <w:numPr>
          <w:ilvl w:val="0"/>
          <w:numId w:val="51"/>
        </w:numPr>
        <w:tabs>
          <w:tab w:val="left" w:pos="1440"/>
        </w:tabs>
        <w:spacing w:after="60"/>
        <w:rPr>
          <w:rFonts w:cs="Tahoma"/>
        </w:rPr>
      </w:pPr>
      <w:r w:rsidRPr="000A1C8E">
        <w:rPr>
          <w:rFonts w:eastAsia="Calibri" w:cs="Tahoma"/>
          <w:b/>
          <w:szCs w:val="18"/>
        </w:rPr>
        <w:t>SQL Server 2008 R2 Datacenter:</w:t>
      </w:r>
      <w:r w:rsidRPr="000A1C8E">
        <w:rPr>
          <w:rFonts w:eastAsia="Calibri" w:cs="Tahoma"/>
          <w:szCs w:val="18"/>
        </w:rPr>
        <w:t xml:space="preserve"> O uso contínuo desta versão do software está sujeito aos direitos de uso do produto de licença do processador do SQL Server 2008 R2 Datacenter. </w:t>
      </w:r>
    </w:p>
    <w:p w:rsidR="00A81E83" w:rsidRPr="000A1C8E" w:rsidRDefault="00A81E83" w:rsidP="00346F4B">
      <w:pPr>
        <w:numPr>
          <w:ilvl w:val="0"/>
          <w:numId w:val="51"/>
        </w:numPr>
        <w:tabs>
          <w:tab w:val="left" w:pos="1440"/>
          <w:tab w:val="left" w:pos="2970"/>
        </w:tabs>
        <w:spacing w:after="60"/>
        <w:rPr>
          <w:rFonts w:cs="Tahoma"/>
        </w:rPr>
      </w:pPr>
      <w:r w:rsidRPr="000A1C8E">
        <w:rPr>
          <w:rFonts w:eastAsia="Calibri" w:cs="Tahoma"/>
          <w:b/>
          <w:szCs w:val="18"/>
        </w:rPr>
        <w:t xml:space="preserve">SQL Server 2012 Enterprise Core: </w:t>
      </w:r>
      <w:r w:rsidRPr="000A1C8E">
        <w:rPr>
          <w:rFonts w:eastAsia="Calibri" w:cs="Tahoma"/>
          <w:szCs w:val="18"/>
        </w:rPr>
        <w:t xml:space="preserve">O uso desta versão do software está sujeito aos direitos de uso do produto de licença do processador do SQL Server 2008 R2 Enterprise, no entanto: </w:t>
      </w:r>
    </w:p>
    <w:p w:rsidR="00A81E83" w:rsidRPr="000A1C8E" w:rsidRDefault="00A81E83" w:rsidP="00346F4B">
      <w:pPr>
        <w:numPr>
          <w:ilvl w:val="1"/>
          <w:numId w:val="51"/>
        </w:numPr>
        <w:tabs>
          <w:tab w:val="left" w:pos="1800"/>
        </w:tabs>
        <w:spacing w:after="60"/>
        <w:ind w:left="1800"/>
        <w:rPr>
          <w:rFonts w:cs="Tahoma"/>
        </w:rPr>
      </w:pPr>
      <w:r w:rsidRPr="000A1C8E">
        <w:rPr>
          <w:rFonts w:eastAsia="Calibri" w:cs="Tahoma"/>
          <w:szCs w:val="18"/>
        </w:rPr>
        <w:t xml:space="preserve">os clientes não têm mais direitos de uso de Virtualização Ilimitada, Mobilidade de Licença nos Farms de Servidores nem Mobilidade de Licença por meio de Software Assurance e </w:t>
      </w:r>
    </w:p>
    <w:p w:rsidR="00A81E83" w:rsidRPr="000A1C8E" w:rsidRDefault="00A81E83" w:rsidP="00346F4B">
      <w:pPr>
        <w:numPr>
          <w:ilvl w:val="1"/>
          <w:numId w:val="51"/>
        </w:numPr>
        <w:tabs>
          <w:tab w:val="left" w:pos="1800"/>
        </w:tabs>
        <w:spacing w:after="60"/>
        <w:ind w:left="1800"/>
        <w:rPr>
          <w:rFonts w:cs="Tahoma"/>
        </w:rPr>
      </w:pPr>
      <w:r w:rsidRPr="000A1C8E">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0A1C8E" w:rsidRDefault="00A81E83" w:rsidP="005F4C68">
      <w:pPr>
        <w:numPr>
          <w:ilvl w:val="2"/>
          <w:numId w:val="51"/>
        </w:numPr>
        <w:tabs>
          <w:tab w:val="left" w:pos="2160"/>
        </w:tabs>
        <w:spacing w:after="60"/>
        <w:ind w:left="2160" w:hanging="360"/>
        <w:rPr>
          <w:rFonts w:cs="Tahoma"/>
          <w:spacing w:val="-2"/>
        </w:rPr>
      </w:pPr>
      <w:r w:rsidRPr="000A1C8E">
        <w:rPr>
          <w:rFonts w:eastAsia="Calibri" w:cs="Tahoma"/>
          <w:spacing w:val="-2"/>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5F4C68" w:rsidRPr="000A1C8E">
        <w:rPr>
          <w:rFonts w:eastAsia="Calibri" w:cs="Tahoma"/>
          <w:spacing w:val="-2"/>
          <w:szCs w:val="18"/>
        </w:rPr>
        <w:t> </w:t>
      </w:r>
      <w:r w:rsidRPr="000A1C8E">
        <w:rPr>
          <w:rFonts w:eastAsia="Calibri" w:cs="Tahoma"/>
          <w:spacing w:val="-2"/>
          <w:szCs w:val="18"/>
        </w:rPr>
        <w:t xml:space="preserve">equivalência de licença principal é maior do que: </w:t>
      </w:r>
    </w:p>
    <w:p w:rsidR="00A81E83" w:rsidRPr="000A1C8E" w:rsidRDefault="00A81E83" w:rsidP="00346F4B">
      <w:pPr>
        <w:numPr>
          <w:ilvl w:val="4"/>
          <w:numId w:val="50"/>
        </w:numPr>
        <w:tabs>
          <w:tab w:val="left" w:pos="2520"/>
        </w:tabs>
        <w:spacing w:after="60"/>
        <w:ind w:left="2520"/>
        <w:rPr>
          <w:rFonts w:cs="Tahoma"/>
        </w:rPr>
      </w:pPr>
      <w:r w:rsidRPr="000A1C8E">
        <w:rPr>
          <w:rFonts w:eastAsia="Calibri" w:cs="Tahoma"/>
          <w:szCs w:val="18"/>
        </w:rPr>
        <w:t xml:space="preserve">oito núcleos por licença de processador OU </w:t>
      </w:r>
    </w:p>
    <w:p w:rsidR="00A81E83" w:rsidRPr="000A1C8E" w:rsidRDefault="00A81E83" w:rsidP="007C701C">
      <w:pPr>
        <w:numPr>
          <w:ilvl w:val="4"/>
          <w:numId w:val="50"/>
        </w:numPr>
        <w:tabs>
          <w:tab w:val="left" w:pos="2520"/>
        </w:tabs>
        <w:spacing w:after="60"/>
        <w:ind w:left="2520"/>
        <w:rPr>
          <w:rFonts w:cs="Tahoma"/>
          <w:spacing w:val="-2"/>
        </w:rPr>
      </w:pPr>
      <w:r w:rsidRPr="000A1C8E">
        <w:rPr>
          <w:rFonts w:eastAsia="Calibri" w:cs="Tahoma"/>
          <w:spacing w:val="-2"/>
          <w:szCs w:val="18"/>
        </w:rPr>
        <w:t>um número de núcleos por licença do processador com base no número real de núcleos por processador físico multiplicado pelo fator de núcleo apropriado. (Nos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w:t>
      </w:r>
      <w:r w:rsidR="007C701C" w:rsidRPr="000A1C8E">
        <w:rPr>
          <w:rFonts w:eastAsia="Calibri" w:cs="Tahoma"/>
          <w:spacing w:val="-2"/>
          <w:szCs w:val="18"/>
        </w:rPr>
        <w:t> </w:t>
      </w:r>
      <w:r w:rsidRPr="000A1C8E">
        <w:rPr>
          <w:rFonts w:eastAsia="Calibri" w:cs="Tahoma"/>
          <w:spacing w:val="-2"/>
          <w:szCs w:val="18"/>
        </w:rPr>
        <w:t xml:space="preserve">Software Assurance usando a ferramenta Microsoft MAP ou qualquer software equivalente.) </w:t>
      </w:r>
    </w:p>
    <w:p w:rsidR="00A81E83" w:rsidRPr="000A1C8E" w:rsidRDefault="00A81E83" w:rsidP="007C701C">
      <w:pPr>
        <w:numPr>
          <w:ilvl w:val="2"/>
          <w:numId w:val="51"/>
        </w:numPr>
        <w:tabs>
          <w:tab w:val="left" w:pos="2160"/>
        </w:tabs>
        <w:spacing w:after="60"/>
        <w:ind w:left="2160" w:hanging="360"/>
        <w:rPr>
          <w:rFonts w:cs="Tahoma"/>
        </w:rPr>
      </w:pPr>
      <w:r w:rsidRPr="000A1C8E">
        <w:rPr>
          <w:rFonts w:eastAsia="Calibri" w:cs="Tahoma"/>
          <w:szCs w:val="18"/>
        </w:rPr>
        <w:t>Para qualquer licença de processador com um Software Assurance expirando atribuído ao</w:t>
      </w:r>
      <w:r w:rsidR="007C701C" w:rsidRPr="000A1C8E">
        <w:rPr>
          <w:rFonts w:eastAsia="Calibri" w:cs="Tahoma"/>
          <w:szCs w:val="18"/>
        </w:rPr>
        <w:t> </w:t>
      </w:r>
      <w:r w:rsidRPr="000A1C8E">
        <w:rPr>
          <w:rFonts w:eastAsia="Calibri" w:cs="Tahoma"/>
          <w:szCs w:val="18"/>
        </w:rPr>
        <w:t>mesmo servidor licenciado em excesso do número real de processadores físicos no servidor, a equivalência de núcleo é de oito núcleos por licença de processador.</w:t>
      </w:r>
    </w:p>
    <w:p w:rsidR="007C701C" w:rsidRPr="000A1C8E" w:rsidRDefault="007C701C" w:rsidP="007C701C">
      <w:pPr>
        <w:tabs>
          <w:tab w:val="left" w:pos="2160"/>
        </w:tabs>
        <w:spacing w:after="60"/>
        <w:ind w:left="2160"/>
        <w:rPr>
          <w:rFonts w:eastAsia="Calibri" w:cs="Tahoma"/>
          <w:szCs w:val="18"/>
        </w:rPr>
      </w:pPr>
    </w:p>
    <w:p w:rsidR="007C701C" w:rsidRPr="000A1C8E" w:rsidRDefault="007C701C" w:rsidP="007C701C">
      <w:pPr>
        <w:tabs>
          <w:tab w:val="left" w:pos="2160"/>
        </w:tabs>
        <w:spacing w:after="60"/>
        <w:ind w:left="2160"/>
        <w:rPr>
          <w:rFonts w:eastAsia="Calibri" w:cs="Tahoma"/>
          <w:szCs w:val="18"/>
        </w:rPr>
      </w:pPr>
    </w:p>
    <w:p w:rsidR="007C701C" w:rsidRPr="000A1C8E" w:rsidRDefault="007C701C" w:rsidP="007C701C">
      <w:pPr>
        <w:tabs>
          <w:tab w:val="left" w:pos="2160"/>
        </w:tabs>
        <w:spacing w:after="60"/>
        <w:ind w:left="2160"/>
        <w:rPr>
          <w:rFonts w:eastAsia="Calibri" w:cs="Tahoma"/>
          <w:szCs w:val="18"/>
        </w:rPr>
      </w:pPr>
    </w:p>
    <w:p w:rsidR="007C701C" w:rsidRPr="000A1C8E" w:rsidRDefault="007C701C" w:rsidP="007C701C">
      <w:pPr>
        <w:tabs>
          <w:tab w:val="left" w:pos="2160"/>
        </w:tabs>
        <w:spacing w:after="60"/>
        <w:ind w:left="2160"/>
        <w:rPr>
          <w:rFonts w:cs="Tahoma"/>
        </w:rPr>
      </w:pPr>
    </w:p>
    <w:p w:rsidR="00A81E83" w:rsidRPr="000A1C8E" w:rsidRDefault="00A81E83" w:rsidP="007C701C">
      <w:pPr>
        <w:numPr>
          <w:ilvl w:val="1"/>
          <w:numId w:val="51"/>
        </w:numPr>
        <w:tabs>
          <w:tab w:val="left" w:pos="1800"/>
          <w:tab w:val="left" w:pos="2970"/>
        </w:tabs>
        <w:spacing w:after="60"/>
        <w:ind w:left="1800"/>
        <w:rPr>
          <w:rFonts w:cs="Tahoma"/>
        </w:rPr>
      </w:pPr>
      <w:r w:rsidRPr="000A1C8E">
        <w:rPr>
          <w:rFonts w:eastAsia="Calibri" w:cs="Tahoma"/>
          <w:szCs w:val="18"/>
        </w:rPr>
        <w:lastRenderedPageBreak/>
        <w:t>Os Clientes poderão transferir as Licenças para outro servidor. No entanto, se o cliente transferir uma licença para outro servidor, o cliente terá que seguir os direitos de uso do SQL</w:t>
      </w:r>
      <w:r w:rsidR="007C701C" w:rsidRPr="000A1C8E">
        <w:rPr>
          <w:rFonts w:eastAsia="Calibri" w:cs="Tahoma"/>
          <w:szCs w:val="18"/>
        </w:rPr>
        <w:t> </w:t>
      </w:r>
      <w:r w:rsidRPr="000A1C8E">
        <w:rPr>
          <w:rFonts w:eastAsia="Calibri" w:cs="Tahoma"/>
          <w:szCs w:val="18"/>
        </w:rPr>
        <w:t>Server 2012. Ao transferir licenças principais para servidores sob os direitos de uso do SQL 2012, o cliente poderá combinar a equivalência de núcleo de suas licenças existentes com as licenças principais do SQL Server 2012 adicionais.</w:t>
      </w:r>
      <w:r w:rsidR="00DC6D8B" w:rsidRPr="000A1C8E">
        <w:rPr>
          <w:rFonts w:eastAsia="Calibri" w:cs="Tahoma"/>
          <w:szCs w:val="18"/>
        </w:rPr>
        <w:t xml:space="preserve"> </w:t>
      </w:r>
    </w:p>
    <w:p w:rsidR="00A81E83" w:rsidRPr="000A1C8E" w:rsidRDefault="00A81E83" w:rsidP="00346F4B">
      <w:pPr>
        <w:numPr>
          <w:ilvl w:val="1"/>
          <w:numId w:val="51"/>
        </w:numPr>
        <w:tabs>
          <w:tab w:val="left" w:pos="1800"/>
        </w:tabs>
        <w:spacing w:after="60"/>
        <w:ind w:left="1800"/>
        <w:rPr>
          <w:rFonts w:cs="Tahoma"/>
        </w:rPr>
      </w:pPr>
      <w:r w:rsidRPr="000A1C8E">
        <w:rPr>
          <w:rFonts w:eastAsia="Calibri" w:cs="Tahoma"/>
          <w:szCs w:val="18"/>
        </w:rPr>
        <w:t>A equivalência de licença principal dos clientes não implica que eles podem atribuir uma única licença de processador a núcleos por dois ou mais processadores.</w:t>
      </w:r>
    </w:p>
    <w:p w:rsidR="00CA0E2D" w:rsidRPr="000A1C8E" w:rsidRDefault="00CA0E2D" w:rsidP="00CA0E2D">
      <w:pPr>
        <w:tabs>
          <w:tab w:val="left" w:pos="720"/>
        </w:tabs>
        <w:ind w:left="720"/>
        <w:contextualSpacing/>
        <w:rPr>
          <w:rFonts w:cs="Tahoma"/>
        </w:rPr>
      </w:pPr>
    </w:p>
    <w:p w:rsidR="00CA0E2D" w:rsidRPr="000A1C8E" w:rsidRDefault="00A81E83" w:rsidP="00CA0E2D">
      <w:pPr>
        <w:tabs>
          <w:tab w:val="left" w:pos="720"/>
        </w:tabs>
        <w:spacing w:after="60"/>
        <w:ind w:left="720"/>
        <w:rPr>
          <w:rFonts w:cs="Tahoma"/>
        </w:rPr>
      </w:pPr>
      <w:r w:rsidRPr="000A1C8E">
        <w:rPr>
          <w:rFonts w:eastAsia="Calibri" w:cs="Tahoma"/>
          <w:b/>
          <w:szCs w:val="18"/>
        </w:rPr>
        <w:t>Para os clientes com cobertura de Software Assurance que expiram em ou depois de 1º de abril de 2015 que optaram pela não renovação</w:t>
      </w:r>
    </w:p>
    <w:p w:rsidR="00A81E83" w:rsidRPr="000A1C8E" w:rsidRDefault="00A81E83" w:rsidP="00CA0E2D">
      <w:pPr>
        <w:tabs>
          <w:tab w:val="left" w:pos="720"/>
        </w:tabs>
        <w:ind w:left="720"/>
        <w:contextualSpacing/>
        <w:rPr>
          <w:rFonts w:cs="Tahoma"/>
        </w:rPr>
      </w:pPr>
      <w:r w:rsidRPr="000A1C8E">
        <w:rPr>
          <w:rFonts w:eastAsia="Calibri" w:cs="Tahoma"/>
          <w:color w:val="000000"/>
          <w:szCs w:val="18"/>
        </w:rPr>
        <w:t xml:space="preserve">Os clientes do Enterprise Subscription </w:t>
      </w:r>
      <w:r w:rsidRPr="000A1C8E">
        <w:rPr>
          <w:rFonts w:cs="Tahoma"/>
          <w:bCs/>
          <w:color w:val="000000"/>
          <w:szCs w:val="18"/>
        </w:rPr>
        <w:t xml:space="preserve">e Open Value Subscription </w:t>
      </w:r>
      <w:r w:rsidRPr="000A1C8E">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rsidR="00CA0E2D" w:rsidRPr="000A1C8E" w:rsidRDefault="00CA0E2D" w:rsidP="00CA0E2D">
      <w:pPr>
        <w:tabs>
          <w:tab w:val="left" w:pos="720"/>
        </w:tabs>
        <w:ind w:left="720"/>
        <w:contextualSpacing/>
        <w:rPr>
          <w:rFonts w:cs="Tahoma"/>
        </w:rPr>
      </w:pPr>
    </w:p>
    <w:p w:rsidR="00A81E83" w:rsidRPr="000A1C8E" w:rsidRDefault="00A81E83" w:rsidP="00346F4B">
      <w:pPr>
        <w:numPr>
          <w:ilvl w:val="2"/>
          <w:numId w:val="50"/>
        </w:numPr>
        <w:tabs>
          <w:tab w:val="left" w:pos="1440"/>
        </w:tabs>
        <w:spacing w:after="60"/>
        <w:ind w:left="1440"/>
        <w:rPr>
          <w:rFonts w:cs="Tahoma"/>
        </w:rPr>
      </w:pPr>
      <w:r w:rsidRPr="000A1C8E">
        <w:rPr>
          <w:rFonts w:eastAsia="Calibri" w:cs="Tahoma"/>
          <w:szCs w:val="18"/>
        </w:rPr>
        <w:t>Conforme fornecido no primeiro parágrafo desta nota de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0A1C8E" w:rsidRDefault="00A81E83" w:rsidP="00346F4B">
      <w:pPr>
        <w:numPr>
          <w:ilvl w:val="2"/>
          <w:numId w:val="50"/>
        </w:numPr>
        <w:tabs>
          <w:tab w:val="left" w:pos="1440"/>
        </w:tabs>
        <w:spacing w:after="60"/>
        <w:ind w:left="1440"/>
        <w:rPr>
          <w:rFonts w:cs="Tahoma"/>
        </w:rPr>
      </w:pPr>
      <w:r w:rsidRPr="000A1C8E">
        <w:rPr>
          <w:rFonts w:eastAsia="Calibri" w:cs="Tahoma"/>
          <w:szCs w:val="18"/>
        </w:rPr>
        <w:t>Para as licenças adquiridas depois de 1</w:t>
      </w:r>
      <w:r w:rsidRPr="000A1C8E">
        <w:rPr>
          <w:rFonts w:eastAsia="Calibri" w:cs="Tahoma"/>
          <w:szCs w:val="18"/>
          <w:vertAlign w:val="superscript"/>
        </w:rPr>
        <w:t>º</w:t>
      </w:r>
      <w:r w:rsidRPr="000A1C8E">
        <w:rPr>
          <w:rFonts w:eastAsia="Calibri" w:cs="Tahoma"/>
          <w:szCs w:val="18"/>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rsidR="00CA0E2D" w:rsidRPr="000A1C8E" w:rsidRDefault="00CA0E2D" w:rsidP="00CA0E2D">
      <w:pPr>
        <w:tabs>
          <w:tab w:val="left" w:pos="1440"/>
        </w:tabs>
        <w:ind w:left="1440"/>
        <w:contextualSpacing/>
        <w:rPr>
          <w:rFonts w:cs="Tahoma"/>
        </w:rPr>
      </w:pPr>
    </w:p>
    <w:p w:rsidR="00CA0E2D" w:rsidRPr="000A1C8E" w:rsidRDefault="00A81E83" w:rsidP="00CA0E2D">
      <w:pPr>
        <w:tabs>
          <w:tab w:val="left" w:pos="720"/>
        </w:tabs>
        <w:spacing w:after="60"/>
        <w:ind w:left="720"/>
        <w:rPr>
          <w:rFonts w:cs="Tahoma"/>
        </w:rPr>
      </w:pPr>
      <w:r w:rsidRPr="000A1C8E">
        <w:rPr>
          <w:rFonts w:eastAsia="Calibri" w:cs="Tahoma"/>
          <w:b/>
          <w:szCs w:val="18"/>
        </w:rPr>
        <w:t>Para os clientes localizados na República Popular da China e para os que estão adquirindo licenças de processador e Software Assurance para SQL Server 2008 R2</w:t>
      </w:r>
    </w:p>
    <w:p w:rsidR="00A81E83" w:rsidRPr="000A1C8E" w:rsidRDefault="00A81E83" w:rsidP="00CA0E2D">
      <w:pPr>
        <w:tabs>
          <w:tab w:val="left" w:pos="720"/>
        </w:tabs>
        <w:ind w:left="720"/>
        <w:contextualSpacing/>
        <w:rPr>
          <w:rFonts w:cs="Tahoma"/>
        </w:rPr>
      </w:pPr>
      <w:r w:rsidRPr="000A1C8E">
        <w:rPr>
          <w:rFonts w:cs="Tahoma"/>
        </w:rPr>
        <w:t>As referências a 1</w:t>
      </w:r>
      <w:r w:rsidRPr="000A1C8E">
        <w:rPr>
          <w:rFonts w:cs="Tahoma"/>
          <w:vertAlign w:val="superscript"/>
        </w:rPr>
        <w:t>º</w:t>
      </w:r>
      <w:r w:rsidRPr="000A1C8E">
        <w:rPr>
          <w:rFonts w:cs="Tahoma"/>
        </w:rPr>
        <w:t xml:space="preserve"> de abril de 2012 e 1</w:t>
      </w:r>
      <w:r w:rsidRPr="000A1C8E">
        <w:rPr>
          <w:rFonts w:cs="Tahoma"/>
          <w:vertAlign w:val="superscript"/>
        </w:rPr>
        <w:t>º</w:t>
      </w:r>
      <w:r w:rsidRPr="000A1C8E">
        <w:rPr>
          <w:rFonts w:cs="Tahoma"/>
        </w:rPr>
        <w:t xml:space="preserve"> de abril de 2015 nesta nota da lista de produtos não são aplicáveis. As datas aplicáveis para esses clientes são 1</w:t>
      </w:r>
      <w:r w:rsidRPr="000A1C8E">
        <w:rPr>
          <w:rFonts w:cs="Tahoma"/>
          <w:vertAlign w:val="superscript"/>
        </w:rPr>
        <w:t>º</w:t>
      </w:r>
      <w:r w:rsidRPr="000A1C8E">
        <w:rPr>
          <w:rFonts w:cs="Tahoma"/>
        </w:rPr>
        <w:t xml:space="preserve"> de julho de 2012 e 1</w:t>
      </w:r>
      <w:r w:rsidRPr="000A1C8E">
        <w:rPr>
          <w:rFonts w:cs="Tahoma"/>
          <w:vertAlign w:val="superscript"/>
        </w:rPr>
        <w:t>º</w:t>
      </w:r>
      <w:r w:rsidRPr="000A1C8E">
        <w:rPr>
          <w:rFonts w:cs="Tahoma"/>
        </w:rPr>
        <w:t xml:space="preserve"> de julho de 2015, respectivamente.</w:t>
      </w:r>
    </w:p>
    <w:p w:rsidR="00A81E83" w:rsidRPr="000A1C8E" w:rsidRDefault="00A81E83" w:rsidP="00A5643F">
      <w:pPr>
        <w:rPr>
          <w:rFonts w:cs="Tahoma"/>
        </w:rPr>
      </w:pPr>
    </w:p>
    <w:p w:rsidR="00A81E83" w:rsidRPr="000A1C8E" w:rsidRDefault="00A81E83" w:rsidP="009959DF">
      <w:pPr>
        <w:rPr>
          <w:rFonts w:cs="Tahoma"/>
        </w:rPr>
      </w:pPr>
    </w:p>
    <w:p w:rsidR="00A81E83" w:rsidRPr="000A1C8E" w:rsidRDefault="00A560B6" w:rsidP="00A81E83">
      <w:pPr>
        <w:pStyle w:val="Heading3"/>
        <w:rPr>
          <w:rFonts w:ascii="Tahoma" w:hAnsi="Tahoma" w:cs="Tahoma"/>
        </w:rPr>
      </w:pPr>
      <w:bookmarkStart w:id="1474" w:name="_76_74_SQL"/>
      <w:bookmarkStart w:id="1475" w:name="_Toc336338341"/>
      <w:bookmarkStart w:id="1476" w:name="_Toc361829425"/>
      <w:bookmarkStart w:id="1477" w:name="Srv_83SQL2008R2Smallbiz"/>
      <w:bookmarkEnd w:id="1474"/>
      <w:r w:rsidRPr="000A1C8E">
        <w:rPr>
          <w:rFonts w:ascii="Tahoma" w:hAnsi="Tahoma" w:cs="Tahoma"/>
          <w:caps/>
          <w:color w:val="FE6700"/>
          <w:sz w:val="22"/>
          <w:vertAlign w:val="superscript"/>
        </w:rPr>
        <w:t xml:space="preserve">82 </w:t>
      </w:r>
      <w:r w:rsidRPr="000A1C8E">
        <w:rPr>
          <w:rFonts w:ascii="Tahoma" w:hAnsi="Tahoma" w:cs="Tahoma"/>
          <w:color w:val="FE6700"/>
          <w:sz w:val="22"/>
        </w:rPr>
        <w:t>SQL Server</w:t>
      </w:r>
      <w:r w:rsidR="00C83286" w:rsidRPr="000A1C8E">
        <w:rPr>
          <w:rFonts w:ascii="Tahoma" w:hAnsi="Tahoma" w:cs="Tahoma"/>
          <w:color w:val="FE6700"/>
          <w:sz w:val="22"/>
          <w:vertAlign w:val="superscript"/>
        </w:rPr>
        <w:t>®</w:t>
      </w:r>
      <w:r w:rsidRPr="000A1C8E">
        <w:rPr>
          <w:rFonts w:ascii="Tahoma" w:hAnsi="Tahoma" w:cs="Tahoma"/>
          <w:color w:val="FE6700"/>
          <w:sz w:val="22"/>
        </w:rPr>
        <w:t xml:space="preserve"> 2008 R2 Small Business</w:t>
      </w:r>
      <w:bookmarkEnd w:id="1475"/>
      <w:bookmarkEnd w:id="1476"/>
    </w:p>
    <w:bookmarkEnd w:id="1477"/>
    <w:p w:rsidR="00A81E83" w:rsidRPr="000A1C8E" w:rsidRDefault="00A81E83" w:rsidP="00BD4B91">
      <w:pPr>
        <w:rPr>
          <w:rFonts w:cs="Tahoma"/>
        </w:rPr>
      </w:pPr>
    </w:p>
    <w:p w:rsidR="00CA0E2D" w:rsidRPr="000A1C8E" w:rsidRDefault="00A81E83" w:rsidP="00CA0E2D">
      <w:pPr>
        <w:spacing w:after="60" w:line="276" w:lineRule="auto"/>
        <w:ind w:left="720"/>
        <w:rPr>
          <w:rFonts w:cs="Tahoma"/>
          <w:spacing w:val="-2"/>
        </w:rPr>
      </w:pPr>
      <w:r w:rsidRPr="000A1C8E">
        <w:rPr>
          <w:rFonts w:eastAsia="Calibri" w:cs="Tahoma"/>
          <w:b/>
          <w:spacing w:val="-2"/>
          <w:szCs w:val="18"/>
        </w:rPr>
        <w:t>Outorgas de Licença Associadas ao término da validade da edição do SQL Server Small Business</w:t>
      </w:r>
    </w:p>
    <w:p w:rsidR="00A81E83" w:rsidRPr="000A1C8E" w:rsidRDefault="00A81E83" w:rsidP="007C701C">
      <w:pPr>
        <w:spacing w:after="200"/>
        <w:ind w:left="720"/>
        <w:rPr>
          <w:rFonts w:cs="Tahoma"/>
        </w:rPr>
      </w:pPr>
      <w:r w:rsidRPr="000A1C8E">
        <w:rPr>
          <w:rFonts w:eastAsia="Calibri" w:cs="Tahoma"/>
          <w:szCs w:val="18"/>
        </w:rPr>
        <w:t>O SQL Server 2008 R2 para Small Business será a última versão da edição do SQL Server para Small Business.</w:t>
      </w:r>
      <w:r w:rsidR="00DC6D8B" w:rsidRPr="000A1C8E">
        <w:rPr>
          <w:rFonts w:eastAsia="Calibri" w:cs="Tahoma"/>
          <w:szCs w:val="18"/>
        </w:rPr>
        <w:t xml:space="preserve"> </w:t>
      </w:r>
      <w:r w:rsidRPr="000A1C8E">
        <w:rPr>
          <w:rFonts w:eastAsia="Calibri" w:cs="Tahoma"/>
          <w:szCs w:val="18"/>
        </w:rPr>
        <w:t>Como exceção, os clientes de Licenciamento por Volume com Software Assurance ativo para licenças do SQL Server 2008 R2 para Small Business em 1º de abril de 2012 poderão fazer atualização e usar o SQL Server 2012 Standard Server (ou qualquer versão posterior desse produto disponibilizado durante sua cobertura) no lugar da edição do SQL Server Workgroup e adquirir o Software Assurance para</w:t>
      </w:r>
      <w:r w:rsidR="007C701C" w:rsidRPr="000A1C8E">
        <w:rPr>
          <w:rFonts w:eastAsia="Calibri" w:cs="Tahoma"/>
          <w:szCs w:val="18"/>
        </w:rPr>
        <w:t> </w:t>
      </w:r>
      <w:r w:rsidRPr="000A1C8E">
        <w:rPr>
          <w:rFonts w:eastAsia="Calibri" w:cs="Tahoma"/>
          <w:szCs w:val="18"/>
        </w:rPr>
        <w:t>SQL Server Standard quando sua cobertura atual expirar. 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w:t>
      </w:r>
      <w:r w:rsidR="00DC6D8B" w:rsidRPr="000A1C8E">
        <w:rPr>
          <w:rFonts w:eastAsia="Calibri" w:cs="Tahoma"/>
          <w:szCs w:val="18"/>
        </w:rPr>
        <w:t xml:space="preserve"> </w:t>
      </w:r>
      <w:r w:rsidRPr="000A1C8E">
        <w:rPr>
          <w:rFonts w:eastAsia="Calibri" w:cs="Tahoma"/>
          <w:szCs w:val="18"/>
        </w:rPr>
        <w:t>As licenças do SQL Server Small Business dos clientes não são mais válidas quando eles adquirem o Software Assurance do SQL Server Standard sob esta oferta.</w:t>
      </w:r>
    </w:p>
    <w:p w:rsidR="00CA0E2D" w:rsidRPr="000A1C8E" w:rsidRDefault="00A81E83" w:rsidP="00CA0E2D">
      <w:pPr>
        <w:spacing w:after="60" w:line="276" w:lineRule="auto"/>
        <w:ind w:left="720"/>
        <w:rPr>
          <w:rFonts w:cs="Tahoma"/>
        </w:rPr>
      </w:pPr>
      <w:r w:rsidRPr="000A1C8E">
        <w:rPr>
          <w:rFonts w:cs="Tahoma"/>
          <w:b/>
        </w:rPr>
        <w:t>Para os clientes localizados na República Popular da</w:t>
      </w:r>
      <w:r w:rsidRPr="000A1C8E">
        <w:rPr>
          <w:rFonts w:cs="Tahoma"/>
        </w:rPr>
        <w:t xml:space="preserve"> </w:t>
      </w:r>
      <w:r w:rsidRPr="000A1C8E">
        <w:rPr>
          <w:rFonts w:cs="Tahoma"/>
          <w:b/>
        </w:rPr>
        <w:t>China e para os que estão adquirindo licenças e Software Assurance para SQL Server 2008 R2</w:t>
      </w:r>
    </w:p>
    <w:p w:rsidR="00CA0E2D" w:rsidRPr="000A1C8E" w:rsidRDefault="00A81E83" w:rsidP="00CA0E2D">
      <w:pPr>
        <w:ind w:left="720"/>
        <w:rPr>
          <w:rFonts w:cs="Tahoma"/>
        </w:rPr>
      </w:pPr>
      <w:r w:rsidRPr="000A1C8E">
        <w:rPr>
          <w:rFonts w:cs="Tahoma"/>
        </w:rPr>
        <w:t>As referências a 1</w:t>
      </w:r>
      <w:r w:rsidRPr="000A1C8E">
        <w:rPr>
          <w:rFonts w:cs="Tahoma"/>
          <w:vertAlign w:val="superscript"/>
        </w:rPr>
        <w:t>º</w:t>
      </w:r>
      <w:r w:rsidRPr="000A1C8E">
        <w:rPr>
          <w:rFonts w:cs="Tahoma"/>
        </w:rPr>
        <w:t xml:space="preserve"> de abril de 2012 nesta nota da lista de produtos não são aplicáveis. A data aplicável para esses clientes é 1</w:t>
      </w:r>
      <w:r w:rsidRPr="000A1C8E">
        <w:rPr>
          <w:rFonts w:cs="Tahoma"/>
          <w:vertAlign w:val="superscript"/>
        </w:rPr>
        <w:t>º</w:t>
      </w:r>
      <w:r w:rsidRPr="000A1C8E">
        <w:rPr>
          <w:rFonts w:cs="Tahoma"/>
        </w:rPr>
        <w:t xml:space="preserve"> de julho de 2012.</w:t>
      </w:r>
    </w:p>
    <w:p w:rsidR="00CA0E2D" w:rsidRPr="000A1C8E" w:rsidRDefault="00CA0E2D" w:rsidP="00CA0E2D">
      <w:pPr>
        <w:ind w:left="720"/>
        <w:rPr>
          <w:rFonts w:cs="Tahoma"/>
        </w:rPr>
      </w:pPr>
    </w:p>
    <w:p w:rsidR="002512D3" w:rsidRPr="000A1C8E" w:rsidRDefault="002512D3">
      <w:pPr>
        <w:rPr>
          <w:rFonts w:cs="Tahoma"/>
        </w:rPr>
      </w:pPr>
      <w:bookmarkStart w:id="1478" w:name="_Toc336338342"/>
      <w:bookmarkStart w:id="1479" w:name="Srv_84SQL2008R2Webproc"/>
    </w:p>
    <w:p w:rsidR="007C701C" w:rsidRPr="000A1C8E" w:rsidRDefault="007C701C">
      <w:pPr>
        <w:rPr>
          <w:rFonts w:cs="Tahoma"/>
        </w:rPr>
      </w:pPr>
    </w:p>
    <w:p w:rsidR="007C701C" w:rsidRPr="000A1C8E" w:rsidRDefault="007C701C">
      <w:pPr>
        <w:rPr>
          <w:rFonts w:cs="Tahoma"/>
        </w:rPr>
      </w:pPr>
    </w:p>
    <w:p w:rsidR="007C701C" w:rsidRPr="000A1C8E" w:rsidRDefault="007C701C">
      <w:pPr>
        <w:rPr>
          <w:rFonts w:cs="Tahoma"/>
        </w:rPr>
      </w:pPr>
    </w:p>
    <w:p w:rsidR="007C701C" w:rsidRPr="000A1C8E" w:rsidRDefault="007C701C">
      <w:pPr>
        <w:rPr>
          <w:rFonts w:cs="Tahoma"/>
        </w:rPr>
      </w:pPr>
    </w:p>
    <w:p w:rsidR="007C701C" w:rsidRPr="000A1C8E" w:rsidRDefault="007C701C">
      <w:pPr>
        <w:rPr>
          <w:rFonts w:cs="Tahoma"/>
        </w:rPr>
      </w:pPr>
    </w:p>
    <w:p w:rsidR="00A81E83" w:rsidRPr="000A1C8E" w:rsidRDefault="00A560B6" w:rsidP="00A81E83">
      <w:pPr>
        <w:pStyle w:val="Heading3"/>
        <w:rPr>
          <w:rFonts w:ascii="Tahoma" w:hAnsi="Tahoma" w:cs="Tahoma"/>
        </w:rPr>
      </w:pPr>
      <w:bookmarkStart w:id="1480" w:name="_77_75_SQL"/>
      <w:bookmarkStart w:id="1481" w:name="_Toc361829426"/>
      <w:bookmarkEnd w:id="1480"/>
      <w:r w:rsidRPr="000A1C8E">
        <w:rPr>
          <w:rFonts w:ascii="Tahoma" w:hAnsi="Tahoma" w:cs="Tahoma"/>
          <w:caps/>
          <w:color w:val="F66400"/>
          <w:sz w:val="22"/>
          <w:vertAlign w:val="superscript"/>
        </w:rPr>
        <w:lastRenderedPageBreak/>
        <w:t>83</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2008 R2 Web Processor</w:t>
      </w:r>
      <w:bookmarkEnd w:id="1478"/>
      <w:bookmarkEnd w:id="1481"/>
    </w:p>
    <w:bookmarkEnd w:id="1479"/>
    <w:p w:rsidR="00A81E83" w:rsidRPr="000A1C8E" w:rsidRDefault="00A81E83" w:rsidP="008558DC">
      <w:pPr>
        <w:rPr>
          <w:rFonts w:cs="Tahoma"/>
          <w:sz w:val="14"/>
          <w:szCs w:val="14"/>
        </w:rPr>
      </w:pPr>
    </w:p>
    <w:p w:rsidR="008558DC" w:rsidRPr="000A1C8E" w:rsidRDefault="00A81E83" w:rsidP="00F80D0F">
      <w:pPr>
        <w:spacing w:after="40"/>
        <w:ind w:left="720"/>
        <w:rPr>
          <w:rFonts w:cs="Tahoma"/>
        </w:rPr>
      </w:pPr>
      <w:r w:rsidRPr="000A1C8E">
        <w:rPr>
          <w:rFonts w:eastAsia="Calibri" w:cs="Tahoma"/>
          <w:b/>
          <w:szCs w:val="18"/>
        </w:rPr>
        <w:t>Outorgas de Licença Associadas à Alteração no Modelo de Licenciamento</w:t>
      </w:r>
    </w:p>
    <w:p w:rsidR="00A81E83" w:rsidRPr="000A1C8E" w:rsidRDefault="00A81E83" w:rsidP="007C701C">
      <w:pPr>
        <w:ind w:left="720"/>
        <w:rPr>
          <w:rFonts w:cs="Tahoma"/>
          <w:spacing w:val="-2"/>
        </w:rPr>
      </w:pPr>
      <w:r w:rsidRPr="000A1C8E">
        <w:rPr>
          <w:rFonts w:eastAsia="Calibri" w:cs="Tahoma"/>
          <w:spacing w:val="-2"/>
          <w:szCs w:val="18"/>
        </w:rPr>
        <w:t>O SQL Server 2008 R2 será a última versão do SQL Server licenciada sob o modelo de licenciamento por</w:t>
      </w:r>
      <w:r w:rsidR="007C701C" w:rsidRPr="000A1C8E">
        <w:rPr>
          <w:rFonts w:eastAsia="Calibri" w:cs="Tahoma"/>
          <w:spacing w:val="-2"/>
          <w:szCs w:val="18"/>
        </w:rPr>
        <w:t> </w:t>
      </w:r>
      <w:r w:rsidRPr="000A1C8E">
        <w:rPr>
          <w:rFonts w:eastAsia="Calibri" w:cs="Tahoma"/>
          <w:spacing w:val="-2"/>
          <w:szCs w:val="18"/>
        </w:rPr>
        <w:t>processador e a última versão da edição da Web do SQL Server sob programas de usuário final de Licenciamento por Volume.</w:t>
      </w:r>
      <w:r w:rsidR="00DC6D8B" w:rsidRPr="000A1C8E">
        <w:rPr>
          <w:rFonts w:eastAsia="Calibri" w:cs="Tahoma"/>
          <w:spacing w:val="-2"/>
          <w:szCs w:val="18"/>
        </w:rPr>
        <w:t xml:space="preserve"> </w:t>
      </w:r>
      <w:r w:rsidRPr="000A1C8E">
        <w:rPr>
          <w:rFonts w:eastAsia="Calibri" w:cs="Tahoma"/>
          <w:spacing w:val="-2"/>
          <w:szCs w:val="18"/>
        </w:rPr>
        <w:t xml:space="preserve">Como uma exceção, aos clientes de Licenciamento por Volume com Software Assurance ativo para licenças do processador do SQL Server 2008 R2 Web em 1º de abril de 2012 (“licenças qualificadas”) são concedidas as seguintes opções. </w:t>
      </w:r>
      <w:r w:rsidRPr="000A1C8E">
        <w:rPr>
          <w:rFonts w:cs="Tahoma"/>
          <w:spacing w:val="-2"/>
        </w:rPr>
        <w:t>As licenças do processador do SQL Server 2008 R2 Web</w:t>
      </w:r>
      <w:r w:rsidRPr="000A1C8E">
        <w:rPr>
          <w:rFonts w:cs="Tahoma"/>
          <w:bCs/>
          <w:color w:val="000000"/>
          <w:spacing w:val="-2"/>
          <w:szCs w:val="18"/>
        </w:rPr>
        <w:t xml:space="preserve"> 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DC6D8B" w:rsidRPr="000A1C8E">
        <w:rPr>
          <w:rFonts w:cs="Tahoma"/>
          <w:bCs/>
          <w:color w:val="000000"/>
          <w:spacing w:val="-2"/>
          <w:szCs w:val="18"/>
        </w:rPr>
        <w:t xml:space="preserve"> </w:t>
      </w:r>
      <w:r w:rsidRPr="000A1C8E">
        <w:rPr>
          <w:rFonts w:cs="Tahoma"/>
          <w:bCs/>
          <w:color w:val="000000"/>
          <w:spacing w:val="-2"/>
          <w:szCs w:val="18"/>
        </w:rPr>
        <w:t>As licenças adquiridas depois de 1º de abril de 2015 ou sob um prazo de registro subsequente, um contrato separado ou qualquer registro com uma data de início de vigência após 1º de abril de 2012 não são licenças qualificadas.</w:t>
      </w:r>
    </w:p>
    <w:p w:rsidR="008558DC" w:rsidRPr="000A1C8E" w:rsidRDefault="008558DC" w:rsidP="008558DC">
      <w:pPr>
        <w:ind w:left="720"/>
        <w:rPr>
          <w:rFonts w:cs="Tahoma"/>
          <w:sz w:val="14"/>
          <w:szCs w:val="14"/>
        </w:rPr>
      </w:pPr>
    </w:p>
    <w:p w:rsidR="008558DC" w:rsidRPr="000A1C8E" w:rsidRDefault="008558DC" w:rsidP="00DD5A3B">
      <w:pPr>
        <w:spacing w:after="40"/>
        <w:ind w:left="720"/>
        <w:rPr>
          <w:rFonts w:cs="Tahoma"/>
        </w:rPr>
      </w:pPr>
      <w:r w:rsidRPr="000A1C8E">
        <w:rPr>
          <w:rFonts w:eastAsia="Calibri" w:cs="Tahoma"/>
          <w:b/>
          <w:szCs w:val="18"/>
        </w:rPr>
        <w:t>Prazo Atual</w:t>
      </w:r>
    </w:p>
    <w:p w:rsidR="008558DC" w:rsidRPr="000A1C8E" w:rsidRDefault="00A81E83" w:rsidP="00DD5A3B">
      <w:pPr>
        <w:ind w:left="720"/>
        <w:rPr>
          <w:rFonts w:cs="Tahoma"/>
          <w:spacing w:val="-2"/>
        </w:rPr>
      </w:pPr>
      <w:r w:rsidRPr="000A1C8E">
        <w:rPr>
          <w:rFonts w:eastAsia="Calibri" w:cs="Tahoma"/>
          <w:spacing w:val="-2"/>
          <w:szCs w:val="18"/>
        </w:rPr>
        <w:t>Durante o prazo atual da sua cobertura de Software Assurance a partir de 1º de abril de 2012, os clientes (incluindo aqueles sob contratos de assinatura) podem, sob qualquer licença qualificada, atualizar e usar o SQL</w:t>
      </w:r>
      <w:r w:rsidR="00DD5A3B" w:rsidRPr="000A1C8E">
        <w:rPr>
          <w:rFonts w:eastAsia="Calibri" w:cs="Tahoma"/>
          <w:spacing w:val="-2"/>
          <w:szCs w:val="18"/>
        </w:rPr>
        <w:t> </w:t>
      </w:r>
      <w:r w:rsidRPr="000A1C8E">
        <w:rPr>
          <w:rFonts w:eastAsia="Calibri" w:cs="Tahoma"/>
          <w:spacing w:val="-2"/>
          <w:szCs w:val="18"/>
        </w:rPr>
        <w:t>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DC6D8B" w:rsidRPr="000A1C8E">
        <w:rPr>
          <w:rFonts w:eastAsia="Calibri" w:cs="Tahoma"/>
          <w:spacing w:val="-2"/>
          <w:szCs w:val="18"/>
        </w:rPr>
        <w:t xml:space="preserve"> </w:t>
      </w:r>
      <w:r w:rsidRPr="000A1C8E">
        <w:rPr>
          <w:rFonts w:eastAsia="Calibri" w:cs="Tahoma"/>
          <w:spacing w:val="-2"/>
          <w:szCs w:val="18"/>
        </w:rPr>
        <w:t>Os clientes devem consultar os Direitos de Uso do Produto para SQL Server 2012 Standard Core quanto aos termos de licença para Mobilidade de Licença.</w:t>
      </w:r>
    </w:p>
    <w:p w:rsidR="008558DC" w:rsidRPr="000A1C8E" w:rsidRDefault="008558DC" w:rsidP="008558DC">
      <w:pPr>
        <w:ind w:left="720"/>
        <w:rPr>
          <w:rFonts w:cs="Tahoma"/>
          <w:sz w:val="14"/>
          <w:szCs w:val="14"/>
        </w:rPr>
      </w:pPr>
    </w:p>
    <w:p w:rsidR="008558DC" w:rsidRPr="000A1C8E" w:rsidRDefault="00A81E83" w:rsidP="00DD5A3B">
      <w:pPr>
        <w:spacing w:after="40"/>
        <w:ind w:left="720"/>
        <w:rPr>
          <w:rFonts w:cs="Tahoma"/>
        </w:rPr>
      </w:pPr>
      <w:r w:rsidRPr="000A1C8E">
        <w:rPr>
          <w:rFonts w:eastAsia="Calibri" w:cs="Tahoma"/>
          <w:b/>
          <w:szCs w:val="18"/>
        </w:rPr>
        <w:t>Primeiro Prazo de Renovação (antes de 1º de abril de 2015)</w:t>
      </w:r>
    </w:p>
    <w:p w:rsidR="00A81E83" w:rsidRPr="000A1C8E" w:rsidRDefault="00A81E83" w:rsidP="00DD5A3B">
      <w:pPr>
        <w:ind w:left="720"/>
        <w:rPr>
          <w:rFonts w:cs="Tahoma"/>
        </w:rPr>
      </w:pPr>
      <w:r w:rsidRPr="000A1C8E">
        <w:rPr>
          <w:rFonts w:eastAsia="Calibri" w:cs="Tahoma"/>
          <w:szCs w:val="18"/>
        </w:rPr>
        <w:t>Na sua primeira renovação de Software Assurance em ou depois de 1º de abril de 2012 (mas antes de 1º de abril de 2015), para cada servidor que um cliente tiver licenciado corretamente sob os direitos de uso do</w:t>
      </w:r>
      <w:r w:rsidR="00DD5A3B" w:rsidRPr="000A1C8E">
        <w:rPr>
          <w:rFonts w:eastAsia="Calibri" w:cs="Tahoma"/>
          <w:szCs w:val="18"/>
        </w:rPr>
        <w:t> </w:t>
      </w:r>
      <w:r w:rsidRPr="000A1C8E">
        <w:rPr>
          <w:rFonts w:eastAsia="Calibri" w:cs="Tahoma"/>
          <w:szCs w:val="18"/>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0A1C8E" w:rsidRDefault="00A81E83" w:rsidP="00F80D0F">
      <w:pPr>
        <w:numPr>
          <w:ilvl w:val="0"/>
          <w:numId w:val="116"/>
        </w:numPr>
        <w:tabs>
          <w:tab w:val="left" w:pos="1800"/>
        </w:tabs>
        <w:spacing w:after="40"/>
        <w:rPr>
          <w:rFonts w:cs="Tahoma"/>
        </w:rPr>
      </w:pPr>
      <w:r w:rsidRPr="000A1C8E">
        <w:rPr>
          <w:rFonts w:eastAsia="Calibri" w:cs="Tahoma"/>
          <w:szCs w:val="18"/>
        </w:rPr>
        <w:t xml:space="preserve">um número igual ao menor número de licenças qualificadas atribuído ao servidor ou o número total de processadores físicos no servidor multiplicado pelo maior de: </w:t>
      </w:r>
    </w:p>
    <w:p w:rsidR="00A81E83" w:rsidRPr="000A1C8E" w:rsidRDefault="00A81E83" w:rsidP="00F80D0F">
      <w:pPr>
        <w:numPr>
          <w:ilvl w:val="3"/>
          <w:numId w:val="55"/>
        </w:numPr>
        <w:spacing w:after="40"/>
        <w:ind w:left="2160"/>
        <w:rPr>
          <w:rFonts w:cs="Tahoma"/>
        </w:rPr>
      </w:pPr>
      <w:r w:rsidRPr="000A1C8E">
        <w:rPr>
          <w:rFonts w:eastAsia="Calibri" w:cs="Tahoma"/>
          <w:szCs w:val="18"/>
        </w:rPr>
        <w:t>Quatro OU</w:t>
      </w:r>
    </w:p>
    <w:p w:rsidR="00A81E83" w:rsidRPr="000A1C8E" w:rsidRDefault="00A81E83" w:rsidP="00F80D0F">
      <w:pPr>
        <w:numPr>
          <w:ilvl w:val="3"/>
          <w:numId w:val="55"/>
        </w:numPr>
        <w:spacing w:after="40"/>
        <w:ind w:left="2160"/>
        <w:rPr>
          <w:rFonts w:cs="Tahoma"/>
        </w:rPr>
      </w:pPr>
      <w:r w:rsidRPr="000A1C8E">
        <w:rPr>
          <w:rFonts w:eastAsia="Calibri" w:cs="Tahoma"/>
          <w:szCs w:val="18"/>
        </w:rPr>
        <w:t>o número real de núcleos por processador físico multiplicado pelo fator do núcleo apropriado.</w:t>
      </w:r>
      <w:r w:rsidR="00DC6D8B" w:rsidRPr="000A1C8E">
        <w:rPr>
          <w:rFonts w:eastAsia="Calibri" w:cs="Tahoma"/>
          <w:szCs w:val="18"/>
        </w:rPr>
        <w:t xml:space="preserve"> </w:t>
      </w:r>
      <w:r w:rsidRPr="000A1C8E">
        <w:rPr>
          <w:rFonts w:eastAsia="Calibri" w:cs="Tahoma"/>
          <w:szCs w:val="18"/>
        </w:rPr>
        <w:t xml:space="preserve">(Nos casos em que o número real de núcleos por processador físico excede quatro, os clientes devem manter um registro da configuração do software SQL Server executando no servidor </w:t>
      </w:r>
      <w:r w:rsidR="00A37DE2">
        <w:rPr>
          <w:rFonts w:eastAsia="Calibri" w:cs="Tahoma"/>
          <w:szCs w:val="18"/>
        </w:rPr>
        <w:t>(</w:t>
      </w:r>
      <w:r w:rsidRPr="000A1C8E">
        <w:rPr>
          <w:rFonts w:eastAsia="Calibri" w:cs="Tahoma"/>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558DC" w:rsidRPr="000A1C8E" w:rsidRDefault="00A81E83" w:rsidP="00F80D0F">
      <w:pPr>
        <w:numPr>
          <w:ilvl w:val="0"/>
          <w:numId w:val="116"/>
        </w:numPr>
        <w:tabs>
          <w:tab w:val="left" w:pos="1800"/>
        </w:tabs>
        <w:spacing w:after="40"/>
        <w:rPr>
          <w:rFonts w:cs="Tahoma"/>
        </w:rPr>
      </w:pPr>
      <w:r w:rsidRPr="000A1C8E">
        <w:rPr>
          <w:rFonts w:eastAsia="Calibri" w:cs="Tahoma"/>
          <w:szCs w:val="18"/>
        </w:rPr>
        <w:t>um número igual ao número das licenças qualificadas atribuído ao servidor em excesso do número real de processadores físicos no servidor multiplicado por quatro.</w:t>
      </w:r>
    </w:p>
    <w:p w:rsidR="00E5029B" w:rsidRPr="000A1C8E" w:rsidRDefault="00E5029B">
      <w:pPr>
        <w:rPr>
          <w:rFonts w:cs="Tahoma"/>
          <w:sz w:val="14"/>
          <w:szCs w:val="14"/>
        </w:rPr>
      </w:pPr>
    </w:p>
    <w:p w:rsidR="008558DC" w:rsidRPr="000A1C8E" w:rsidRDefault="00A81E83" w:rsidP="00DD5A3B">
      <w:pPr>
        <w:spacing w:after="40"/>
        <w:ind w:left="720"/>
        <w:rPr>
          <w:rFonts w:cs="Tahoma"/>
        </w:rPr>
      </w:pPr>
      <w:r w:rsidRPr="000A1C8E">
        <w:rPr>
          <w:rFonts w:eastAsia="Calibri" w:cs="Tahoma"/>
          <w:b/>
          <w:szCs w:val="18"/>
        </w:rPr>
        <w:t>Primeiro Prazo de Renovação (em ou após 1º de abril de 2015)</w:t>
      </w:r>
    </w:p>
    <w:p w:rsidR="00A81E83" w:rsidRPr="000A1C8E" w:rsidRDefault="00A81E83" w:rsidP="008558DC">
      <w:pPr>
        <w:ind w:left="720"/>
        <w:contextualSpacing/>
        <w:rPr>
          <w:rFonts w:cs="Tahoma"/>
        </w:rPr>
      </w:pPr>
      <w:r w:rsidRPr="000A1C8E">
        <w:rPr>
          <w:rFonts w:eastAsia="Calibri" w:cs="Tahoma"/>
          <w:color w:val="000000"/>
          <w:szCs w:val="18"/>
        </w:rPr>
        <w:t>Os clientes que renovaram primeiro a cobertura em ou depois de 1o. de abril de 2015</w:t>
      </w:r>
      <w:r w:rsidRPr="000A1C8E">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8558DC" w:rsidRPr="000A1C8E" w:rsidRDefault="008558DC" w:rsidP="008558DC">
      <w:pPr>
        <w:ind w:left="720"/>
        <w:contextualSpacing/>
        <w:rPr>
          <w:rFonts w:cs="Tahoma"/>
          <w:sz w:val="14"/>
          <w:szCs w:val="14"/>
        </w:rPr>
      </w:pPr>
    </w:p>
    <w:p w:rsidR="00A81E83" w:rsidRPr="000A1C8E" w:rsidRDefault="00A81E83" w:rsidP="00DD5A3B">
      <w:pPr>
        <w:numPr>
          <w:ilvl w:val="3"/>
          <w:numId w:val="89"/>
        </w:numPr>
        <w:spacing w:after="40"/>
        <w:ind w:left="1440"/>
        <w:rPr>
          <w:rFonts w:cs="Tahoma"/>
        </w:rPr>
      </w:pPr>
      <w:r w:rsidRPr="000A1C8E">
        <w:rPr>
          <w:rFonts w:eastAsia="Calibri" w:cs="Tahoma"/>
          <w:szCs w:val="18"/>
        </w:rPr>
        <w:t>Conforme fornecido no primeiro parágrafo desta nota do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renovar o SA de acordo com os termos na seção “Primeiro Prazo de Renovação (Antes de 1</w:t>
      </w:r>
      <w:r w:rsidRPr="000A1C8E">
        <w:rPr>
          <w:rFonts w:eastAsia="Calibri" w:cs="Tahoma"/>
          <w:szCs w:val="18"/>
          <w:vertAlign w:val="superscript"/>
        </w:rPr>
        <w:t>º</w:t>
      </w:r>
      <w:r w:rsidRPr="000A1C8E">
        <w:rPr>
          <w:rFonts w:eastAsia="Calibri" w:cs="Tahoma"/>
          <w:szCs w:val="18"/>
        </w:rPr>
        <w:t xml:space="preserve"> de abril de 2015)“ acima e</w:t>
      </w:r>
    </w:p>
    <w:p w:rsidR="00A81E83" w:rsidRPr="000A1C8E" w:rsidRDefault="00A81E83" w:rsidP="00DD5A3B">
      <w:pPr>
        <w:numPr>
          <w:ilvl w:val="3"/>
          <w:numId w:val="89"/>
        </w:numPr>
        <w:spacing w:after="40"/>
        <w:ind w:left="1440"/>
        <w:rPr>
          <w:rFonts w:cs="Tahoma"/>
        </w:rPr>
      </w:pPr>
      <w:r w:rsidRPr="000A1C8E">
        <w:rPr>
          <w:rFonts w:eastAsia="Calibri" w:cs="Tahoma"/>
          <w:szCs w:val="18"/>
        </w:rPr>
        <w:t>Para as licenças adquiridas depois de 1</w:t>
      </w:r>
      <w:r w:rsidRPr="000A1C8E">
        <w:rPr>
          <w:rFonts w:eastAsia="Calibri" w:cs="Tahoma"/>
          <w:szCs w:val="18"/>
          <w:vertAlign w:val="superscript"/>
        </w:rPr>
        <w:t>º</w:t>
      </w:r>
      <w:r w:rsidRPr="000A1C8E">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rsidR="00A81E83" w:rsidRPr="000A1C8E" w:rsidRDefault="00A81E83" w:rsidP="00DD5A3B">
      <w:pPr>
        <w:numPr>
          <w:ilvl w:val="0"/>
          <w:numId w:val="50"/>
        </w:numPr>
        <w:spacing w:after="40"/>
        <w:ind w:left="1440"/>
        <w:rPr>
          <w:rFonts w:cs="Tahoma"/>
        </w:rPr>
      </w:pPr>
      <w:r w:rsidRPr="000A1C8E">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8558DC" w:rsidRPr="000A1C8E" w:rsidRDefault="00A81E83" w:rsidP="008558DC">
      <w:pPr>
        <w:spacing w:after="60"/>
        <w:ind w:left="720"/>
        <w:rPr>
          <w:rFonts w:cs="Tahoma"/>
        </w:rPr>
      </w:pPr>
      <w:r w:rsidRPr="000A1C8E">
        <w:rPr>
          <w:rFonts w:eastAsia="Calibri" w:cs="Tahoma"/>
          <w:b/>
          <w:szCs w:val="18"/>
        </w:rPr>
        <w:lastRenderedPageBreak/>
        <w:t>Para os clientes com cobertura de Software Assurance que expiram antes de 1º de abril de 2015 que optaram pela não renovação</w:t>
      </w:r>
    </w:p>
    <w:p w:rsidR="00A81E83" w:rsidRPr="000A1C8E" w:rsidRDefault="00A81E83" w:rsidP="00DD5A3B">
      <w:pPr>
        <w:ind w:left="720"/>
        <w:contextualSpacing/>
        <w:rPr>
          <w:rFonts w:cs="Tahoma"/>
        </w:rPr>
      </w:pPr>
      <w:r w:rsidRPr="000A1C8E">
        <w:rPr>
          <w:rFonts w:eastAsia="Calibri" w:cs="Tahoma"/>
          <w:szCs w:val="18"/>
        </w:rPr>
        <w:t xml:space="preserve">Os clientes do Enterprise Subscription </w:t>
      </w:r>
      <w:r w:rsidRPr="000A1C8E">
        <w:rPr>
          <w:rFonts w:cs="Tahoma"/>
          <w:bCs/>
          <w:color w:val="000000"/>
          <w:szCs w:val="18"/>
        </w:rPr>
        <w:t xml:space="preserve">e Open Value Subscription </w:t>
      </w:r>
      <w:r w:rsidRPr="000A1C8E">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w:t>
      </w:r>
      <w:r w:rsidR="00DD5A3B" w:rsidRPr="000A1C8E">
        <w:rPr>
          <w:rFonts w:eastAsia="Calibri" w:cs="Tahoma"/>
          <w:szCs w:val="18"/>
        </w:rPr>
        <w:t> </w:t>
      </w:r>
      <w:r w:rsidRPr="000A1C8E">
        <w:rPr>
          <w:rFonts w:eastAsia="Calibri" w:cs="Tahoma"/>
          <w:szCs w:val="18"/>
        </w:rPr>
        <w:t>SQL Server 2008 R2 ou SQL Server 2012 sob essas licenças da seguinte forma:</w:t>
      </w:r>
    </w:p>
    <w:p w:rsidR="00A81E83" w:rsidRPr="000A1C8E" w:rsidRDefault="00A81E83" w:rsidP="00346F4B">
      <w:pPr>
        <w:numPr>
          <w:ilvl w:val="0"/>
          <w:numId w:val="90"/>
        </w:numPr>
        <w:tabs>
          <w:tab w:val="left" w:pos="1800"/>
        </w:tabs>
        <w:spacing w:after="60"/>
        <w:ind w:left="1800"/>
        <w:rPr>
          <w:rFonts w:cs="Tahoma"/>
        </w:rPr>
      </w:pPr>
      <w:r w:rsidRPr="000A1C8E">
        <w:rPr>
          <w:rFonts w:eastAsia="Calibri" w:cs="Tahoma"/>
          <w:b/>
          <w:szCs w:val="18"/>
        </w:rPr>
        <w:t>SQL Server 2008 R2 Web:</w:t>
      </w:r>
      <w:r w:rsidRPr="000A1C8E">
        <w:rPr>
          <w:rFonts w:eastAsia="Calibri" w:cs="Tahoma"/>
          <w:szCs w:val="18"/>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rsidR="00A81E83" w:rsidRPr="000A1C8E" w:rsidRDefault="00A81E83" w:rsidP="00346F4B">
      <w:pPr>
        <w:numPr>
          <w:ilvl w:val="0"/>
          <w:numId w:val="90"/>
        </w:numPr>
        <w:tabs>
          <w:tab w:val="left" w:pos="1800"/>
        </w:tabs>
        <w:spacing w:after="60"/>
        <w:ind w:left="1800"/>
        <w:rPr>
          <w:rFonts w:cs="Tahoma"/>
        </w:rPr>
      </w:pPr>
      <w:r w:rsidRPr="000A1C8E">
        <w:rPr>
          <w:rFonts w:eastAsia="Calibri" w:cs="Tahoma"/>
          <w:b/>
          <w:szCs w:val="18"/>
        </w:rPr>
        <w:t xml:space="preserve">SQL Server 2012 Standard Core: </w:t>
      </w:r>
      <w:r w:rsidRPr="000A1C8E">
        <w:rPr>
          <w:rFonts w:eastAsia="Calibri" w:cs="Tahoma"/>
          <w:szCs w:val="18"/>
        </w:rPr>
        <w:t xml:space="preserve">O uso desta versão do software está sujeito aos direitos de uso do produto de licença do processador do SQL Server 2008 R2 Standard, no entanto: </w:t>
      </w:r>
    </w:p>
    <w:p w:rsidR="00A81E83" w:rsidRPr="000A1C8E" w:rsidRDefault="00A81E83" w:rsidP="00E340E9">
      <w:pPr>
        <w:numPr>
          <w:ilvl w:val="1"/>
          <w:numId w:val="52"/>
        </w:numPr>
        <w:tabs>
          <w:tab w:val="left" w:pos="2160"/>
        </w:tabs>
        <w:spacing w:after="40"/>
        <w:ind w:left="2160"/>
        <w:rPr>
          <w:rFonts w:cs="Tahoma"/>
        </w:rPr>
      </w:pPr>
      <w:r w:rsidRPr="000A1C8E">
        <w:rPr>
          <w:rFonts w:eastAsia="Calibri" w:cs="Tahoma"/>
          <w:szCs w:val="18"/>
        </w:rPr>
        <w:t xml:space="preserve">os clientes não têm mais direitos sob Mobilidade de Licença nos Farms de Servidores nem Mobilidade de Licença por meio de Software Assurance e </w:t>
      </w:r>
    </w:p>
    <w:p w:rsidR="00A81E83" w:rsidRPr="000A1C8E" w:rsidRDefault="00A81E83" w:rsidP="00E340E9">
      <w:pPr>
        <w:numPr>
          <w:ilvl w:val="1"/>
          <w:numId w:val="52"/>
        </w:numPr>
        <w:tabs>
          <w:tab w:val="left" w:pos="2160"/>
        </w:tabs>
        <w:spacing w:after="40"/>
        <w:ind w:left="2160"/>
        <w:rPr>
          <w:rFonts w:cs="Tahoma"/>
        </w:rPr>
      </w:pPr>
      <w:r w:rsidRPr="000A1C8E">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0A1C8E" w:rsidRDefault="00A81E83" w:rsidP="00E340E9">
      <w:pPr>
        <w:numPr>
          <w:ilvl w:val="2"/>
          <w:numId w:val="52"/>
        </w:numPr>
        <w:tabs>
          <w:tab w:val="left" w:pos="2520"/>
        </w:tabs>
        <w:spacing w:after="40"/>
        <w:ind w:left="2520"/>
        <w:rPr>
          <w:rFonts w:cs="Tahoma"/>
        </w:rPr>
      </w:pPr>
      <w:r w:rsidRPr="000A1C8E">
        <w:rPr>
          <w:rFonts w:eastAsia="Calibri" w:cs="Tahoma"/>
          <w:szCs w:val="18"/>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0A1C8E" w:rsidRDefault="00A81E83" w:rsidP="00E340E9">
      <w:pPr>
        <w:numPr>
          <w:ilvl w:val="4"/>
          <w:numId w:val="50"/>
        </w:numPr>
        <w:tabs>
          <w:tab w:val="left" w:pos="2880"/>
        </w:tabs>
        <w:spacing w:after="40"/>
        <w:ind w:left="2880"/>
        <w:rPr>
          <w:rFonts w:cs="Tahoma"/>
        </w:rPr>
      </w:pPr>
      <w:r w:rsidRPr="000A1C8E">
        <w:rPr>
          <w:rFonts w:eastAsia="Calibri" w:cs="Tahoma"/>
          <w:szCs w:val="18"/>
        </w:rPr>
        <w:t xml:space="preserve">quatro núcleos por licença de processador OU </w:t>
      </w:r>
    </w:p>
    <w:p w:rsidR="00A81E83" w:rsidRPr="000A1C8E" w:rsidRDefault="00A81E83" w:rsidP="00E340E9">
      <w:pPr>
        <w:numPr>
          <w:ilvl w:val="4"/>
          <w:numId w:val="50"/>
        </w:numPr>
        <w:tabs>
          <w:tab w:val="left" w:pos="2880"/>
        </w:tabs>
        <w:spacing w:after="40"/>
        <w:ind w:left="2880"/>
        <w:rPr>
          <w:rFonts w:cs="Tahoma"/>
        </w:rPr>
      </w:pPr>
      <w:r w:rsidRPr="000A1C8E">
        <w:rPr>
          <w:rFonts w:eastAsia="Calibri" w:cs="Tahoma"/>
          <w:szCs w:val="18"/>
        </w:rPr>
        <w:t>um número de núcleos por licença do processador com base no número real de núcleos por processador físico multiplicado pelo fator de núcleo apropriado. (Nos casos em que o número real de núcleos por processador físico excede quatro, os</w:t>
      </w:r>
      <w:r w:rsidR="00A37DE2">
        <w:rPr>
          <w:rFonts w:eastAsia="Calibri" w:cs="Tahoma"/>
          <w:szCs w:val="18"/>
        </w:rPr>
        <w:t> </w:t>
      </w:r>
      <w:r w:rsidRPr="000A1C8E">
        <w:rPr>
          <w:rFonts w:eastAsia="Calibri" w:cs="Tahoma"/>
          <w:szCs w:val="18"/>
        </w:rPr>
        <w:t xml:space="preserve">clientes devem manter um registro da configuração do software SQL Server executando no servidor </w:t>
      </w:r>
      <w:r w:rsidR="00A37DE2">
        <w:rPr>
          <w:rFonts w:eastAsia="Calibri" w:cs="Tahoma"/>
          <w:szCs w:val="18"/>
        </w:rPr>
        <w:t>(</w:t>
      </w:r>
      <w:r w:rsidRPr="000A1C8E">
        <w:rPr>
          <w:rFonts w:eastAsia="Calibri" w:cs="Tahoma"/>
          <w:szCs w:val="18"/>
        </w:rPr>
        <w:t xml:space="preserve">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558DC" w:rsidRPr="000A1C8E" w:rsidRDefault="00A81E83" w:rsidP="00E340E9">
      <w:pPr>
        <w:numPr>
          <w:ilvl w:val="2"/>
          <w:numId w:val="52"/>
        </w:numPr>
        <w:tabs>
          <w:tab w:val="left" w:pos="2520"/>
        </w:tabs>
        <w:spacing w:after="40"/>
        <w:ind w:left="2520"/>
        <w:rPr>
          <w:rFonts w:cs="Tahoma"/>
        </w:rPr>
      </w:pPr>
      <w:r w:rsidRPr="000A1C8E">
        <w:rPr>
          <w:rFonts w:eastAsia="Calibri" w:cs="Tahoma"/>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0A1C8E" w:rsidRDefault="00A81E83" w:rsidP="00DD5A3B">
      <w:pPr>
        <w:numPr>
          <w:ilvl w:val="1"/>
          <w:numId w:val="52"/>
        </w:numPr>
        <w:tabs>
          <w:tab w:val="left" w:pos="2160"/>
        </w:tabs>
        <w:spacing w:after="40"/>
        <w:ind w:left="2160"/>
        <w:rPr>
          <w:rFonts w:cs="Tahoma"/>
        </w:rPr>
      </w:pPr>
      <w:r w:rsidRPr="000A1C8E">
        <w:rPr>
          <w:rFonts w:eastAsia="Calibri" w:cs="Tahoma"/>
          <w:szCs w:val="18"/>
        </w:rPr>
        <w:t>Os Clientes poderão transferir as Licenças para outro servidor. No entanto, se o cliente transferir uma licença para outro servidor, o cliente terá que seguir os direitos de uso do</w:t>
      </w:r>
      <w:r w:rsidR="00DD5A3B" w:rsidRPr="000A1C8E">
        <w:rPr>
          <w:rFonts w:eastAsia="Calibri" w:cs="Tahoma"/>
          <w:szCs w:val="18"/>
        </w:rPr>
        <w:t> </w:t>
      </w:r>
      <w:r w:rsidRPr="000A1C8E">
        <w:rPr>
          <w:rFonts w:eastAsia="Calibri" w:cs="Tahoma"/>
          <w:szCs w:val="18"/>
        </w:rPr>
        <w:t>SQL Server 2012. Ao transferir licenças principais para servidores sob os direitos de uso do SQL 2012, o cliente poderá combinar a equivalência de núcleo de suas licenças existentes com as licenças principais do SQL Server 2012 adicionais.</w:t>
      </w:r>
    </w:p>
    <w:p w:rsidR="00A81E83" w:rsidRPr="000A1C8E" w:rsidRDefault="00A81E83" w:rsidP="00DD5A3B">
      <w:pPr>
        <w:numPr>
          <w:ilvl w:val="1"/>
          <w:numId w:val="52"/>
        </w:numPr>
        <w:tabs>
          <w:tab w:val="left" w:pos="2160"/>
        </w:tabs>
        <w:spacing w:after="40"/>
        <w:ind w:left="2160"/>
        <w:rPr>
          <w:rFonts w:cs="Tahoma"/>
        </w:rPr>
      </w:pPr>
      <w:r w:rsidRPr="000A1C8E">
        <w:rPr>
          <w:rFonts w:eastAsia="Calibri" w:cs="Tahoma"/>
          <w:szCs w:val="18"/>
        </w:rPr>
        <w:t>A equivalência de licença principal dos clientes não implica que eles podem atribuir uma única licença de processador a núcleos por dois ou mais processadores.</w:t>
      </w:r>
    </w:p>
    <w:p w:rsidR="00B06AAC" w:rsidRPr="000A1C8E" w:rsidRDefault="00B06AAC" w:rsidP="00DD5A3B">
      <w:pPr>
        <w:tabs>
          <w:tab w:val="left" w:pos="2160"/>
        </w:tabs>
        <w:spacing w:after="40"/>
        <w:rPr>
          <w:rFonts w:cs="Tahoma"/>
          <w:sz w:val="14"/>
          <w:szCs w:val="14"/>
        </w:rPr>
      </w:pPr>
    </w:p>
    <w:p w:rsidR="00B06AAC" w:rsidRPr="000A1C8E" w:rsidRDefault="00A81E83" w:rsidP="00B06AAC">
      <w:pPr>
        <w:tabs>
          <w:tab w:val="left" w:pos="720"/>
        </w:tabs>
        <w:spacing w:after="60"/>
        <w:ind w:left="720"/>
        <w:rPr>
          <w:rFonts w:cs="Tahoma"/>
        </w:rPr>
      </w:pPr>
      <w:r w:rsidRPr="000A1C8E">
        <w:rPr>
          <w:rFonts w:eastAsia="Calibri" w:cs="Tahoma"/>
          <w:b/>
          <w:szCs w:val="18"/>
        </w:rPr>
        <w:t>Para os clientes com cobertura de Software Assurance que expiram em ou depois de 1º de abril de 2015 que optaram pela não renovação</w:t>
      </w:r>
    </w:p>
    <w:p w:rsidR="00A81E83" w:rsidRPr="000A1C8E" w:rsidRDefault="00A81E83" w:rsidP="00B06AAC">
      <w:pPr>
        <w:tabs>
          <w:tab w:val="left" w:pos="720"/>
        </w:tabs>
        <w:ind w:left="720"/>
        <w:contextualSpacing/>
        <w:rPr>
          <w:rFonts w:cs="Tahoma"/>
        </w:rPr>
      </w:pPr>
      <w:r w:rsidRPr="000A1C8E">
        <w:rPr>
          <w:rFonts w:eastAsia="Calibri" w:cs="Tahoma"/>
          <w:color w:val="000000"/>
          <w:szCs w:val="18"/>
        </w:rPr>
        <w:t xml:space="preserve">Os clientes do Enterprise Subscription </w:t>
      </w:r>
      <w:r w:rsidRPr="000A1C8E">
        <w:rPr>
          <w:rFonts w:cs="Tahoma"/>
          <w:bCs/>
          <w:color w:val="000000"/>
          <w:szCs w:val="18"/>
        </w:rPr>
        <w:t xml:space="preserve">e Open Value Subscription </w:t>
      </w:r>
      <w:r w:rsidRPr="000A1C8E">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rsidR="00B06AAC" w:rsidRPr="000A1C8E" w:rsidRDefault="00B06AAC" w:rsidP="00B06AAC">
      <w:pPr>
        <w:tabs>
          <w:tab w:val="left" w:pos="720"/>
        </w:tabs>
        <w:ind w:left="720"/>
        <w:contextualSpacing/>
        <w:rPr>
          <w:rFonts w:cs="Tahoma"/>
          <w:sz w:val="14"/>
          <w:szCs w:val="14"/>
        </w:rPr>
      </w:pPr>
    </w:p>
    <w:p w:rsidR="00A81E83" w:rsidRPr="000A1C8E" w:rsidRDefault="00A81E83" w:rsidP="00E340E9">
      <w:pPr>
        <w:numPr>
          <w:ilvl w:val="2"/>
          <w:numId w:val="50"/>
        </w:numPr>
        <w:spacing w:after="40"/>
        <w:ind w:left="1440"/>
        <w:rPr>
          <w:rFonts w:cs="Tahoma"/>
        </w:rPr>
      </w:pPr>
      <w:r w:rsidRPr="000A1C8E">
        <w:rPr>
          <w:rFonts w:eastAsia="Calibri" w:cs="Tahoma"/>
          <w:szCs w:val="18"/>
        </w:rPr>
        <w:t>Conforme fornecido no primeiro parágrafo desta nota de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0A1C8E" w:rsidRDefault="00A81E83" w:rsidP="00346F4B">
      <w:pPr>
        <w:numPr>
          <w:ilvl w:val="2"/>
          <w:numId w:val="50"/>
        </w:numPr>
        <w:spacing w:after="60"/>
        <w:ind w:left="1440"/>
        <w:rPr>
          <w:rFonts w:cs="Tahoma"/>
        </w:rPr>
      </w:pPr>
      <w:r w:rsidRPr="000A1C8E">
        <w:rPr>
          <w:rFonts w:eastAsia="Calibri" w:cs="Tahoma"/>
          <w:szCs w:val="18"/>
        </w:rPr>
        <w:t>Para as licenças adquiridas depois de 1</w:t>
      </w:r>
      <w:r w:rsidRPr="000A1C8E">
        <w:rPr>
          <w:rFonts w:eastAsia="Calibri" w:cs="Tahoma"/>
          <w:szCs w:val="18"/>
          <w:vertAlign w:val="superscript"/>
        </w:rPr>
        <w:t>º</w:t>
      </w:r>
      <w:r w:rsidRPr="000A1C8E">
        <w:rPr>
          <w:rFonts w:eastAsia="Calibri" w:cs="Tahoma"/>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B06AAC" w:rsidRPr="000A1C8E" w:rsidRDefault="00A81E83" w:rsidP="00B06AAC">
      <w:pPr>
        <w:tabs>
          <w:tab w:val="left" w:pos="720"/>
        </w:tabs>
        <w:spacing w:after="60"/>
        <w:ind w:left="720"/>
        <w:rPr>
          <w:rFonts w:cs="Tahoma"/>
        </w:rPr>
      </w:pPr>
      <w:r w:rsidRPr="000A1C8E">
        <w:rPr>
          <w:rFonts w:cs="Tahoma"/>
          <w:b/>
        </w:rPr>
        <w:lastRenderedPageBreak/>
        <w:t>Para os clientes localizados na República Popular da</w:t>
      </w:r>
      <w:r w:rsidRPr="000A1C8E">
        <w:rPr>
          <w:rFonts w:cs="Tahoma"/>
        </w:rPr>
        <w:t xml:space="preserve"> </w:t>
      </w:r>
      <w:r w:rsidRPr="000A1C8E">
        <w:rPr>
          <w:rFonts w:cs="Tahoma"/>
          <w:b/>
        </w:rPr>
        <w:t>China e para os que estão adquirindo licenças de processador e Software Assurance para SQL Server 2008 R2</w:t>
      </w:r>
    </w:p>
    <w:p w:rsidR="00A81E83" w:rsidRPr="000A1C8E" w:rsidRDefault="00A81E83" w:rsidP="00B06AAC">
      <w:pPr>
        <w:tabs>
          <w:tab w:val="left" w:pos="720"/>
        </w:tabs>
        <w:ind w:left="720"/>
        <w:contextualSpacing/>
        <w:rPr>
          <w:rFonts w:cs="Tahoma"/>
        </w:rPr>
      </w:pPr>
      <w:r w:rsidRPr="000A1C8E">
        <w:rPr>
          <w:rFonts w:cs="Tahoma"/>
        </w:rPr>
        <w:t>As referências a 1</w:t>
      </w:r>
      <w:r w:rsidRPr="000A1C8E">
        <w:rPr>
          <w:rFonts w:cs="Tahoma"/>
          <w:vertAlign w:val="superscript"/>
        </w:rPr>
        <w:t>º</w:t>
      </w:r>
      <w:r w:rsidRPr="000A1C8E">
        <w:rPr>
          <w:rFonts w:cs="Tahoma"/>
        </w:rPr>
        <w:t xml:space="preserve"> de abril de 2012 e 1</w:t>
      </w:r>
      <w:r w:rsidRPr="000A1C8E">
        <w:rPr>
          <w:rFonts w:cs="Tahoma"/>
          <w:vertAlign w:val="superscript"/>
        </w:rPr>
        <w:t>º</w:t>
      </w:r>
      <w:r w:rsidRPr="000A1C8E">
        <w:rPr>
          <w:rFonts w:cs="Tahoma"/>
        </w:rPr>
        <w:t xml:space="preserve"> de abril de 2015 nesta nota da lista de produtos não são aplicáveis. As datas aplicáveis para esses clientes são 1</w:t>
      </w:r>
      <w:r w:rsidRPr="000A1C8E">
        <w:rPr>
          <w:rFonts w:cs="Tahoma"/>
          <w:vertAlign w:val="superscript"/>
        </w:rPr>
        <w:t>º</w:t>
      </w:r>
      <w:r w:rsidRPr="000A1C8E">
        <w:rPr>
          <w:rFonts w:cs="Tahoma"/>
        </w:rPr>
        <w:t xml:space="preserve"> de julho de 2012 e 1</w:t>
      </w:r>
      <w:r w:rsidRPr="000A1C8E">
        <w:rPr>
          <w:rFonts w:cs="Tahoma"/>
          <w:vertAlign w:val="superscript"/>
        </w:rPr>
        <w:t>º</w:t>
      </w:r>
      <w:r w:rsidRPr="000A1C8E">
        <w:rPr>
          <w:rFonts w:cs="Tahoma"/>
        </w:rPr>
        <w:t xml:space="preserve"> de julho de 2015, respectivamente.</w:t>
      </w:r>
    </w:p>
    <w:p w:rsidR="00A81E83" w:rsidRPr="000A1C8E" w:rsidRDefault="00A81E83" w:rsidP="008558DC">
      <w:pPr>
        <w:ind w:left="900"/>
        <w:rPr>
          <w:rFonts w:cs="Tahoma"/>
        </w:rPr>
      </w:pPr>
    </w:p>
    <w:p w:rsidR="00A81E83" w:rsidRPr="000A1C8E" w:rsidRDefault="00A81E83" w:rsidP="008558DC">
      <w:pPr>
        <w:rPr>
          <w:rFonts w:cs="Tahoma"/>
        </w:rPr>
      </w:pPr>
    </w:p>
    <w:p w:rsidR="00A81E83" w:rsidRPr="000A1C8E" w:rsidRDefault="00A560B6" w:rsidP="00BD4B91">
      <w:pPr>
        <w:pStyle w:val="Heading3"/>
        <w:rPr>
          <w:rFonts w:ascii="Tahoma" w:hAnsi="Tahoma" w:cs="Tahoma"/>
        </w:rPr>
      </w:pPr>
      <w:bookmarkStart w:id="1482" w:name="_85_84_SQL"/>
      <w:bookmarkStart w:id="1483" w:name="_78_76_SQL"/>
      <w:bookmarkStart w:id="1484" w:name="_83_SQL_Server®"/>
      <w:bookmarkStart w:id="1485" w:name="Srv_85SQL2008R2Workgroup5ClientAddon"/>
      <w:bookmarkStart w:id="1486" w:name="_Toc336338343"/>
      <w:bookmarkStart w:id="1487" w:name="_Toc361829427"/>
      <w:bookmarkEnd w:id="1482"/>
      <w:bookmarkEnd w:id="1483"/>
      <w:bookmarkEnd w:id="1484"/>
      <w:r w:rsidRPr="000A1C8E">
        <w:rPr>
          <w:rFonts w:ascii="Tahoma" w:hAnsi="Tahoma" w:cs="Tahoma"/>
          <w:color w:val="F66400"/>
          <w:sz w:val="22"/>
          <w:vertAlign w:val="superscript"/>
        </w:rPr>
        <w:t>84</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2008 R2 Workgroup (Complementar para 5 Clientes)</w:t>
      </w:r>
      <w:bookmarkEnd w:id="1485"/>
      <w:bookmarkEnd w:id="1486"/>
      <w:bookmarkEnd w:id="1487"/>
    </w:p>
    <w:p w:rsidR="00A81E83" w:rsidRPr="000A1C8E" w:rsidRDefault="00A81E83" w:rsidP="00DA46D5">
      <w:pPr>
        <w:pStyle w:val="EndnoteText"/>
        <w:ind w:left="0"/>
        <w:rPr>
          <w:rFonts w:ascii="Tahoma" w:hAnsi="Tahoma" w:cs="Tahoma"/>
        </w:rPr>
      </w:pPr>
    </w:p>
    <w:p w:rsidR="00DA46D5" w:rsidRPr="000A1C8E" w:rsidRDefault="00A81E83" w:rsidP="00DA46D5">
      <w:pPr>
        <w:spacing w:after="60"/>
        <w:ind w:left="720"/>
        <w:rPr>
          <w:rFonts w:cs="Tahoma"/>
        </w:rPr>
      </w:pPr>
      <w:r w:rsidRPr="000A1C8E">
        <w:rPr>
          <w:rFonts w:cs="Tahoma"/>
          <w:b/>
        </w:rPr>
        <w:t>Outorgas de Licença Associadas ao término da validade da edição do SQL Server Workgroup</w:t>
      </w:r>
    </w:p>
    <w:p w:rsidR="00A81E83" w:rsidRPr="000A1C8E" w:rsidRDefault="00A81E83" w:rsidP="00DA46D5">
      <w:pPr>
        <w:ind w:left="720"/>
        <w:rPr>
          <w:rFonts w:cs="Tahoma"/>
        </w:rPr>
      </w:pPr>
      <w:r w:rsidRPr="000A1C8E">
        <w:rPr>
          <w:rFonts w:eastAsia="Calibri" w:cs="Tahoma"/>
          <w:szCs w:val="18"/>
        </w:rPr>
        <w:t>O SQL Server 2008 R2 Workgroup será a última versão da edição do SQL Server Workgroup.</w:t>
      </w:r>
      <w:r w:rsidR="00DC6D8B" w:rsidRPr="000A1C8E">
        <w:rPr>
          <w:rFonts w:eastAsia="Calibri" w:cs="Tahoma"/>
          <w:szCs w:val="18"/>
        </w:rPr>
        <w:t xml:space="preserve"> </w:t>
      </w:r>
      <w:r w:rsidRPr="000A1C8E">
        <w:rPr>
          <w:rFonts w:eastAsia="Calibri" w:cs="Tahoma"/>
          <w:szCs w:val="18"/>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DC6D8B" w:rsidRPr="000A1C8E">
        <w:rPr>
          <w:rFonts w:eastAsia="Calibri" w:cs="Tahoma"/>
          <w:szCs w:val="18"/>
        </w:rPr>
        <w:t xml:space="preserve"> </w:t>
      </w:r>
      <w:r w:rsidRPr="000A1C8E">
        <w:rPr>
          <w:rFonts w:eastAsia="Calibri" w:cs="Tahoma"/>
          <w:szCs w:val="18"/>
        </w:rPr>
        <w:t>As licenças do SQL Server Workgroup dos clientes não são mais válidas quando eles adquirem o Software Assurance do SQL Server Standard sob esta oferta.</w:t>
      </w:r>
    </w:p>
    <w:p w:rsidR="000D5F24" w:rsidRPr="000A1C8E" w:rsidRDefault="000D5F24">
      <w:pPr>
        <w:rPr>
          <w:rFonts w:cs="Tahoma"/>
        </w:rPr>
      </w:pPr>
    </w:p>
    <w:p w:rsidR="00DA46D5" w:rsidRPr="000A1C8E" w:rsidRDefault="00A81E83" w:rsidP="00DA46D5">
      <w:pPr>
        <w:spacing w:after="60"/>
        <w:ind w:left="720"/>
        <w:rPr>
          <w:rFonts w:cs="Tahoma"/>
        </w:rPr>
      </w:pPr>
      <w:r w:rsidRPr="000A1C8E">
        <w:rPr>
          <w:rFonts w:cs="Tahoma"/>
          <w:b/>
        </w:rPr>
        <w:t>Para os clientes localizados na República Popular da</w:t>
      </w:r>
      <w:r w:rsidRPr="000A1C8E">
        <w:rPr>
          <w:rFonts w:cs="Tahoma"/>
        </w:rPr>
        <w:t xml:space="preserve"> </w:t>
      </w:r>
      <w:r w:rsidRPr="000A1C8E">
        <w:rPr>
          <w:rFonts w:cs="Tahoma"/>
          <w:b/>
        </w:rPr>
        <w:t>China e para os que estão adquirindo licenças e Software Assurance para SQL Server 2008 R2</w:t>
      </w:r>
    </w:p>
    <w:p w:rsidR="00A81E83" w:rsidRPr="000A1C8E" w:rsidRDefault="00A81E83" w:rsidP="00DA46D5">
      <w:pPr>
        <w:ind w:left="720"/>
        <w:rPr>
          <w:rFonts w:cs="Tahoma"/>
        </w:rPr>
      </w:pPr>
      <w:r w:rsidRPr="000A1C8E">
        <w:rPr>
          <w:rFonts w:cs="Tahoma"/>
        </w:rPr>
        <w:t>As referências a 1</w:t>
      </w:r>
      <w:r w:rsidRPr="000A1C8E">
        <w:rPr>
          <w:rFonts w:cs="Tahoma"/>
          <w:vertAlign w:val="superscript"/>
        </w:rPr>
        <w:t>º</w:t>
      </w:r>
      <w:r w:rsidRPr="000A1C8E">
        <w:rPr>
          <w:rFonts w:cs="Tahoma"/>
        </w:rPr>
        <w:t xml:space="preserve"> de abril de 2012 nesta nota da lista de produtos não são aplicáveis. A data aplicável para esses clientes é 1</w:t>
      </w:r>
      <w:r w:rsidRPr="000A1C8E">
        <w:rPr>
          <w:rFonts w:cs="Tahoma"/>
          <w:vertAlign w:val="superscript"/>
        </w:rPr>
        <w:t>º</w:t>
      </w:r>
      <w:r w:rsidRPr="000A1C8E">
        <w:rPr>
          <w:rFonts w:cs="Tahoma"/>
        </w:rPr>
        <w:t xml:space="preserve"> de julho de 2012.</w:t>
      </w:r>
    </w:p>
    <w:p w:rsidR="00DA46D5" w:rsidRPr="000A1C8E" w:rsidRDefault="00DA46D5" w:rsidP="00DA46D5">
      <w:pPr>
        <w:ind w:left="720"/>
        <w:rPr>
          <w:rFonts w:cs="Tahoma"/>
        </w:rPr>
      </w:pPr>
    </w:p>
    <w:p w:rsidR="00586FCE" w:rsidRPr="000A1C8E" w:rsidRDefault="00586FCE" w:rsidP="00DA46D5">
      <w:pPr>
        <w:ind w:left="720"/>
        <w:rPr>
          <w:rFonts w:cs="Tahoma"/>
        </w:rPr>
      </w:pPr>
    </w:p>
    <w:p w:rsidR="00A81E83" w:rsidRPr="000A1C8E" w:rsidRDefault="00A560B6" w:rsidP="00A81E83">
      <w:pPr>
        <w:pStyle w:val="Heading3"/>
        <w:ind w:left="720" w:hanging="720"/>
        <w:rPr>
          <w:rFonts w:ascii="Tahoma" w:hAnsi="Tahoma" w:cs="Tahoma"/>
        </w:rPr>
      </w:pPr>
      <w:bookmarkStart w:id="1488" w:name="_79_77_SQL"/>
      <w:bookmarkStart w:id="1489" w:name="_81_SQL_Server®"/>
      <w:bookmarkStart w:id="1490" w:name="_84_SQL_Server®"/>
      <w:bookmarkStart w:id="1491" w:name="_Toc336338344"/>
      <w:bookmarkStart w:id="1492" w:name="_Toc361829428"/>
      <w:bookmarkStart w:id="1493" w:name="Srv_72SQLSvr08R2WorkgroupProc"/>
      <w:bookmarkEnd w:id="1488"/>
      <w:bookmarkEnd w:id="1489"/>
      <w:bookmarkEnd w:id="1490"/>
      <w:r w:rsidRPr="000A1C8E">
        <w:rPr>
          <w:rFonts w:ascii="Tahoma" w:hAnsi="Tahoma" w:cs="Tahoma"/>
          <w:color w:val="F66400"/>
          <w:sz w:val="22"/>
          <w:vertAlign w:val="superscript"/>
        </w:rPr>
        <w:t>85</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2008 R2 Workgroup Processor</w:t>
      </w:r>
      <w:bookmarkEnd w:id="1491"/>
      <w:bookmarkEnd w:id="1492"/>
    </w:p>
    <w:bookmarkEnd w:id="1493"/>
    <w:p w:rsidR="00A81E83" w:rsidRPr="000A1C8E" w:rsidRDefault="00A81E83" w:rsidP="000C03F3">
      <w:pPr>
        <w:ind w:left="720"/>
        <w:rPr>
          <w:rFonts w:cs="Tahoma"/>
        </w:rPr>
      </w:pPr>
    </w:p>
    <w:p w:rsidR="000C03F3" w:rsidRPr="000A1C8E" w:rsidRDefault="00A81E83" w:rsidP="000C03F3">
      <w:pPr>
        <w:spacing w:after="60"/>
        <w:ind w:left="720"/>
        <w:rPr>
          <w:rFonts w:cs="Tahoma"/>
        </w:rPr>
      </w:pPr>
      <w:r w:rsidRPr="000A1C8E">
        <w:rPr>
          <w:rFonts w:eastAsia="Calibri" w:cs="Tahoma"/>
          <w:b/>
          <w:color w:val="000000"/>
          <w:szCs w:val="18"/>
        </w:rPr>
        <w:t>Outorgas de Licença Associadas à Alteração no Modelo de Licenciamento</w:t>
      </w:r>
    </w:p>
    <w:p w:rsidR="00A81E83" w:rsidRPr="000A1C8E" w:rsidRDefault="00A81E83" w:rsidP="00DD5A3B">
      <w:pPr>
        <w:ind w:left="720"/>
        <w:rPr>
          <w:rFonts w:cs="Tahoma"/>
        </w:rPr>
      </w:pPr>
      <w:r w:rsidRPr="000A1C8E">
        <w:rPr>
          <w:rFonts w:eastAsia="Calibri" w:cs="Tahoma"/>
          <w:color w:val="000000"/>
          <w:szCs w:val="18"/>
        </w:rPr>
        <w:t>O SQL Server 2008 R2 será a última versão do SQL Server licenciada sob o modelo de licenciamento por processador e a última versão da edição do SQL Server Workgroup.</w:t>
      </w:r>
      <w:r w:rsidR="00DC6D8B" w:rsidRPr="000A1C8E">
        <w:rPr>
          <w:rFonts w:eastAsia="Calibri" w:cs="Tahoma"/>
          <w:color w:val="000000"/>
          <w:szCs w:val="18"/>
        </w:rPr>
        <w:t xml:space="preserve"> </w:t>
      </w:r>
      <w:r w:rsidRPr="000A1C8E">
        <w:rPr>
          <w:rFonts w:eastAsia="Calibri" w:cs="Tahoma"/>
          <w:color w:val="000000"/>
          <w:szCs w:val="18"/>
        </w:rPr>
        <w:t xml:space="preserve">Como uma exceção, aos clientes de Licenciamento por Volume com Software Assurance ativo para licenças do processador do SQL Server 2008 R2 Workgroup em 1º de abril de 2012 (“licenças qualificadas”) são concedidas as seguintes opções. As licenças do processador do SQL Server 2008 R2 Workgroup </w:t>
      </w:r>
      <w:r w:rsidRPr="000A1C8E">
        <w:rPr>
          <w:rFonts w:cs="Tahoma"/>
          <w:bCs/>
          <w:color w:val="000000"/>
          <w:szCs w:val="18"/>
        </w:rPr>
        <w:t>adquiridas posteriormente no mesmo prazo de</w:t>
      </w:r>
      <w:r w:rsidR="00DD5A3B" w:rsidRPr="000A1C8E">
        <w:rPr>
          <w:rFonts w:cs="Tahoma"/>
          <w:bCs/>
          <w:color w:val="000000"/>
          <w:szCs w:val="18"/>
        </w:rPr>
        <w:t> </w:t>
      </w:r>
      <w:r w:rsidRPr="000A1C8E">
        <w:rPr>
          <w:rFonts w:cs="Tahoma"/>
          <w:bCs/>
          <w:color w:val="000000"/>
          <w:szCs w:val="18"/>
        </w:rPr>
        <w:t>registro, mas antes de 1º de abril de 2015 como parte de um processo de adequação (“true-up”) programado do cliente Enterprise, Enterprise Subscription, Open Value Subscription ou EES também são “licenças qualificadas” para fins dessas opções.</w:t>
      </w:r>
      <w:r w:rsidR="00DC6D8B" w:rsidRPr="000A1C8E">
        <w:rPr>
          <w:rFonts w:cs="Tahoma"/>
          <w:bCs/>
          <w:color w:val="000000"/>
          <w:szCs w:val="18"/>
        </w:rPr>
        <w:t xml:space="preserve"> </w:t>
      </w:r>
      <w:r w:rsidRPr="000A1C8E">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rsidR="000C03F3" w:rsidRPr="000A1C8E" w:rsidRDefault="000C03F3" w:rsidP="000C03F3">
      <w:pPr>
        <w:ind w:left="720"/>
        <w:rPr>
          <w:rFonts w:cs="Tahoma"/>
        </w:rPr>
      </w:pPr>
    </w:p>
    <w:p w:rsidR="000C03F3" w:rsidRPr="000A1C8E" w:rsidRDefault="000C03F3" w:rsidP="000C03F3">
      <w:pPr>
        <w:spacing w:after="60"/>
        <w:ind w:left="720"/>
        <w:rPr>
          <w:rFonts w:cs="Tahoma"/>
        </w:rPr>
      </w:pPr>
      <w:r w:rsidRPr="000A1C8E">
        <w:rPr>
          <w:rFonts w:eastAsia="Calibri" w:cs="Tahoma"/>
          <w:b/>
          <w:color w:val="000000"/>
          <w:szCs w:val="18"/>
        </w:rPr>
        <w:t>Prazo Atual</w:t>
      </w:r>
    </w:p>
    <w:p w:rsidR="00A81E83" w:rsidRPr="000A1C8E" w:rsidRDefault="00A81E83" w:rsidP="000C03F3">
      <w:pPr>
        <w:tabs>
          <w:tab w:val="left" w:pos="720"/>
        </w:tabs>
        <w:ind w:left="720"/>
        <w:rPr>
          <w:rFonts w:cs="Tahoma"/>
        </w:rPr>
      </w:pPr>
      <w:r w:rsidRPr="000A1C8E">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Standard Core em vez do SQL Server 2008 R2 Workgroup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rsidR="000C03F3" w:rsidRPr="000A1C8E" w:rsidRDefault="000C03F3" w:rsidP="000C03F3">
      <w:pPr>
        <w:tabs>
          <w:tab w:val="left" w:pos="720"/>
        </w:tabs>
        <w:ind w:left="720"/>
        <w:rPr>
          <w:rFonts w:cs="Tahoma"/>
        </w:rPr>
      </w:pPr>
    </w:p>
    <w:p w:rsidR="00DD5A3B" w:rsidRPr="000A1C8E" w:rsidRDefault="00DD5A3B" w:rsidP="000C03F3">
      <w:pPr>
        <w:tabs>
          <w:tab w:val="left" w:pos="720"/>
        </w:tabs>
        <w:ind w:left="720"/>
        <w:rPr>
          <w:rFonts w:cs="Tahoma"/>
        </w:rPr>
      </w:pPr>
    </w:p>
    <w:p w:rsidR="00DD5A3B" w:rsidRPr="000A1C8E" w:rsidRDefault="00DD5A3B" w:rsidP="000C03F3">
      <w:pPr>
        <w:tabs>
          <w:tab w:val="left" w:pos="720"/>
        </w:tabs>
        <w:ind w:left="720"/>
        <w:rPr>
          <w:rFonts w:cs="Tahoma"/>
        </w:rPr>
      </w:pPr>
    </w:p>
    <w:p w:rsidR="00DD5A3B" w:rsidRPr="000A1C8E" w:rsidRDefault="00DD5A3B" w:rsidP="000C03F3">
      <w:pPr>
        <w:tabs>
          <w:tab w:val="left" w:pos="720"/>
        </w:tabs>
        <w:ind w:left="720"/>
        <w:rPr>
          <w:rFonts w:cs="Tahoma"/>
        </w:rPr>
      </w:pPr>
    </w:p>
    <w:p w:rsidR="00DD5A3B" w:rsidRDefault="00DD5A3B" w:rsidP="000C03F3">
      <w:pPr>
        <w:tabs>
          <w:tab w:val="left" w:pos="720"/>
        </w:tabs>
        <w:ind w:left="720"/>
        <w:rPr>
          <w:rFonts w:cs="Tahoma"/>
        </w:rPr>
      </w:pPr>
    </w:p>
    <w:p w:rsidR="00227C75" w:rsidRPr="000A1C8E" w:rsidRDefault="00227C75" w:rsidP="000C03F3">
      <w:pPr>
        <w:tabs>
          <w:tab w:val="left" w:pos="720"/>
        </w:tabs>
        <w:ind w:left="720"/>
        <w:rPr>
          <w:rFonts w:cs="Tahoma"/>
        </w:rPr>
      </w:pPr>
    </w:p>
    <w:p w:rsidR="00DD5A3B" w:rsidRPr="000A1C8E" w:rsidRDefault="00DD5A3B" w:rsidP="000C03F3">
      <w:pPr>
        <w:tabs>
          <w:tab w:val="left" w:pos="720"/>
        </w:tabs>
        <w:ind w:left="720"/>
        <w:rPr>
          <w:rFonts w:cs="Tahoma"/>
        </w:rPr>
      </w:pPr>
    </w:p>
    <w:p w:rsidR="000C03F3" w:rsidRPr="000A1C8E" w:rsidRDefault="00A81E83" w:rsidP="000C03F3">
      <w:pPr>
        <w:spacing w:after="60"/>
        <w:ind w:left="720"/>
        <w:rPr>
          <w:rFonts w:cs="Tahoma"/>
        </w:rPr>
      </w:pPr>
      <w:r w:rsidRPr="000A1C8E">
        <w:rPr>
          <w:rFonts w:eastAsia="Calibri" w:cs="Tahoma"/>
          <w:b/>
          <w:color w:val="000000"/>
          <w:szCs w:val="18"/>
        </w:rPr>
        <w:lastRenderedPageBreak/>
        <w:t>Primeiro Prazo de Renovação (antes de 1º de abril de 2015)</w:t>
      </w:r>
    </w:p>
    <w:p w:rsidR="00A81E83" w:rsidRPr="000A1C8E" w:rsidRDefault="00A81E83" w:rsidP="00DD5A3B">
      <w:pPr>
        <w:tabs>
          <w:tab w:val="left" w:pos="720"/>
        </w:tabs>
        <w:ind w:left="720"/>
        <w:rPr>
          <w:rFonts w:cs="Tahoma"/>
        </w:rPr>
      </w:pPr>
      <w:r w:rsidRPr="000A1C8E">
        <w:rPr>
          <w:rFonts w:eastAsia="Calibri" w:cs="Tahoma"/>
          <w:szCs w:val="18"/>
        </w:rPr>
        <w:t>Na sua primeira renovação de Software Assurance em ou depois de 1º de abril de 2012 (mas antes de 1º de abril de 2015), para cada servidor que um cliente tiver licenciado corretamente sob os direitos de uso do</w:t>
      </w:r>
      <w:r w:rsidR="00DD5A3B" w:rsidRPr="000A1C8E">
        <w:rPr>
          <w:rFonts w:eastAsia="Calibri" w:cs="Tahoma"/>
          <w:szCs w:val="18"/>
        </w:rPr>
        <w:t> </w:t>
      </w:r>
      <w:r w:rsidRPr="000A1C8E">
        <w:rPr>
          <w:rFonts w:eastAsia="Calibri" w:cs="Tahoma"/>
          <w:szCs w:val="18"/>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0A1C8E" w:rsidRDefault="00A81E83" w:rsidP="00346F4B">
      <w:pPr>
        <w:numPr>
          <w:ilvl w:val="0"/>
          <w:numId w:val="117"/>
        </w:numPr>
        <w:tabs>
          <w:tab w:val="left" w:pos="1440"/>
        </w:tabs>
        <w:ind w:left="1440"/>
        <w:rPr>
          <w:rFonts w:cs="Tahoma"/>
        </w:rPr>
      </w:pPr>
      <w:r w:rsidRPr="000A1C8E">
        <w:rPr>
          <w:rFonts w:eastAsia="Calibri" w:cs="Tahoma"/>
          <w:szCs w:val="18"/>
        </w:rPr>
        <w:t xml:space="preserve">um número igual ao menor número de licenças qualificadas atribuído ao servidor ou o número total de processadores físicos no servidor multiplicado pelo maior de: </w:t>
      </w:r>
    </w:p>
    <w:p w:rsidR="00A81E83" w:rsidRPr="000A1C8E" w:rsidRDefault="00A81E83" w:rsidP="00346F4B">
      <w:pPr>
        <w:numPr>
          <w:ilvl w:val="0"/>
          <w:numId w:val="91"/>
        </w:numPr>
        <w:tabs>
          <w:tab w:val="left" w:pos="1800"/>
        </w:tabs>
        <w:ind w:left="1800"/>
        <w:rPr>
          <w:rFonts w:cs="Tahoma"/>
        </w:rPr>
      </w:pPr>
      <w:r w:rsidRPr="000A1C8E">
        <w:rPr>
          <w:rFonts w:eastAsia="Calibri" w:cs="Tahoma"/>
          <w:szCs w:val="18"/>
        </w:rPr>
        <w:t>Quatro OU</w:t>
      </w:r>
    </w:p>
    <w:p w:rsidR="00A81E83" w:rsidRPr="000A1C8E" w:rsidRDefault="00A81E83" w:rsidP="00346F4B">
      <w:pPr>
        <w:numPr>
          <w:ilvl w:val="0"/>
          <w:numId w:val="91"/>
        </w:numPr>
        <w:tabs>
          <w:tab w:val="left" w:pos="1800"/>
        </w:tabs>
        <w:ind w:left="1800"/>
        <w:rPr>
          <w:rFonts w:cs="Tahoma"/>
        </w:rPr>
      </w:pPr>
      <w:r w:rsidRPr="000A1C8E">
        <w:rPr>
          <w:rFonts w:eastAsia="Calibri" w:cs="Tahoma"/>
          <w:szCs w:val="18"/>
        </w:rPr>
        <w:t>o número real de núcleos por processador físico multiplicado pelo fator do núcleo apropriado.</w:t>
      </w:r>
      <w:r w:rsidR="00DC6D8B" w:rsidRPr="000A1C8E">
        <w:rPr>
          <w:rFonts w:eastAsia="Calibri" w:cs="Tahoma"/>
          <w:szCs w:val="18"/>
        </w:rPr>
        <w:t xml:space="preserve"> </w:t>
      </w:r>
      <w:r w:rsidRPr="000A1C8E">
        <w:rPr>
          <w:rFonts w:eastAsia="Calibri" w:cs="Tahoma"/>
          <w:szCs w:val="18"/>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0A1C8E" w:rsidRDefault="00A81E83" w:rsidP="00346F4B">
      <w:pPr>
        <w:numPr>
          <w:ilvl w:val="0"/>
          <w:numId w:val="117"/>
        </w:numPr>
        <w:tabs>
          <w:tab w:val="left" w:pos="1440"/>
        </w:tabs>
        <w:ind w:left="1440"/>
        <w:rPr>
          <w:rFonts w:cs="Tahoma"/>
        </w:rPr>
      </w:pPr>
      <w:r w:rsidRPr="000A1C8E">
        <w:rPr>
          <w:rFonts w:eastAsia="Calibri" w:cs="Tahoma"/>
          <w:szCs w:val="18"/>
        </w:rPr>
        <w:t>um número igual ao número das licenças qualificadas atribuído ao servidor em excesso do número real de processadores físicos no servidor multiplicado por quatro.</w:t>
      </w:r>
    </w:p>
    <w:p w:rsidR="000C03F3" w:rsidRPr="000A1C8E" w:rsidRDefault="000C03F3" w:rsidP="000C03F3">
      <w:pPr>
        <w:tabs>
          <w:tab w:val="left" w:pos="1440"/>
        </w:tabs>
        <w:rPr>
          <w:rFonts w:cs="Tahoma"/>
        </w:rPr>
      </w:pPr>
    </w:p>
    <w:p w:rsidR="000C03F3" w:rsidRPr="000A1C8E" w:rsidRDefault="00A81E83" w:rsidP="000C03F3">
      <w:pPr>
        <w:spacing w:after="60"/>
        <w:ind w:left="720"/>
        <w:rPr>
          <w:rFonts w:cs="Tahoma"/>
        </w:rPr>
      </w:pPr>
      <w:r w:rsidRPr="000A1C8E">
        <w:rPr>
          <w:rFonts w:eastAsia="Calibri" w:cs="Tahoma"/>
          <w:b/>
          <w:szCs w:val="18"/>
        </w:rPr>
        <w:t>Primeiro Prazo de Renovação (em ou após 1º de abril de 2015)</w:t>
      </w:r>
    </w:p>
    <w:p w:rsidR="00A81E83" w:rsidRPr="000A1C8E" w:rsidRDefault="00A81E83" w:rsidP="000C03F3">
      <w:pPr>
        <w:ind w:left="720"/>
        <w:rPr>
          <w:rFonts w:cs="Tahoma"/>
        </w:rPr>
      </w:pPr>
      <w:r w:rsidRPr="000A1C8E">
        <w:rPr>
          <w:rFonts w:eastAsia="Calibri" w:cs="Tahoma"/>
          <w:color w:val="000000"/>
          <w:szCs w:val="18"/>
        </w:rPr>
        <w:t>Os clientes que renovaram primeiro a cobertura em ou depois de 1o. de abril de 2015</w:t>
      </w:r>
      <w:r w:rsidRPr="000A1C8E">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0C03F3" w:rsidRPr="000A1C8E" w:rsidRDefault="000C03F3" w:rsidP="000C03F3">
      <w:pPr>
        <w:ind w:left="720"/>
        <w:rPr>
          <w:rFonts w:cs="Tahoma"/>
        </w:rPr>
      </w:pPr>
    </w:p>
    <w:p w:rsidR="00A81E83" w:rsidRPr="000A1C8E" w:rsidRDefault="00A81E83" w:rsidP="00346F4B">
      <w:pPr>
        <w:numPr>
          <w:ilvl w:val="3"/>
          <w:numId w:val="92"/>
        </w:numPr>
        <w:tabs>
          <w:tab w:val="left" w:pos="1170"/>
        </w:tabs>
        <w:spacing w:after="60"/>
        <w:ind w:left="1440" w:hanging="360"/>
        <w:rPr>
          <w:rFonts w:cs="Tahoma"/>
        </w:rPr>
      </w:pPr>
      <w:r w:rsidRPr="000A1C8E">
        <w:rPr>
          <w:rFonts w:eastAsia="Calibri" w:cs="Tahoma"/>
          <w:szCs w:val="18"/>
        </w:rPr>
        <w:t>Conforme fornecido no primeiro parágrafo desta nota do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renovar o SA de acordo com os termos na seção “Primeiro Prazo de Renovação (Antes de 1</w:t>
      </w:r>
      <w:r w:rsidRPr="000A1C8E">
        <w:rPr>
          <w:rFonts w:eastAsia="Calibri" w:cs="Tahoma"/>
          <w:szCs w:val="18"/>
          <w:vertAlign w:val="superscript"/>
        </w:rPr>
        <w:t>º</w:t>
      </w:r>
      <w:r w:rsidRPr="000A1C8E">
        <w:rPr>
          <w:rFonts w:eastAsia="Calibri" w:cs="Tahoma"/>
          <w:szCs w:val="18"/>
        </w:rPr>
        <w:t xml:space="preserve"> de abril de 2015)“ acima e</w:t>
      </w:r>
    </w:p>
    <w:p w:rsidR="00A81E83" w:rsidRPr="000A1C8E" w:rsidRDefault="00A81E83" w:rsidP="00DD5A3B">
      <w:pPr>
        <w:numPr>
          <w:ilvl w:val="3"/>
          <w:numId w:val="92"/>
        </w:numPr>
        <w:tabs>
          <w:tab w:val="left" w:pos="1170"/>
        </w:tabs>
        <w:spacing w:after="60"/>
        <w:ind w:left="1440" w:hanging="360"/>
        <w:rPr>
          <w:rFonts w:cs="Tahoma"/>
        </w:rPr>
      </w:pPr>
      <w:r w:rsidRPr="000A1C8E">
        <w:rPr>
          <w:rFonts w:eastAsia="Calibri" w:cs="Tahoma"/>
          <w:szCs w:val="18"/>
        </w:rPr>
        <w:t>Para as licenças adquiridas depois de 1</w:t>
      </w:r>
      <w:r w:rsidRPr="000A1C8E">
        <w:rPr>
          <w:rFonts w:eastAsia="Calibri" w:cs="Tahoma"/>
          <w:szCs w:val="18"/>
          <w:vertAlign w:val="superscript"/>
        </w:rPr>
        <w:t>º</w:t>
      </w:r>
      <w:r w:rsidRPr="000A1C8E">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DD5A3B" w:rsidRPr="000A1C8E">
        <w:rPr>
          <w:rFonts w:eastAsia="Calibri" w:cs="Tahoma"/>
          <w:szCs w:val="18"/>
        </w:rPr>
        <w:t> </w:t>
      </w:r>
      <w:r w:rsidRPr="000A1C8E">
        <w:rPr>
          <w:rFonts w:eastAsia="Calibri" w:cs="Tahoma"/>
          <w:szCs w:val="18"/>
        </w:rPr>
        <w:t>cliente tem que adquirir licenças principais adicionais.</w:t>
      </w:r>
    </w:p>
    <w:p w:rsidR="00A81E83" w:rsidRPr="000A1C8E" w:rsidRDefault="00A81E83" w:rsidP="00346F4B">
      <w:pPr>
        <w:numPr>
          <w:ilvl w:val="0"/>
          <w:numId w:val="50"/>
        </w:numPr>
        <w:tabs>
          <w:tab w:val="left" w:pos="720"/>
          <w:tab w:val="left" w:pos="1170"/>
        </w:tabs>
        <w:spacing w:after="60"/>
        <w:ind w:left="1440"/>
        <w:rPr>
          <w:rFonts w:cs="Tahoma"/>
        </w:rPr>
      </w:pPr>
      <w:r w:rsidRPr="000A1C8E">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DC6D8B" w:rsidRPr="000A1C8E">
        <w:rPr>
          <w:rFonts w:eastAsia="Calibri" w:cs="Tahoma"/>
          <w:szCs w:val="18"/>
        </w:rPr>
        <w:t xml:space="preserve"> </w:t>
      </w:r>
    </w:p>
    <w:p w:rsidR="000C03F3" w:rsidRPr="000A1C8E" w:rsidRDefault="000C03F3" w:rsidP="000C03F3">
      <w:pPr>
        <w:tabs>
          <w:tab w:val="left" w:pos="720"/>
        </w:tabs>
        <w:ind w:left="720"/>
        <w:rPr>
          <w:rFonts w:cs="Tahoma"/>
        </w:rPr>
      </w:pPr>
    </w:p>
    <w:p w:rsidR="000C03F3" w:rsidRPr="000A1C8E" w:rsidRDefault="00A81E83" w:rsidP="000C03F3">
      <w:pPr>
        <w:tabs>
          <w:tab w:val="left" w:pos="720"/>
          <w:tab w:val="left" w:pos="1800"/>
        </w:tabs>
        <w:spacing w:after="60"/>
        <w:ind w:left="720"/>
        <w:rPr>
          <w:rFonts w:cs="Tahoma"/>
        </w:rPr>
      </w:pPr>
      <w:r w:rsidRPr="000A1C8E">
        <w:rPr>
          <w:rFonts w:eastAsia="Calibri" w:cs="Tahoma"/>
          <w:b/>
          <w:szCs w:val="18"/>
        </w:rPr>
        <w:t>Para os clientes com cobertura de Software Assurance que expiram antes de 1º de abril de 2015 que optaram pela não renovação</w:t>
      </w:r>
    </w:p>
    <w:p w:rsidR="00A81E83" w:rsidRPr="000A1C8E" w:rsidRDefault="00A81E83" w:rsidP="00DD5A3B">
      <w:pPr>
        <w:tabs>
          <w:tab w:val="left" w:pos="720"/>
          <w:tab w:val="left" w:pos="1800"/>
        </w:tabs>
        <w:ind w:left="720"/>
        <w:rPr>
          <w:rFonts w:cs="Tahoma"/>
        </w:rPr>
      </w:pPr>
      <w:r w:rsidRPr="000A1C8E">
        <w:rPr>
          <w:rFonts w:eastAsia="Calibri" w:cs="Tahoma"/>
          <w:szCs w:val="18"/>
        </w:rPr>
        <w:t xml:space="preserve">Os clientes do Enterprise Subscription </w:t>
      </w:r>
      <w:r w:rsidRPr="000A1C8E">
        <w:rPr>
          <w:rFonts w:cs="Tahoma"/>
          <w:bCs/>
          <w:color w:val="000000"/>
          <w:szCs w:val="18"/>
        </w:rPr>
        <w:t xml:space="preserve">e Open Value Subscription </w:t>
      </w:r>
      <w:r w:rsidRPr="000A1C8E">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w:t>
      </w:r>
      <w:r w:rsidR="00DD5A3B" w:rsidRPr="000A1C8E">
        <w:rPr>
          <w:rFonts w:eastAsia="Calibri" w:cs="Tahoma"/>
          <w:szCs w:val="18"/>
        </w:rPr>
        <w:t> </w:t>
      </w:r>
      <w:r w:rsidRPr="000A1C8E">
        <w:rPr>
          <w:rFonts w:eastAsia="Calibri" w:cs="Tahoma"/>
          <w:szCs w:val="18"/>
        </w:rPr>
        <w:t>SQL Server 2008 R2 ou SQL Server 2012 sob essas licenças da seguinte forma:</w:t>
      </w:r>
    </w:p>
    <w:p w:rsidR="000C03F3" w:rsidRPr="000A1C8E" w:rsidRDefault="000C03F3" w:rsidP="000C03F3">
      <w:pPr>
        <w:tabs>
          <w:tab w:val="left" w:pos="720"/>
          <w:tab w:val="left" w:pos="1800"/>
        </w:tabs>
        <w:ind w:left="720"/>
        <w:rPr>
          <w:rFonts w:cs="Tahoma"/>
        </w:rPr>
      </w:pPr>
    </w:p>
    <w:p w:rsidR="00A81E83" w:rsidRPr="000A1C8E" w:rsidRDefault="00A81E83" w:rsidP="00DD5A3B">
      <w:pPr>
        <w:numPr>
          <w:ilvl w:val="0"/>
          <w:numId w:val="58"/>
        </w:numPr>
        <w:tabs>
          <w:tab w:val="left" w:pos="1440"/>
        </w:tabs>
        <w:spacing w:after="60"/>
        <w:ind w:left="1440"/>
        <w:rPr>
          <w:rFonts w:cs="Tahoma"/>
        </w:rPr>
      </w:pPr>
      <w:r w:rsidRPr="000A1C8E">
        <w:rPr>
          <w:rFonts w:eastAsia="Calibri" w:cs="Tahoma"/>
          <w:b/>
          <w:szCs w:val="18"/>
        </w:rPr>
        <w:t>CAL do SQL Server 2008 R2 Workgroup:</w:t>
      </w:r>
      <w:r w:rsidRPr="000A1C8E">
        <w:rPr>
          <w:rFonts w:eastAsia="Calibri" w:cs="Tahoma"/>
          <w:szCs w:val="18"/>
        </w:rPr>
        <w:t xml:space="preserve"> O uso contínuo do referido software está sujeito aos</w:t>
      </w:r>
      <w:r w:rsidR="00DD5A3B" w:rsidRPr="000A1C8E">
        <w:rPr>
          <w:rFonts w:eastAsia="Calibri" w:cs="Tahoma"/>
          <w:szCs w:val="18"/>
        </w:rPr>
        <w:t> </w:t>
      </w:r>
      <w:r w:rsidRPr="000A1C8E">
        <w:rPr>
          <w:rFonts w:eastAsia="Calibri" w:cs="Tahoma"/>
          <w:szCs w:val="18"/>
        </w:rPr>
        <w:t xml:space="preserve">direitos de uso do produto de licença do processador do SQL Server 2008 R2 Workgroup. Os clientes não têm mais direitos sob Mobilidade de Licença nos Farms de Servidores nem Mobilidade de Licença por meio de Software Assurance. </w:t>
      </w:r>
    </w:p>
    <w:p w:rsidR="00A81E83" w:rsidRPr="000A1C8E" w:rsidRDefault="00A81E83" w:rsidP="00346F4B">
      <w:pPr>
        <w:numPr>
          <w:ilvl w:val="0"/>
          <w:numId w:val="58"/>
        </w:numPr>
        <w:tabs>
          <w:tab w:val="left" w:pos="1440"/>
        </w:tabs>
        <w:spacing w:after="60"/>
        <w:ind w:left="1440"/>
        <w:rPr>
          <w:rFonts w:cs="Tahoma"/>
        </w:rPr>
      </w:pPr>
      <w:r w:rsidRPr="000A1C8E">
        <w:rPr>
          <w:rFonts w:eastAsia="Calibri" w:cs="Tahoma"/>
          <w:b/>
          <w:szCs w:val="18"/>
        </w:rPr>
        <w:t xml:space="preserve">SQL Server 2012 Standard Core: </w:t>
      </w:r>
      <w:r w:rsidRPr="000A1C8E">
        <w:rPr>
          <w:rFonts w:eastAsia="Calibri" w:cs="Tahoma"/>
          <w:szCs w:val="18"/>
        </w:rPr>
        <w:t xml:space="preserve">O uso desta versão do software está sujeito aos direitos de uso do produto de licença do processador do SQL Server 2008 R2 Standard, no entanto: </w:t>
      </w:r>
    </w:p>
    <w:p w:rsidR="00A81E83" w:rsidRPr="000A1C8E" w:rsidRDefault="00A81E83" w:rsidP="00346F4B">
      <w:pPr>
        <w:numPr>
          <w:ilvl w:val="1"/>
          <w:numId w:val="58"/>
        </w:numPr>
        <w:tabs>
          <w:tab w:val="left" w:pos="1800"/>
        </w:tabs>
        <w:spacing w:after="60"/>
        <w:ind w:left="1800"/>
        <w:rPr>
          <w:rFonts w:cs="Tahoma"/>
        </w:rPr>
      </w:pPr>
      <w:r w:rsidRPr="000A1C8E">
        <w:rPr>
          <w:rFonts w:eastAsia="Calibri" w:cs="Tahoma"/>
          <w:szCs w:val="18"/>
        </w:rPr>
        <w:t xml:space="preserve">os clientes não têm mais direitos sob Mobilidade de Licença nos Farms de Servidores nem Mobilidade de Licença por meio de Software Assurance e </w:t>
      </w:r>
    </w:p>
    <w:p w:rsidR="00DD5A3B" w:rsidRPr="000A1C8E" w:rsidRDefault="00DD5A3B" w:rsidP="00DD5A3B">
      <w:pPr>
        <w:tabs>
          <w:tab w:val="left" w:pos="1800"/>
        </w:tabs>
        <w:spacing w:after="60"/>
        <w:ind w:left="1800"/>
        <w:rPr>
          <w:rFonts w:eastAsia="Calibri" w:cs="Tahoma"/>
          <w:szCs w:val="18"/>
        </w:rPr>
      </w:pPr>
    </w:p>
    <w:p w:rsidR="00DD5A3B" w:rsidRPr="000A1C8E" w:rsidRDefault="00DD5A3B" w:rsidP="00DD5A3B">
      <w:pPr>
        <w:tabs>
          <w:tab w:val="left" w:pos="1800"/>
        </w:tabs>
        <w:spacing w:after="60"/>
        <w:ind w:left="1800"/>
        <w:rPr>
          <w:rFonts w:eastAsia="Calibri" w:cs="Tahoma"/>
          <w:szCs w:val="18"/>
        </w:rPr>
      </w:pPr>
    </w:p>
    <w:p w:rsidR="00DD5A3B" w:rsidRPr="000A1C8E" w:rsidRDefault="00DD5A3B" w:rsidP="00DD5A3B">
      <w:pPr>
        <w:tabs>
          <w:tab w:val="left" w:pos="1800"/>
        </w:tabs>
        <w:spacing w:after="60"/>
        <w:ind w:left="1800"/>
        <w:rPr>
          <w:rFonts w:eastAsia="Calibri" w:cs="Tahoma"/>
          <w:szCs w:val="18"/>
        </w:rPr>
      </w:pPr>
    </w:p>
    <w:p w:rsidR="00DD5A3B" w:rsidRPr="000A1C8E" w:rsidRDefault="00DD5A3B" w:rsidP="00DD5A3B">
      <w:pPr>
        <w:tabs>
          <w:tab w:val="left" w:pos="1800"/>
        </w:tabs>
        <w:spacing w:after="60"/>
        <w:ind w:left="1800"/>
        <w:rPr>
          <w:rFonts w:cs="Tahoma"/>
        </w:rPr>
      </w:pPr>
    </w:p>
    <w:p w:rsidR="00A81E83" w:rsidRPr="000A1C8E" w:rsidRDefault="00A81E83" w:rsidP="00346F4B">
      <w:pPr>
        <w:numPr>
          <w:ilvl w:val="1"/>
          <w:numId w:val="58"/>
        </w:numPr>
        <w:tabs>
          <w:tab w:val="left" w:pos="1800"/>
        </w:tabs>
        <w:spacing w:after="60"/>
        <w:ind w:left="1800"/>
        <w:rPr>
          <w:rFonts w:cs="Tahoma"/>
        </w:rPr>
      </w:pPr>
      <w:r w:rsidRPr="000A1C8E">
        <w:rPr>
          <w:rFonts w:eastAsia="Calibri" w:cs="Tahoma"/>
          <w:szCs w:val="18"/>
        </w:rPr>
        <w:lastRenderedPageBreak/>
        <w:t xml:space="preserve">quaisquer reatribuição de licenças está sujeita a limitações em (i) e (ii) abaixo relacionada a sua “equivalência de licença principal”. A equivalência de licença principal é determinada da seguinte forma: </w:t>
      </w:r>
    </w:p>
    <w:p w:rsidR="00A81E83" w:rsidRPr="000A1C8E" w:rsidRDefault="00A81E83" w:rsidP="00DD5A3B">
      <w:pPr>
        <w:numPr>
          <w:ilvl w:val="2"/>
          <w:numId w:val="58"/>
        </w:numPr>
        <w:tabs>
          <w:tab w:val="left" w:pos="2160"/>
        </w:tabs>
        <w:spacing w:after="60"/>
        <w:rPr>
          <w:rFonts w:cs="Tahoma"/>
        </w:rPr>
      </w:pPr>
      <w:r w:rsidRPr="000A1C8E">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DD5A3B" w:rsidRPr="000A1C8E">
        <w:rPr>
          <w:rFonts w:eastAsia="Calibri" w:cs="Tahoma"/>
          <w:szCs w:val="18"/>
        </w:rPr>
        <w:t> </w:t>
      </w:r>
      <w:r w:rsidRPr="000A1C8E">
        <w:rPr>
          <w:rFonts w:eastAsia="Calibri" w:cs="Tahoma"/>
          <w:szCs w:val="18"/>
        </w:rPr>
        <w:t xml:space="preserve">equivalência de licença principal é maior do que: </w:t>
      </w:r>
    </w:p>
    <w:p w:rsidR="00A81E83" w:rsidRPr="000A1C8E" w:rsidRDefault="00A81E83" w:rsidP="00346F4B">
      <w:pPr>
        <w:numPr>
          <w:ilvl w:val="4"/>
          <w:numId w:val="50"/>
        </w:numPr>
        <w:tabs>
          <w:tab w:val="left" w:pos="2520"/>
        </w:tabs>
        <w:spacing w:after="60"/>
        <w:ind w:left="2520"/>
        <w:rPr>
          <w:rFonts w:cs="Tahoma"/>
        </w:rPr>
      </w:pPr>
      <w:r w:rsidRPr="000A1C8E">
        <w:rPr>
          <w:rFonts w:eastAsia="Calibri" w:cs="Tahoma"/>
          <w:szCs w:val="18"/>
        </w:rPr>
        <w:t xml:space="preserve">quatro núcleos por licença de processador OU </w:t>
      </w:r>
    </w:p>
    <w:p w:rsidR="00A81E83" w:rsidRPr="000A1C8E" w:rsidRDefault="00A81E83" w:rsidP="00A37DE2">
      <w:pPr>
        <w:numPr>
          <w:ilvl w:val="4"/>
          <w:numId w:val="50"/>
        </w:numPr>
        <w:tabs>
          <w:tab w:val="left" w:pos="2520"/>
        </w:tabs>
        <w:spacing w:after="60"/>
        <w:ind w:left="2520"/>
        <w:rPr>
          <w:rFonts w:cs="Tahoma"/>
        </w:rPr>
      </w:pPr>
      <w:r w:rsidRPr="000A1C8E">
        <w:rPr>
          <w:rFonts w:eastAsia="Calibri" w:cs="Tahoma"/>
          <w:szCs w:val="18"/>
        </w:rPr>
        <w:t>um número de núcleos por licença do processador com base no número real de núcleos por processador físico multiplicado pelo fator de núcleo apropriado. (Nos casos em que o número real de núcleos por processador físico excede quatro, os</w:t>
      </w:r>
      <w:r w:rsidR="00DD5A3B" w:rsidRPr="000A1C8E">
        <w:rPr>
          <w:rFonts w:eastAsia="Calibri" w:cs="Tahoma"/>
          <w:szCs w:val="18"/>
        </w:rPr>
        <w:t> </w:t>
      </w:r>
      <w:r w:rsidRPr="000A1C8E">
        <w:rPr>
          <w:rFonts w:eastAsia="Calibri" w:cs="Tahoma"/>
          <w:szCs w:val="18"/>
        </w:rPr>
        <w:t xml:space="preserve">clientes devem manter um registro da configuração do software SQL Server executando no servidor </w:t>
      </w:r>
      <w:r w:rsidR="00A37DE2">
        <w:rPr>
          <w:rFonts w:eastAsia="Calibri" w:cs="Tahoma"/>
          <w:szCs w:val="18"/>
        </w:rPr>
        <w:t>(</w:t>
      </w:r>
      <w:r w:rsidRPr="000A1C8E">
        <w:rPr>
          <w:rFonts w:eastAsia="Calibri" w:cs="Tahoma"/>
          <w:szCs w:val="18"/>
        </w:rPr>
        <w:t>instâncias licenciadas executando em ambientes do sistema operacional no servidor licenciado) e o hardware físico oferecendo suporte ao software que está antecedendo a expiração do Software Assurance usando a</w:t>
      </w:r>
      <w:r w:rsidR="00A37DE2">
        <w:rPr>
          <w:rFonts w:eastAsia="Calibri" w:cs="Tahoma"/>
          <w:szCs w:val="18"/>
        </w:rPr>
        <w:t> </w:t>
      </w:r>
      <w:r w:rsidRPr="000A1C8E">
        <w:rPr>
          <w:rFonts w:eastAsia="Calibri" w:cs="Tahoma"/>
          <w:szCs w:val="18"/>
        </w:rPr>
        <w:t xml:space="preserve">ferramenta Microsoft MAP ou qualquer software equivalente.) </w:t>
      </w:r>
    </w:p>
    <w:p w:rsidR="00A81E83" w:rsidRPr="000A1C8E" w:rsidRDefault="00A81E83" w:rsidP="00DD5A3B">
      <w:pPr>
        <w:numPr>
          <w:ilvl w:val="1"/>
          <w:numId w:val="58"/>
        </w:numPr>
        <w:tabs>
          <w:tab w:val="left" w:pos="1800"/>
        </w:tabs>
        <w:spacing w:after="60"/>
        <w:ind w:left="1800"/>
        <w:rPr>
          <w:rFonts w:cs="Tahoma"/>
        </w:rPr>
      </w:pPr>
      <w:r w:rsidRPr="000A1C8E">
        <w:rPr>
          <w:rFonts w:eastAsia="Calibri" w:cs="Tahoma"/>
          <w:szCs w:val="18"/>
        </w:rPr>
        <w:t>Para qualquer licença de processador com um Software Assurance expirando atribuído ao mesmo servidor licenciado em excesso do número real de processadores físicos no servidor, a</w:t>
      </w:r>
      <w:r w:rsidR="00DD5A3B" w:rsidRPr="000A1C8E">
        <w:rPr>
          <w:rFonts w:eastAsia="Calibri" w:cs="Tahoma"/>
          <w:szCs w:val="18"/>
        </w:rPr>
        <w:t> </w:t>
      </w:r>
      <w:r w:rsidRPr="000A1C8E">
        <w:rPr>
          <w:rFonts w:eastAsia="Calibri" w:cs="Tahoma"/>
          <w:szCs w:val="18"/>
        </w:rPr>
        <w:t>equivalência de núcleo é de quatro núcleos por licença de processador.</w:t>
      </w:r>
    </w:p>
    <w:p w:rsidR="00A81E83" w:rsidRPr="000A1C8E" w:rsidRDefault="00A81E83" w:rsidP="00346F4B">
      <w:pPr>
        <w:numPr>
          <w:ilvl w:val="1"/>
          <w:numId w:val="58"/>
        </w:numPr>
        <w:tabs>
          <w:tab w:val="left" w:pos="1800"/>
        </w:tabs>
        <w:spacing w:after="60"/>
        <w:ind w:left="1800"/>
        <w:rPr>
          <w:rFonts w:cs="Tahoma"/>
        </w:rPr>
      </w:pPr>
      <w:r w:rsidRPr="000A1C8E">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0A1C8E" w:rsidRDefault="00A81E83" w:rsidP="00346F4B">
      <w:pPr>
        <w:numPr>
          <w:ilvl w:val="1"/>
          <w:numId w:val="58"/>
        </w:numPr>
        <w:tabs>
          <w:tab w:val="left" w:pos="1800"/>
        </w:tabs>
        <w:spacing w:after="60"/>
        <w:ind w:left="1800"/>
        <w:rPr>
          <w:rFonts w:cs="Tahoma"/>
        </w:rPr>
      </w:pPr>
      <w:r w:rsidRPr="000A1C8E">
        <w:rPr>
          <w:rFonts w:eastAsia="Calibri" w:cs="Tahoma"/>
          <w:szCs w:val="18"/>
        </w:rPr>
        <w:t>A equivalência de licença principal dos clientes não implica que eles podem atribuir uma única licença de processador a núcleos por dois ou mais processadores.</w:t>
      </w:r>
    </w:p>
    <w:p w:rsidR="000C03F3" w:rsidRPr="000A1C8E" w:rsidRDefault="000C03F3" w:rsidP="000C03F3">
      <w:pPr>
        <w:tabs>
          <w:tab w:val="left" w:pos="1800"/>
        </w:tabs>
        <w:spacing w:after="60"/>
        <w:rPr>
          <w:rFonts w:cs="Tahoma"/>
        </w:rPr>
      </w:pPr>
    </w:p>
    <w:p w:rsidR="000C03F3" w:rsidRPr="000A1C8E" w:rsidRDefault="00A81E83" w:rsidP="000C03F3">
      <w:pPr>
        <w:tabs>
          <w:tab w:val="left" w:pos="720"/>
        </w:tabs>
        <w:spacing w:after="60"/>
        <w:ind w:left="720"/>
        <w:rPr>
          <w:rFonts w:cs="Tahoma"/>
        </w:rPr>
      </w:pPr>
      <w:r w:rsidRPr="000A1C8E">
        <w:rPr>
          <w:rFonts w:eastAsia="Calibri" w:cs="Tahoma"/>
          <w:b/>
          <w:color w:val="000000"/>
          <w:szCs w:val="18"/>
        </w:rPr>
        <w:t>Para os clientes com cobertura de Software Assurance que expiram em ou depois de 1º de abril de 2015 que optaram pela não renovação</w:t>
      </w:r>
    </w:p>
    <w:p w:rsidR="00A81E83" w:rsidRPr="000A1C8E" w:rsidRDefault="00A81E83" w:rsidP="000C03F3">
      <w:pPr>
        <w:tabs>
          <w:tab w:val="left" w:pos="720"/>
        </w:tabs>
        <w:ind w:left="720"/>
        <w:rPr>
          <w:rFonts w:cs="Tahoma"/>
        </w:rPr>
      </w:pPr>
      <w:r w:rsidRPr="000A1C8E">
        <w:rPr>
          <w:rFonts w:eastAsia="Calibri" w:cs="Tahoma"/>
          <w:color w:val="000000"/>
          <w:szCs w:val="18"/>
        </w:rPr>
        <w:t xml:space="preserve">Os clientes do Enterprise Subscription </w:t>
      </w:r>
      <w:r w:rsidRPr="000A1C8E">
        <w:rPr>
          <w:rFonts w:cs="Tahoma"/>
          <w:bCs/>
          <w:color w:val="000000"/>
          <w:szCs w:val="18"/>
        </w:rPr>
        <w:t xml:space="preserve">e Open Value Subscription </w:t>
      </w:r>
      <w:r w:rsidRPr="000A1C8E">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rsidR="000C03F3" w:rsidRPr="000A1C8E" w:rsidRDefault="000C03F3" w:rsidP="000C03F3">
      <w:pPr>
        <w:tabs>
          <w:tab w:val="left" w:pos="720"/>
        </w:tabs>
        <w:ind w:left="720"/>
        <w:rPr>
          <w:rFonts w:cs="Tahoma"/>
        </w:rPr>
      </w:pPr>
    </w:p>
    <w:p w:rsidR="00A81E83" w:rsidRPr="000A1C8E" w:rsidRDefault="00A81E83" w:rsidP="00346F4B">
      <w:pPr>
        <w:numPr>
          <w:ilvl w:val="2"/>
          <w:numId w:val="50"/>
        </w:numPr>
        <w:spacing w:after="60"/>
        <w:ind w:left="1440"/>
        <w:rPr>
          <w:rFonts w:cs="Tahoma"/>
        </w:rPr>
      </w:pPr>
      <w:r w:rsidRPr="000A1C8E">
        <w:rPr>
          <w:rFonts w:eastAsia="Calibri" w:cs="Tahoma"/>
          <w:szCs w:val="18"/>
        </w:rPr>
        <w:t>Conforme fornecido no primeiro parágrafo desta nota de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0A1C8E" w:rsidRDefault="00A81E83" w:rsidP="00346F4B">
      <w:pPr>
        <w:numPr>
          <w:ilvl w:val="2"/>
          <w:numId w:val="50"/>
        </w:numPr>
        <w:spacing w:after="60"/>
        <w:ind w:left="1440"/>
        <w:rPr>
          <w:rFonts w:cs="Tahoma"/>
        </w:rPr>
      </w:pPr>
      <w:r w:rsidRPr="000A1C8E">
        <w:rPr>
          <w:rFonts w:eastAsia="Calibri" w:cs="Tahoma"/>
          <w:color w:val="000000"/>
          <w:szCs w:val="18"/>
        </w:rPr>
        <w:t>Para as licenças adquiridas depois de 1</w:t>
      </w:r>
      <w:r w:rsidRPr="000A1C8E">
        <w:rPr>
          <w:rFonts w:eastAsia="Calibri" w:cs="Tahoma"/>
          <w:color w:val="000000"/>
          <w:szCs w:val="18"/>
          <w:vertAlign w:val="superscript"/>
        </w:rPr>
        <w:t>º</w:t>
      </w:r>
      <w:r w:rsidRPr="000A1C8E">
        <w:rPr>
          <w:rFonts w:eastAsia="Calibri" w:cs="Tahoma"/>
          <w:color w:val="000000"/>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0C03F3" w:rsidRPr="000A1C8E" w:rsidRDefault="000C03F3" w:rsidP="000C03F3">
      <w:pPr>
        <w:rPr>
          <w:rFonts w:cs="Tahoma"/>
        </w:rPr>
      </w:pPr>
    </w:p>
    <w:p w:rsidR="000C03F3" w:rsidRPr="000A1C8E" w:rsidRDefault="00A81E83" w:rsidP="000C03F3">
      <w:pPr>
        <w:pStyle w:val="ListParagraph"/>
        <w:tabs>
          <w:tab w:val="left" w:pos="720"/>
        </w:tabs>
        <w:spacing w:after="60"/>
        <w:contextualSpacing w:val="0"/>
        <w:rPr>
          <w:rFonts w:ascii="Tahoma" w:hAnsi="Tahoma" w:cs="Tahoma"/>
        </w:rPr>
      </w:pPr>
      <w:r w:rsidRPr="000A1C8E">
        <w:rPr>
          <w:rFonts w:ascii="Tahoma" w:hAnsi="Tahoma" w:cs="Tahoma"/>
          <w:b/>
          <w:color w:val="000000"/>
          <w:sz w:val="18"/>
          <w:szCs w:val="18"/>
        </w:rPr>
        <w:t>Para os clientes localizados na República Popular da</w:t>
      </w:r>
      <w:r w:rsidRPr="000A1C8E">
        <w:rPr>
          <w:rFonts w:ascii="Tahoma" w:hAnsi="Tahoma" w:cs="Tahoma"/>
          <w:color w:val="000000"/>
          <w:sz w:val="18"/>
          <w:szCs w:val="18"/>
        </w:rPr>
        <w:t xml:space="preserve"> </w:t>
      </w:r>
      <w:r w:rsidRPr="000A1C8E">
        <w:rPr>
          <w:rFonts w:ascii="Tahoma" w:hAnsi="Tahoma" w:cs="Tahoma"/>
          <w:b/>
          <w:color w:val="000000"/>
          <w:sz w:val="18"/>
          <w:szCs w:val="18"/>
        </w:rPr>
        <w:t>China e para os que estão adquirindo licenças de processador e Software Assurance para SQL Server 2008 R2</w:t>
      </w:r>
    </w:p>
    <w:p w:rsidR="00A81E83" w:rsidRPr="000A1C8E" w:rsidRDefault="00A81E83" w:rsidP="000C03F3">
      <w:pPr>
        <w:pStyle w:val="ListParagraph"/>
        <w:tabs>
          <w:tab w:val="left" w:pos="720"/>
        </w:tabs>
        <w:contextualSpacing w:val="0"/>
        <w:rPr>
          <w:rFonts w:ascii="Tahoma" w:hAnsi="Tahoma" w:cs="Tahoma"/>
        </w:rPr>
      </w:pPr>
      <w:r w:rsidRPr="000A1C8E">
        <w:rPr>
          <w:rFonts w:ascii="Tahoma" w:hAnsi="Tahoma" w:cs="Tahoma"/>
          <w:color w:val="000000"/>
          <w:sz w:val="18"/>
          <w:szCs w:val="18"/>
        </w:rPr>
        <w:t>As referências a 1</w:t>
      </w:r>
      <w:r w:rsidRPr="000A1C8E">
        <w:rPr>
          <w:rFonts w:ascii="Tahoma" w:hAnsi="Tahoma" w:cs="Tahoma"/>
          <w:color w:val="000000"/>
          <w:sz w:val="18"/>
          <w:szCs w:val="18"/>
          <w:vertAlign w:val="superscript"/>
        </w:rPr>
        <w:t>º</w:t>
      </w:r>
      <w:r w:rsidRPr="000A1C8E">
        <w:rPr>
          <w:rFonts w:ascii="Tahoma" w:hAnsi="Tahoma" w:cs="Tahoma"/>
          <w:color w:val="000000"/>
          <w:sz w:val="18"/>
          <w:szCs w:val="18"/>
        </w:rPr>
        <w:t xml:space="preserve"> de abril de 2012 e 1</w:t>
      </w:r>
      <w:r w:rsidRPr="000A1C8E">
        <w:rPr>
          <w:rFonts w:ascii="Tahoma" w:hAnsi="Tahoma" w:cs="Tahoma"/>
          <w:color w:val="000000"/>
          <w:sz w:val="18"/>
          <w:szCs w:val="18"/>
          <w:vertAlign w:val="superscript"/>
        </w:rPr>
        <w:t>º</w:t>
      </w:r>
      <w:r w:rsidRPr="000A1C8E">
        <w:rPr>
          <w:rFonts w:ascii="Tahoma" w:hAnsi="Tahoma" w:cs="Tahoma"/>
          <w:color w:val="000000"/>
          <w:sz w:val="18"/>
          <w:szCs w:val="18"/>
        </w:rPr>
        <w:t xml:space="preserve"> de abril de 2015 nesta nota da lista de produtos não são aplicáveis. As datas aplicáveis para esses clientes são 1</w:t>
      </w:r>
      <w:r w:rsidRPr="000A1C8E">
        <w:rPr>
          <w:rFonts w:ascii="Tahoma" w:hAnsi="Tahoma" w:cs="Tahoma"/>
          <w:color w:val="000000"/>
          <w:sz w:val="18"/>
          <w:szCs w:val="18"/>
          <w:vertAlign w:val="superscript"/>
        </w:rPr>
        <w:t>º</w:t>
      </w:r>
      <w:r w:rsidRPr="000A1C8E">
        <w:rPr>
          <w:rFonts w:ascii="Tahoma" w:hAnsi="Tahoma" w:cs="Tahoma"/>
          <w:color w:val="000000"/>
          <w:sz w:val="18"/>
          <w:szCs w:val="18"/>
        </w:rPr>
        <w:t xml:space="preserve"> de julho de 2012 e 1</w:t>
      </w:r>
      <w:r w:rsidRPr="000A1C8E">
        <w:rPr>
          <w:rFonts w:ascii="Tahoma" w:hAnsi="Tahoma" w:cs="Tahoma"/>
          <w:color w:val="000000"/>
          <w:sz w:val="18"/>
          <w:szCs w:val="18"/>
          <w:vertAlign w:val="superscript"/>
        </w:rPr>
        <w:t>º</w:t>
      </w:r>
      <w:r w:rsidRPr="000A1C8E">
        <w:rPr>
          <w:rFonts w:ascii="Tahoma" w:hAnsi="Tahoma" w:cs="Tahoma"/>
          <w:color w:val="000000"/>
          <w:sz w:val="18"/>
          <w:szCs w:val="18"/>
        </w:rPr>
        <w:t xml:space="preserve"> de julho de 2015, respectivamente.</w:t>
      </w:r>
    </w:p>
    <w:p w:rsidR="00A81E83" w:rsidRPr="000A1C8E" w:rsidRDefault="00A81E83" w:rsidP="000C03F3">
      <w:pPr>
        <w:tabs>
          <w:tab w:val="left" w:pos="1080"/>
          <w:tab w:val="left" w:pos="1800"/>
        </w:tabs>
        <w:rPr>
          <w:rFonts w:cs="Tahoma"/>
        </w:rPr>
      </w:pPr>
      <w:bookmarkStart w:id="1494" w:name="Srv_87SQLServer2012Developer"/>
    </w:p>
    <w:p w:rsidR="00BE30E6" w:rsidRPr="000A1C8E" w:rsidRDefault="00BE30E6" w:rsidP="000C03F3">
      <w:pPr>
        <w:tabs>
          <w:tab w:val="left" w:pos="1080"/>
          <w:tab w:val="left" w:pos="1800"/>
        </w:tabs>
        <w:rPr>
          <w:rFonts w:cs="Tahoma"/>
        </w:rPr>
      </w:pPr>
    </w:p>
    <w:p w:rsidR="00DD5A3B" w:rsidRPr="000A1C8E" w:rsidRDefault="00DD5A3B" w:rsidP="000C03F3">
      <w:pPr>
        <w:tabs>
          <w:tab w:val="left" w:pos="1080"/>
          <w:tab w:val="left" w:pos="1800"/>
        </w:tabs>
        <w:rPr>
          <w:rFonts w:cs="Tahoma"/>
        </w:rPr>
      </w:pPr>
    </w:p>
    <w:p w:rsidR="00DD5A3B" w:rsidRPr="000A1C8E" w:rsidRDefault="00DD5A3B" w:rsidP="000C03F3">
      <w:pPr>
        <w:tabs>
          <w:tab w:val="left" w:pos="1080"/>
          <w:tab w:val="left" w:pos="1800"/>
        </w:tabs>
        <w:rPr>
          <w:rFonts w:cs="Tahoma"/>
        </w:rPr>
      </w:pPr>
    </w:p>
    <w:p w:rsidR="00DD5A3B" w:rsidRPr="000A1C8E" w:rsidRDefault="00DD5A3B" w:rsidP="000C03F3">
      <w:pPr>
        <w:tabs>
          <w:tab w:val="left" w:pos="1080"/>
          <w:tab w:val="left" w:pos="1800"/>
        </w:tabs>
        <w:rPr>
          <w:rFonts w:cs="Tahoma"/>
        </w:rPr>
      </w:pPr>
    </w:p>
    <w:p w:rsidR="00DD5A3B" w:rsidRPr="000A1C8E" w:rsidRDefault="00DD5A3B" w:rsidP="000C03F3">
      <w:pPr>
        <w:tabs>
          <w:tab w:val="left" w:pos="1080"/>
          <w:tab w:val="left" w:pos="1800"/>
        </w:tabs>
        <w:rPr>
          <w:rFonts w:cs="Tahoma"/>
        </w:rPr>
      </w:pPr>
    </w:p>
    <w:p w:rsidR="00DD5A3B" w:rsidRPr="000A1C8E" w:rsidRDefault="00DD5A3B" w:rsidP="000C03F3">
      <w:pPr>
        <w:tabs>
          <w:tab w:val="left" w:pos="1080"/>
          <w:tab w:val="left" w:pos="1800"/>
        </w:tabs>
        <w:rPr>
          <w:rFonts w:cs="Tahoma"/>
        </w:rPr>
      </w:pPr>
    </w:p>
    <w:p w:rsidR="00DD5A3B" w:rsidRPr="000A1C8E" w:rsidRDefault="00DD5A3B" w:rsidP="000C03F3">
      <w:pPr>
        <w:tabs>
          <w:tab w:val="left" w:pos="1080"/>
          <w:tab w:val="left" w:pos="1800"/>
        </w:tabs>
        <w:rPr>
          <w:rFonts w:cs="Tahoma"/>
        </w:rPr>
      </w:pPr>
    </w:p>
    <w:p w:rsidR="00DD5A3B" w:rsidRPr="000A1C8E" w:rsidRDefault="00DD5A3B" w:rsidP="000C03F3">
      <w:pPr>
        <w:tabs>
          <w:tab w:val="left" w:pos="1080"/>
          <w:tab w:val="left" w:pos="1800"/>
        </w:tabs>
        <w:rPr>
          <w:rFonts w:cs="Tahoma"/>
        </w:rPr>
      </w:pPr>
    </w:p>
    <w:p w:rsidR="00A81E83" w:rsidRPr="000A1C8E" w:rsidRDefault="00A560B6" w:rsidP="00EF5637">
      <w:pPr>
        <w:pStyle w:val="Heading3"/>
        <w:rPr>
          <w:rFonts w:ascii="Tahoma" w:hAnsi="Tahoma" w:cs="Tahoma"/>
        </w:rPr>
      </w:pPr>
      <w:bookmarkStart w:id="1495" w:name="_80_78_SQL"/>
      <w:bookmarkStart w:id="1496" w:name="_85_SQL_Server®"/>
      <w:bookmarkStart w:id="1497" w:name="_Toc336338345"/>
      <w:bookmarkStart w:id="1498" w:name="_Toc361829429"/>
      <w:bookmarkEnd w:id="1495"/>
      <w:bookmarkEnd w:id="1496"/>
      <w:r w:rsidRPr="000A1C8E">
        <w:rPr>
          <w:rFonts w:ascii="Tahoma" w:hAnsi="Tahoma" w:cs="Tahoma"/>
          <w:color w:val="F66400"/>
          <w:sz w:val="22"/>
          <w:vertAlign w:val="superscript"/>
        </w:rPr>
        <w:lastRenderedPageBreak/>
        <w:t>86</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2012 Developer</w:t>
      </w:r>
      <w:bookmarkEnd w:id="1497"/>
      <w:bookmarkEnd w:id="1498"/>
    </w:p>
    <w:bookmarkEnd w:id="1494"/>
    <w:p w:rsidR="00A81E83" w:rsidRPr="000A1C8E" w:rsidRDefault="00A81E83" w:rsidP="00EF5637">
      <w:pPr>
        <w:rPr>
          <w:rFonts w:cs="Tahoma"/>
        </w:rPr>
      </w:pPr>
    </w:p>
    <w:p w:rsidR="000C03F3" w:rsidRPr="000A1C8E" w:rsidRDefault="00A81E83" w:rsidP="000C03F3">
      <w:pPr>
        <w:spacing w:after="60"/>
        <w:ind w:left="720"/>
        <w:rPr>
          <w:rFonts w:cs="Tahoma"/>
        </w:rPr>
      </w:pPr>
      <w:r w:rsidRPr="000A1C8E">
        <w:rPr>
          <w:rFonts w:cs="Tahoma"/>
          <w:b/>
          <w:color w:val="000000"/>
          <w:szCs w:val="18"/>
        </w:rPr>
        <w:t>Notificação Importante</w:t>
      </w:r>
    </w:p>
    <w:p w:rsidR="00A81E83" w:rsidRPr="000A1C8E" w:rsidRDefault="00A81E83" w:rsidP="00EF5637">
      <w:pPr>
        <w:ind w:left="720"/>
        <w:rPr>
          <w:rFonts w:cs="Tahoma"/>
        </w:rPr>
      </w:pPr>
      <w:r w:rsidRPr="000A1C8E">
        <w:rPr>
          <w:rFonts w:cs="Tahoma"/>
          <w:color w:val="000000"/>
          <w:szCs w:val="18"/>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DC6D8B" w:rsidRPr="000A1C8E">
        <w:rPr>
          <w:rFonts w:cs="Tahoma"/>
          <w:color w:val="000000"/>
          <w:szCs w:val="18"/>
        </w:rPr>
        <w:t xml:space="preserve"> </w:t>
      </w:r>
      <w:r w:rsidRPr="000A1C8E">
        <w:rPr>
          <w:rFonts w:cs="Tahoma"/>
          <w:color w:val="000000"/>
          <w:szCs w:val="18"/>
        </w:rPr>
        <w:t>Esse recurso não pode ser desativado.</w:t>
      </w:r>
      <w:r w:rsidR="00DC6D8B" w:rsidRPr="000A1C8E">
        <w:rPr>
          <w:rFonts w:cs="Tahoma"/>
          <w:color w:val="000000"/>
          <w:szCs w:val="18"/>
        </w:rPr>
        <w:t xml:space="preserve"> </w:t>
      </w:r>
      <w:r w:rsidRPr="000A1C8E">
        <w:rPr>
          <w:rFonts w:cs="Tahoma"/>
          <w:color w:val="000000"/>
          <w:szCs w:val="18"/>
        </w:rPr>
        <w:t>Os arquivos atualizados não podem ser removidos e os arquivos originais podem não ser recuperáveis.</w:t>
      </w:r>
      <w:r w:rsidR="00DC6D8B" w:rsidRPr="000A1C8E">
        <w:rPr>
          <w:rFonts w:cs="Tahoma"/>
          <w:color w:val="000000"/>
          <w:szCs w:val="18"/>
        </w:rPr>
        <w:t xml:space="preserve"> </w:t>
      </w:r>
      <w:r w:rsidRPr="000A1C8E">
        <w:rPr>
          <w:rFonts w:cs="Tahoma"/>
          <w:color w:val="000000"/>
          <w:szCs w:val="18"/>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DC6D8B" w:rsidRPr="000A1C8E">
        <w:rPr>
          <w:rFonts w:cs="Tahoma"/>
          <w:color w:val="000000"/>
          <w:szCs w:val="18"/>
        </w:rPr>
        <w:t xml:space="preserve"> </w:t>
      </w:r>
    </w:p>
    <w:p w:rsidR="00A81E83" w:rsidRPr="000A1C8E" w:rsidRDefault="00A81E83" w:rsidP="00EF5637">
      <w:pPr>
        <w:ind w:left="720"/>
        <w:rPr>
          <w:rFonts w:cs="Tahoma"/>
        </w:rPr>
      </w:pPr>
    </w:p>
    <w:p w:rsidR="00155B9B" w:rsidRPr="000A1C8E" w:rsidRDefault="00155B9B" w:rsidP="00EF5637">
      <w:pPr>
        <w:ind w:left="720"/>
        <w:rPr>
          <w:rFonts w:cs="Tahoma"/>
        </w:rPr>
      </w:pPr>
    </w:p>
    <w:p w:rsidR="00A81E83" w:rsidRPr="000A1C8E" w:rsidRDefault="00A560B6" w:rsidP="00EF5637">
      <w:pPr>
        <w:pStyle w:val="Heading3"/>
        <w:rPr>
          <w:rFonts w:ascii="Tahoma" w:hAnsi="Tahoma" w:cs="Tahoma"/>
        </w:rPr>
      </w:pPr>
      <w:bookmarkStart w:id="1499" w:name="_81_79_SQL"/>
      <w:bookmarkStart w:id="1500" w:name="_86_SQL_Server®"/>
      <w:bookmarkStart w:id="1501" w:name="_Toc336338346"/>
      <w:bookmarkStart w:id="1502" w:name="_Toc361829430"/>
      <w:bookmarkStart w:id="1503" w:name="Srv_88SQLServer2012Enterprise"/>
      <w:bookmarkEnd w:id="1499"/>
      <w:bookmarkEnd w:id="1500"/>
      <w:r w:rsidRPr="000A1C8E">
        <w:rPr>
          <w:rFonts w:ascii="Tahoma" w:hAnsi="Tahoma" w:cs="Tahoma"/>
          <w:color w:val="F66400"/>
          <w:sz w:val="22"/>
          <w:vertAlign w:val="superscript"/>
        </w:rPr>
        <w:t>87</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2012 Enterprise</w:t>
      </w:r>
      <w:bookmarkEnd w:id="1501"/>
      <w:bookmarkEnd w:id="1502"/>
    </w:p>
    <w:bookmarkEnd w:id="1503"/>
    <w:p w:rsidR="00A81E83" w:rsidRPr="000A1C8E" w:rsidRDefault="00A81E83" w:rsidP="00C321B6">
      <w:pPr>
        <w:rPr>
          <w:rFonts w:cs="Tahoma"/>
        </w:rPr>
      </w:pPr>
    </w:p>
    <w:p w:rsidR="00A81E83" w:rsidRPr="000A1C8E" w:rsidRDefault="00A81E83" w:rsidP="00C321B6">
      <w:pPr>
        <w:ind w:left="720"/>
        <w:rPr>
          <w:rFonts w:cs="Tahoma"/>
        </w:rPr>
      </w:pPr>
      <w:r w:rsidRPr="000A1C8E">
        <w:rPr>
          <w:rFonts w:eastAsia="Calibri" w:cs="Tahoma"/>
          <w:color w:val="000000"/>
          <w:szCs w:val="18"/>
        </w:rPr>
        <w:t>O SQL Server 2012 Enterprise é a próxima versão do SQL Server Enterprise, e a CAL do SQL Server 2012 é a próxima versão da CAL do SQL Server.</w:t>
      </w:r>
    </w:p>
    <w:p w:rsidR="00C321B6" w:rsidRPr="000A1C8E" w:rsidRDefault="00C321B6" w:rsidP="00C321B6">
      <w:pPr>
        <w:ind w:left="720"/>
        <w:rPr>
          <w:rFonts w:cs="Tahoma"/>
        </w:rPr>
      </w:pPr>
    </w:p>
    <w:p w:rsidR="00C321B6" w:rsidRPr="000A1C8E" w:rsidRDefault="00A81E83" w:rsidP="00C321B6">
      <w:pPr>
        <w:spacing w:after="60"/>
        <w:ind w:left="720"/>
        <w:rPr>
          <w:rFonts w:cs="Tahoma"/>
        </w:rPr>
      </w:pPr>
      <w:r w:rsidRPr="000A1C8E">
        <w:rPr>
          <w:rFonts w:eastAsia="Calibri" w:cs="Tahoma"/>
          <w:b/>
          <w:color w:val="000000"/>
          <w:szCs w:val="18"/>
        </w:rPr>
        <w:t>Clientes de CAL/SQL Server Enterprise Server – Opção de Renovação de Software Assurance Especial</w:t>
      </w:r>
    </w:p>
    <w:p w:rsidR="00A81E83" w:rsidRPr="000A1C8E" w:rsidRDefault="00A81E83" w:rsidP="00DD5A3B">
      <w:pPr>
        <w:ind w:left="720"/>
        <w:rPr>
          <w:rFonts w:cs="Tahoma"/>
        </w:rPr>
      </w:pPr>
      <w:r w:rsidRPr="000A1C8E">
        <w:rPr>
          <w:rFonts w:eastAsia="Calibri" w:cs="Tahoma"/>
          <w:color w:val="000000"/>
          <w:szCs w:val="18"/>
        </w:rPr>
        <w:t>Os clientes com Software Assurance ativo para licenças do SQL Server Enterprise Server/CAL a partir de 1o. de abril de 2012 podem, opcionalmente, renovar sua cobertura para Enterprise, adquirir Software Assurance para licenças de número igual para SQL Server 2012 Business Intelligence sem adquirir as licenças básicas.</w:t>
      </w:r>
      <w:r w:rsidR="00DC6D8B" w:rsidRPr="000A1C8E">
        <w:rPr>
          <w:rFonts w:eastAsia="Calibri" w:cs="Tahoma"/>
          <w:color w:val="000000"/>
          <w:szCs w:val="18"/>
        </w:rPr>
        <w:t xml:space="preserve"> </w:t>
      </w:r>
      <w:r w:rsidRPr="000A1C8E">
        <w:rPr>
          <w:rFonts w:eastAsia="Calibri" w:cs="Tahoma"/>
          <w:color w:val="000000"/>
          <w:szCs w:val="18"/>
        </w:rPr>
        <w:t>Mediante a aquisição do Software Assurance do SQL Server 2012 Business Intelligence sob esta oferta, os</w:t>
      </w:r>
      <w:r w:rsidR="00DD5A3B" w:rsidRPr="000A1C8E">
        <w:rPr>
          <w:rFonts w:eastAsia="Calibri" w:cs="Tahoma"/>
          <w:color w:val="000000"/>
          <w:szCs w:val="18"/>
        </w:rPr>
        <w:t> </w:t>
      </w:r>
      <w:r w:rsidRPr="000A1C8E">
        <w:rPr>
          <w:rFonts w:eastAsia="Calibri" w:cs="Tahoma"/>
          <w:color w:val="000000"/>
          <w:szCs w:val="18"/>
        </w:rPr>
        <w:t>clientes não poderão mais usar o SQL Server Enterprise sob as licenças qualificadas.</w:t>
      </w:r>
      <w:r w:rsidR="00DC6D8B" w:rsidRPr="000A1C8E">
        <w:rPr>
          <w:rFonts w:eastAsia="Calibri" w:cs="Tahoma"/>
          <w:color w:val="000000"/>
          <w:szCs w:val="18"/>
        </w:rPr>
        <w:t xml:space="preserve"> </w:t>
      </w:r>
      <w:r w:rsidRPr="000A1C8E">
        <w:rPr>
          <w:rFonts w:eastAsia="Calibri" w:cs="Tahoma"/>
          <w:color w:val="000000"/>
          <w:szCs w:val="18"/>
        </w:rPr>
        <w:t>Os clientes que adquirem Software Assurance para SQL Server Business Intelligence sob esta oferta também não terão a</w:t>
      </w:r>
      <w:r w:rsidR="00DD5A3B" w:rsidRPr="000A1C8E">
        <w:rPr>
          <w:rFonts w:eastAsia="Calibri" w:cs="Tahoma"/>
          <w:color w:val="000000"/>
          <w:szCs w:val="18"/>
        </w:rPr>
        <w:t> </w:t>
      </w:r>
      <w:r w:rsidRPr="000A1C8E">
        <w:rPr>
          <w:rFonts w:eastAsia="Calibri" w:cs="Tahoma"/>
          <w:color w:val="000000"/>
          <w:szCs w:val="18"/>
        </w:rPr>
        <w:t>opção de reverter a cobertura do SQL Server Enterprise para suas licenças qualificadas do SQL Server Enterprise.</w:t>
      </w:r>
    </w:p>
    <w:p w:rsidR="002512D3" w:rsidRPr="000A1C8E" w:rsidRDefault="002512D3">
      <w:pPr>
        <w:rPr>
          <w:rFonts w:cs="Tahoma"/>
        </w:rPr>
      </w:pPr>
    </w:p>
    <w:p w:rsidR="00C321B6" w:rsidRPr="000A1C8E" w:rsidRDefault="00A81E83" w:rsidP="00C321B6">
      <w:pPr>
        <w:spacing w:after="60"/>
        <w:ind w:left="720"/>
        <w:rPr>
          <w:rFonts w:cs="Tahoma"/>
        </w:rPr>
      </w:pPr>
      <w:r w:rsidRPr="000A1C8E">
        <w:rPr>
          <w:rFonts w:eastAsia="Calibri" w:cs="Tahoma"/>
          <w:b/>
          <w:color w:val="000000"/>
          <w:szCs w:val="18"/>
        </w:rPr>
        <w:t>Opções de Fornecimento do SQL Server 2012</w:t>
      </w:r>
    </w:p>
    <w:p w:rsidR="00A81E83" w:rsidRPr="000A1C8E" w:rsidRDefault="00A81E83" w:rsidP="00C321B6">
      <w:pPr>
        <w:ind w:left="720"/>
        <w:rPr>
          <w:rFonts w:cs="Tahoma"/>
        </w:rPr>
      </w:pPr>
      <w:r w:rsidRPr="000A1C8E">
        <w:rPr>
          <w:rFonts w:eastAsia="Calibri" w:cs="Tahoma"/>
          <w:color w:val="000000"/>
          <w:szCs w:val="18"/>
        </w:rPr>
        <w:t>Os clientes podem usar apenas o software correspondente ao modelo de licenciamento sob o qual suas licenças do SQL Server são adquiridas.</w:t>
      </w:r>
      <w:r w:rsidR="00DC6D8B" w:rsidRPr="000A1C8E">
        <w:rPr>
          <w:rFonts w:eastAsia="Calibri" w:cs="Tahoma"/>
          <w:color w:val="000000"/>
          <w:szCs w:val="18"/>
        </w:rPr>
        <w:t xml:space="preserve"> </w:t>
      </w:r>
    </w:p>
    <w:p w:rsidR="00C321B6" w:rsidRPr="000A1C8E" w:rsidRDefault="00C321B6" w:rsidP="00C321B6">
      <w:pPr>
        <w:ind w:left="720"/>
        <w:rPr>
          <w:rFonts w:cs="Tahoma"/>
        </w:rPr>
      </w:pPr>
    </w:p>
    <w:p w:rsidR="00C321B6" w:rsidRPr="000A1C8E" w:rsidRDefault="00A81E83" w:rsidP="00C321B6">
      <w:pPr>
        <w:spacing w:after="60"/>
        <w:ind w:left="720"/>
        <w:rPr>
          <w:rFonts w:cs="Tahoma"/>
        </w:rPr>
      </w:pPr>
      <w:r w:rsidRPr="000A1C8E">
        <w:rPr>
          <w:rFonts w:eastAsia="Calibri" w:cs="Tahoma"/>
          <w:b/>
          <w:color w:val="000000"/>
          <w:szCs w:val="18"/>
        </w:rPr>
        <w:t>Opção de Compra (“Buy-out”) do SQL Server sob EAP</w:t>
      </w:r>
    </w:p>
    <w:p w:rsidR="00A81E83" w:rsidRPr="000A1C8E" w:rsidRDefault="00A81E83" w:rsidP="00C321B6">
      <w:pPr>
        <w:ind w:left="720"/>
        <w:rPr>
          <w:rFonts w:cs="Tahoma"/>
        </w:rPr>
      </w:pPr>
      <w:r w:rsidRPr="000A1C8E">
        <w:rPr>
          <w:rFonts w:eastAsia="Calibri" w:cs="Tahoma"/>
          <w:color w:val="000000"/>
          <w:szCs w:val="18"/>
        </w:rPr>
        <w:t>Os clientes terão a opção de renovar as licenças do Software Assurance para SQL Server Enterprise Server/CAL depois de 30 de junho de 2012,</w:t>
      </w:r>
      <w:r w:rsidR="00DC6D8B" w:rsidRPr="000A1C8E">
        <w:rPr>
          <w:rFonts w:eastAsia="Calibri" w:cs="Tahoma"/>
          <w:b/>
          <w:bCs/>
          <w:color w:val="000000"/>
          <w:szCs w:val="18"/>
        </w:rPr>
        <w:t xml:space="preserve"> </w:t>
      </w:r>
      <w:r w:rsidRPr="000A1C8E">
        <w:rPr>
          <w:rFonts w:eastAsia="Calibri" w:cs="Tahoma"/>
          <w:color w:val="000000"/>
          <w:szCs w:val="18"/>
        </w:rPr>
        <w:t>no entanto, sua única opção de compra (“buy-out”) no final do prazo do registro será para licenças principais.</w:t>
      </w:r>
    </w:p>
    <w:p w:rsidR="00C321B6" w:rsidRPr="000A1C8E" w:rsidRDefault="00C321B6" w:rsidP="00C321B6">
      <w:pPr>
        <w:ind w:left="720"/>
        <w:rPr>
          <w:rFonts w:cs="Tahoma"/>
        </w:rPr>
      </w:pPr>
    </w:p>
    <w:p w:rsidR="00C321B6" w:rsidRPr="000A1C8E" w:rsidRDefault="00A81E83" w:rsidP="00C321B6">
      <w:pPr>
        <w:spacing w:after="60"/>
        <w:ind w:left="720"/>
        <w:rPr>
          <w:rFonts w:cs="Tahoma"/>
        </w:rPr>
      </w:pPr>
      <w:r w:rsidRPr="000A1C8E">
        <w:rPr>
          <w:rFonts w:eastAsia="Calibri" w:cs="Tahoma"/>
          <w:b/>
          <w:color w:val="000000"/>
          <w:szCs w:val="18"/>
        </w:rPr>
        <w:t>Uso Contínuo do SQL Server 2008 R2 Enterprise</w:t>
      </w:r>
    </w:p>
    <w:p w:rsidR="00A81E83" w:rsidRPr="000A1C8E" w:rsidRDefault="00A81E83" w:rsidP="00C321B6">
      <w:pPr>
        <w:ind w:left="720"/>
        <w:rPr>
          <w:rFonts w:cs="Tahoma"/>
          <w:spacing w:val="-2"/>
        </w:rPr>
      </w:pPr>
      <w:r w:rsidRPr="000A1C8E">
        <w:rPr>
          <w:rFonts w:eastAsia="Calibri" w:cs="Tahoma"/>
          <w:color w:val="000000"/>
          <w:spacing w:val="-2"/>
          <w:szCs w:val="18"/>
        </w:rPr>
        <w:t>Os clientes de Software Assurance</w:t>
      </w:r>
      <w:r w:rsidR="00DC6D8B" w:rsidRPr="000A1C8E">
        <w:rPr>
          <w:rFonts w:eastAsia="Calibri" w:cs="Tahoma"/>
          <w:b/>
          <w:bCs/>
          <w:color w:val="000000"/>
          <w:spacing w:val="-2"/>
          <w:szCs w:val="18"/>
        </w:rPr>
        <w:t xml:space="preserve"> </w:t>
      </w:r>
      <w:r w:rsidRPr="000A1C8E">
        <w:rPr>
          <w:rFonts w:eastAsia="Calibri" w:cs="Tahoma"/>
          <w:color w:val="000000"/>
          <w:spacing w:val="-2"/>
          <w:szCs w:val="18"/>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DC6D8B" w:rsidRPr="000A1C8E">
        <w:rPr>
          <w:rFonts w:eastAsia="Calibri" w:cs="Tahoma"/>
          <w:color w:val="000000"/>
          <w:spacing w:val="-2"/>
          <w:szCs w:val="18"/>
        </w:rPr>
        <w:t xml:space="preserve"> </w:t>
      </w:r>
      <w:r w:rsidRPr="000A1C8E">
        <w:rPr>
          <w:rFonts w:eastAsia="Calibri" w:cs="Tahoma"/>
          <w:color w:val="000000"/>
          <w:spacing w:val="-2"/>
          <w:szCs w:val="18"/>
        </w:rPr>
        <w:t>Os clientes que usam o SQL Server 2008 R2 Enterprise sob diretos de fazer downgrade sob as licenças adquiridas depois da renovação de sua cobertura deverão usar o software sob os direitos de uso da versão licenciada.</w:t>
      </w:r>
    </w:p>
    <w:p w:rsidR="00C321B6" w:rsidRPr="000A1C8E" w:rsidRDefault="00C321B6" w:rsidP="00C321B6">
      <w:pPr>
        <w:ind w:left="720"/>
        <w:rPr>
          <w:rFonts w:cs="Tahoma"/>
        </w:rPr>
      </w:pPr>
    </w:p>
    <w:p w:rsidR="00C321B6" w:rsidRPr="000A1C8E" w:rsidRDefault="00A81E83" w:rsidP="00C321B6">
      <w:pPr>
        <w:spacing w:after="60"/>
        <w:ind w:left="720"/>
        <w:rPr>
          <w:rFonts w:cs="Tahoma"/>
        </w:rPr>
      </w:pPr>
      <w:r w:rsidRPr="000A1C8E">
        <w:rPr>
          <w:rFonts w:eastAsia="Calibri" w:cs="Tahoma"/>
          <w:b/>
          <w:color w:val="000000"/>
          <w:szCs w:val="18"/>
        </w:rPr>
        <w:t>Para os clientes localizados na República Popular da China e para os que estão adquirindo licenças e Software Assurance para SQL Server 2008 R2</w:t>
      </w:r>
    </w:p>
    <w:p w:rsidR="00A81E83" w:rsidRPr="000A1C8E" w:rsidRDefault="00A81E83" w:rsidP="00C321B6">
      <w:pPr>
        <w:ind w:left="720"/>
        <w:rPr>
          <w:rFonts w:cs="Tahoma"/>
        </w:rPr>
      </w:pPr>
      <w:r w:rsidRPr="000A1C8E">
        <w:rPr>
          <w:rFonts w:cs="Tahoma"/>
        </w:rPr>
        <w:t>As referências a 1</w:t>
      </w:r>
      <w:r w:rsidRPr="000A1C8E">
        <w:rPr>
          <w:rFonts w:cs="Tahoma"/>
          <w:vertAlign w:val="superscript"/>
        </w:rPr>
        <w:t>º</w:t>
      </w:r>
      <w:r w:rsidRPr="000A1C8E">
        <w:rPr>
          <w:rFonts w:cs="Tahoma"/>
        </w:rPr>
        <w:t xml:space="preserve"> de abril de 2012 nesta nota da lista de produtos não são aplicáveis. A data aplicável para esses clientes é 1</w:t>
      </w:r>
      <w:r w:rsidRPr="000A1C8E">
        <w:rPr>
          <w:rFonts w:cs="Tahoma"/>
          <w:vertAlign w:val="superscript"/>
        </w:rPr>
        <w:t>º</w:t>
      </w:r>
      <w:r w:rsidRPr="000A1C8E">
        <w:rPr>
          <w:rFonts w:cs="Tahoma"/>
        </w:rPr>
        <w:t xml:space="preserve"> de julho de 2012.</w:t>
      </w:r>
    </w:p>
    <w:p w:rsidR="00A81E83" w:rsidRPr="000A1C8E" w:rsidRDefault="00A81E83" w:rsidP="00C321B6">
      <w:pPr>
        <w:rPr>
          <w:rFonts w:cs="Tahoma"/>
        </w:rPr>
      </w:pPr>
    </w:p>
    <w:p w:rsidR="00A81E83" w:rsidRPr="000A1C8E" w:rsidRDefault="00A81E83" w:rsidP="00C321B6">
      <w:pPr>
        <w:rPr>
          <w:rFonts w:cs="Tahoma"/>
        </w:rPr>
      </w:pPr>
    </w:p>
    <w:p w:rsidR="00DD5A3B" w:rsidRPr="000A1C8E" w:rsidRDefault="00DD5A3B" w:rsidP="00C321B6">
      <w:pPr>
        <w:rPr>
          <w:rFonts w:cs="Tahoma"/>
        </w:rPr>
      </w:pPr>
    </w:p>
    <w:p w:rsidR="00DD5A3B" w:rsidRPr="000A1C8E" w:rsidRDefault="00DD5A3B" w:rsidP="00C321B6">
      <w:pPr>
        <w:rPr>
          <w:rFonts w:cs="Tahoma"/>
        </w:rPr>
      </w:pPr>
    </w:p>
    <w:p w:rsidR="00DD5A3B" w:rsidRPr="000A1C8E" w:rsidRDefault="00DD5A3B" w:rsidP="00C321B6">
      <w:pPr>
        <w:rPr>
          <w:rFonts w:cs="Tahoma"/>
        </w:rPr>
      </w:pPr>
    </w:p>
    <w:p w:rsidR="00DD5A3B" w:rsidRPr="000A1C8E" w:rsidRDefault="00DD5A3B" w:rsidP="00C321B6">
      <w:pPr>
        <w:rPr>
          <w:rFonts w:cs="Tahoma"/>
        </w:rPr>
      </w:pPr>
    </w:p>
    <w:p w:rsidR="00DD5A3B" w:rsidRPr="000A1C8E" w:rsidRDefault="00DD5A3B" w:rsidP="00C321B6">
      <w:pPr>
        <w:rPr>
          <w:rFonts w:cs="Tahoma"/>
        </w:rPr>
      </w:pPr>
    </w:p>
    <w:p w:rsidR="00A81E83" w:rsidRPr="000A1C8E" w:rsidRDefault="00A560B6" w:rsidP="00EF5637">
      <w:pPr>
        <w:pStyle w:val="Heading3"/>
        <w:rPr>
          <w:rFonts w:ascii="Tahoma" w:hAnsi="Tahoma" w:cs="Tahoma"/>
        </w:rPr>
      </w:pPr>
      <w:bookmarkStart w:id="1504" w:name="_80_SQL_Server®"/>
      <w:bookmarkStart w:id="1505" w:name="_87_SQL_Server®"/>
      <w:bookmarkStart w:id="1506" w:name="_88_SQL_Server®"/>
      <w:bookmarkStart w:id="1507" w:name="_Toc336338347"/>
      <w:bookmarkStart w:id="1508" w:name="_Toc361829431"/>
      <w:bookmarkStart w:id="1509" w:name="Srv_89SQLServer2012EnterpriseCore"/>
      <w:bookmarkEnd w:id="1504"/>
      <w:bookmarkEnd w:id="1505"/>
      <w:bookmarkEnd w:id="1506"/>
      <w:r w:rsidRPr="000A1C8E">
        <w:rPr>
          <w:rFonts w:ascii="Tahoma" w:hAnsi="Tahoma" w:cs="Tahoma"/>
          <w:caps/>
          <w:color w:val="F66400"/>
          <w:sz w:val="22"/>
          <w:vertAlign w:val="superscript"/>
        </w:rPr>
        <w:lastRenderedPageBreak/>
        <w:t xml:space="preserve">88 </w:t>
      </w:r>
      <w:r w:rsidRPr="000A1C8E">
        <w:rPr>
          <w:rFonts w:ascii="Tahoma" w:hAnsi="Tahoma" w:cs="Tahoma"/>
          <w:color w:val="F66400"/>
          <w:sz w:val="22"/>
        </w:rPr>
        <w:t>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2012 Enterprise Core</w:t>
      </w:r>
      <w:bookmarkEnd w:id="1507"/>
      <w:bookmarkEnd w:id="1508"/>
    </w:p>
    <w:bookmarkEnd w:id="1509"/>
    <w:p w:rsidR="00A81E83" w:rsidRPr="000A1C8E" w:rsidRDefault="00A81E83" w:rsidP="00C321B6">
      <w:pPr>
        <w:pStyle w:val="EndnoteText"/>
        <w:rPr>
          <w:rFonts w:ascii="Tahoma" w:hAnsi="Tahoma" w:cs="Tahoma"/>
        </w:rPr>
      </w:pPr>
    </w:p>
    <w:p w:rsidR="00C321B6" w:rsidRPr="000A1C8E" w:rsidRDefault="00A81E83" w:rsidP="00C321B6">
      <w:pPr>
        <w:spacing w:after="60"/>
        <w:ind w:left="720"/>
        <w:rPr>
          <w:rFonts w:cs="Tahoma"/>
        </w:rPr>
      </w:pPr>
      <w:r w:rsidRPr="000A1C8E">
        <w:rPr>
          <w:rFonts w:eastAsia="Calibri" w:cs="Tahoma"/>
          <w:b/>
          <w:color w:val="000000"/>
          <w:szCs w:val="18"/>
        </w:rPr>
        <w:t>Extensão dos Direitos de Uso da Virtualização Ilimitada para SQL Server 2008 R2 Enterprise (por processador)</w:t>
      </w:r>
    </w:p>
    <w:p w:rsidR="00A81E83" w:rsidRPr="000A1C8E" w:rsidRDefault="00A81E83" w:rsidP="00C321B6">
      <w:pPr>
        <w:ind w:left="720"/>
        <w:rPr>
          <w:rFonts w:cs="Tahoma"/>
        </w:rPr>
      </w:pPr>
      <w:r w:rsidRPr="000A1C8E">
        <w:rPr>
          <w:rFonts w:eastAsia="Calibri" w:cs="Tahoma"/>
          <w:color w:val="000000"/>
          <w:szCs w:val="18"/>
        </w:rPr>
        <w:t xml:space="preserve">Não obstante qualquer disposição em contrário nos Direitos de Uso do Produto ou nas versões anteriores da 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 </w:t>
      </w:r>
    </w:p>
    <w:p w:rsidR="00C321B6" w:rsidRPr="000A1C8E" w:rsidRDefault="00C321B6" w:rsidP="00C321B6">
      <w:pPr>
        <w:ind w:left="720"/>
        <w:rPr>
          <w:rFonts w:cs="Tahoma"/>
        </w:rPr>
      </w:pPr>
    </w:p>
    <w:p w:rsidR="00C321B6" w:rsidRPr="000A1C8E" w:rsidRDefault="00A81E83" w:rsidP="00C321B6">
      <w:pPr>
        <w:spacing w:after="60"/>
        <w:ind w:left="720"/>
        <w:rPr>
          <w:rFonts w:cs="Tahoma"/>
        </w:rPr>
      </w:pPr>
      <w:r w:rsidRPr="000A1C8E">
        <w:rPr>
          <w:rFonts w:eastAsia="Calibri" w:cs="Tahoma"/>
          <w:b/>
          <w:color w:val="000000"/>
          <w:szCs w:val="18"/>
        </w:rPr>
        <w:t>Outorgas de Licença Associadas à Alteração no Modelo de Licenciamento</w:t>
      </w:r>
    </w:p>
    <w:p w:rsidR="00A81E83" w:rsidRPr="000A1C8E" w:rsidRDefault="00A81E83" w:rsidP="00DD5A3B">
      <w:pPr>
        <w:ind w:left="720"/>
        <w:rPr>
          <w:rFonts w:cs="Tahoma"/>
          <w:spacing w:val="-2"/>
        </w:rPr>
      </w:pPr>
      <w:r w:rsidRPr="000A1C8E">
        <w:rPr>
          <w:rFonts w:eastAsia="Calibri" w:cs="Tahoma"/>
          <w:color w:val="000000"/>
          <w:spacing w:val="-2"/>
          <w:szCs w:val="18"/>
        </w:rPr>
        <w:t>O SQL Server 2008 R2 será a última versão do SQL Server licenciada sob o modelo de licenciamento por processador.</w:t>
      </w:r>
      <w:r w:rsidR="00DC6D8B" w:rsidRPr="000A1C8E">
        <w:rPr>
          <w:rFonts w:eastAsia="Calibri" w:cs="Tahoma"/>
          <w:color w:val="000000"/>
          <w:spacing w:val="-2"/>
          <w:szCs w:val="18"/>
        </w:rPr>
        <w:t xml:space="preserve"> </w:t>
      </w:r>
      <w:r w:rsidRPr="000A1C8E">
        <w:rPr>
          <w:rFonts w:eastAsia="Calibri" w:cs="Tahoma"/>
          <w:color w:val="000000"/>
          <w:spacing w:val="-2"/>
          <w:szCs w:val="18"/>
        </w:rPr>
        <w:t>Como uma exceção, aos clientes de Licenciamento por Volume com Software Assurance ativo</w:t>
      </w:r>
      <w:r w:rsidR="00DD5A3B" w:rsidRPr="000A1C8E">
        <w:rPr>
          <w:rFonts w:eastAsia="Calibri" w:cs="Tahoma"/>
          <w:color w:val="000000"/>
          <w:spacing w:val="-2"/>
          <w:szCs w:val="18"/>
        </w:rPr>
        <w:t> </w:t>
      </w:r>
      <w:r w:rsidRPr="000A1C8E">
        <w:rPr>
          <w:rFonts w:eastAsia="Calibri" w:cs="Tahoma"/>
          <w:color w:val="000000"/>
          <w:spacing w:val="-2"/>
          <w:szCs w:val="18"/>
        </w:rPr>
        <w:t xml:space="preserve">para licenças do processador do SQL Server 2008 R2 Enterprise em 1º de abril de 2012 (“licenças qualificadas”) são concedidas as seguintes opções. As licenças do processador do SQL Server 2008 R2 Enterprise </w:t>
      </w:r>
      <w:r w:rsidRPr="000A1C8E">
        <w:rPr>
          <w:rFonts w:cs="Tahoma"/>
          <w:bCs/>
          <w:color w:val="000000"/>
          <w:spacing w:val="-2"/>
          <w:szCs w:val="18"/>
        </w:rPr>
        <w:t>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DC6D8B" w:rsidRPr="000A1C8E">
        <w:rPr>
          <w:rFonts w:cs="Tahoma"/>
          <w:bCs/>
          <w:color w:val="000000"/>
          <w:spacing w:val="-2"/>
          <w:szCs w:val="18"/>
        </w:rPr>
        <w:t xml:space="preserve"> </w:t>
      </w:r>
      <w:r w:rsidRPr="000A1C8E">
        <w:rPr>
          <w:rFonts w:cs="Tahoma"/>
          <w:bCs/>
          <w:color w:val="000000"/>
          <w:spacing w:val="-2"/>
          <w:szCs w:val="18"/>
        </w:rPr>
        <w:t>As licenças adquiridas depois de 1º de abril de 2015 ou sob um prazo de registro subsequente, um contrato separado ou qualquer registro com uma data de início de vigência após 1º de abril de 2012 não são licenças qualificadas.</w:t>
      </w:r>
    </w:p>
    <w:p w:rsidR="00C321B6" w:rsidRPr="000A1C8E" w:rsidRDefault="00C321B6" w:rsidP="00C321B6">
      <w:pPr>
        <w:ind w:left="720"/>
        <w:rPr>
          <w:rFonts w:cs="Tahoma"/>
        </w:rPr>
      </w:pPr>
    </w:p>
    <w:p w:rsidR="00F94F25" w:rsidRPr="000A1C8E" w:rsidRDefault="00F94F25" w:rsidP="00F94F25">
      <w:pPr>
        <w:spacing w:after="60"/>
        <w:ind w:left="720"/>
        <w:rPr>
          <w:rFonts w:cs="Tahoma"/>
        </w:rPr>
      </w:pPr>
      <w:r w:rsidRPr="000A1C8E">
        <w:rPr>
          <w:rFonts w:eastAsia="Calibri" w:cs="Tahoma"/>
          <w:b/>
          <w:color w:val="000000"/>
          <w:szCs w:val="18"/>
        </w:rPr>
        <w:t>Prazo Atual</w:t>
      </w:r>
    </w:p>
    <w:p w:rsidR="00A81E83" w:rsidRPr="000A1C8E" w:rsidRDefault="00A81E83" w:rsidP="00F94F25">
      <w:pPr>
        <w:ind w:left="720"/>
        <w:rPr>
          <w:rFonts w:cs="Tahoma"/>
        </w:rPr>
      </w:pPr>
      <w:r w:rsidRPr="000A1C8E">
        <w:rPr>
          <w:rFonts w:eastAsia="Calibri" w:cs="Tahoma"/>
          <w:color w:val="000000"/>
          <w:szCs w:val="18"/>
        </w:rPr>
        <w:t xml:space="preserve">Durante o prazo atual da sua cobertura de Software Assurance a partir de 1º de abril de 2012, os clientes (incluindo aqueles sob contratos de assinatura) podem, sob qualquer licença qualificada, atualizar e usar o SQL Server 2012 Enterprise Core em vez do SQL Server 2008 R2 Enterprise sujeito aos direitos de uso do produto de licença do processador do SQL Server 2008 R2 Enterprise (conforme os Direitos de Uso do Produto de janeiro de 2012). </w:t>
      </w:r>
    </w:p>
    <w:p w:rsidR="00F94F25" w:rsidRPr="000A1C8E" w:rsidRDefault="00F94F25" w:rsidP="00F94F25">
      <w:pPr>
        <w:ind w:left="720"/>
        <w:rPr>
          <w:rFonts w:cs="Tahoma"/>
        </w:rPr>
      </w:pPr>
    </w:p>
    <w:p w:rsidR="00F94F25" w:rsidRPr="000A1C8E" w:rsidRDefault="00A81E83" w:rsidP="00F94F25">
      <w:pPr>
        <w:spacing w:after="60"/>
        <w:ind w:left="720"/>
        <w:rPr>
          <w:rFonts w:cs="Tahoma"/>
        </w:rPr>
      </w:pPr>
      <w:r w:rsidRPr="000A1C8E">
        <w:rPr>
          <w:rFonts w:eastAsia="Calibri" w:cs="Tahoma"/>
          <w:b/>
          <w:color w:val="000000"/>
          <w:szCs w:val="18"/>
        </w:rPr>
        <w:t>Primeiro Prazo de Renovação (antes de 1º de abril de 2015)</w:t>
      </w:r>
    </w:p>
    <w:p w:rsidR="00A81E83" w:rsidRPr="000A1C8E" w:rsidRDefault="00A81E83" w:rsidP="00F94F25">
      <w:pPr>
        <w:tabs>
          <w:tab w:val="left" w:pos="1440"/>
        </w:tabs>
        <w:ind w:left="720"/>
        <w:rPr>
          <w:rFonts w:cs="Tahoma"/>
        </w:rPr>
      </w:pPr>
      <w:r w:rsidRPr="000A1C8E">
        <w:rPr>
          <w:rFonts w:eastAsia="Calibri" w:cs="Tahoma"/>
          <w:color w:val="000000"/>
          <w:szCs w:val="18"/>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2512D3" w:rsidRPr="000A1C8E" w:rsidRDefault="002512D3">
      <w:pPr>
        <w:rPr>
          <w:rFonts w:cs="Tahoma"/>
        </w:rPr>
      </w:pPr>
    </w:p>
    <w:p w:rsidR="00A81E83" w:rsidRPr="000A1C8E" w:rsidRDefault="00A81E83" w:rsidP="00346F4B">
      <w:pPr>
        <w:numPr>
          <w:ilvl w:val="0"/>
          <w:numId w:val="118"/>
        </w:numPr>
        <w:tabs>
          <w:tab w:val="left" w:pos="1800"/>
        </w:tabs>
        <w:spacing w:after="60"/>
        <w:ind w:left="1440"/>
        <w:rPr>
          <w:rFonts w:cs="Tahoma"/>
        </w:rPr>
      </w:pPr>
      <w:r w:rsidRPr="000A1C8E">
        <w:rPr>
          <w:rFonts w:eastAsia="Calibri" w:cs="Tahoma"/>
          <w:color w:val="000000"/>
          <w:szCs w:val="18"/>
        </w:rPr>
        <w:t xml:space="preserve">um número igual ao menor número de licenças qualificadas atribuído ao servidor ou o número total de processadores físicos no servidor multiplicado pelo maior de: </w:t>
      </w:r>
    </w:p>
    <w:p w:rsidR="00A81E83" w:rsidRPr="000A1C8E" w:rsidRDefault="00A81E83" w:rsidP="00346F4B">
      <w:pPr>
        <w:numPr>
          <w:ilvl w:val="3"/>
          <w:numId w:val="93"/>
        </w:numPr>
        <w:tabs>
          <w:tab w:val="left" w:pos="2160"/>
        </w:tabs>
        <w:spacing w:after="60"/>
        <w:ind w:left="2160"/>
        <w:rPr>
          <w:rFonts w:cs="Tahoma"/>
        </w:rPr>
      </w:pPr>
      <w:r w:rsidRPr="000A1C8E">
        <w:rPr>
          <w:rFonts w:eastAsia="Calibri" w:cs="Tahoma"/>
          <w:color w:val="000000"/>
          <w:szCs w:val="18"/>
        </w:rPr>
        <w:t>Quatro OU</w:t>
      </w:r>
    </w:p>
    <w:p w:rsidR="00A81E83" w:rsidRPr="000A1C8E" w:rsidRDefault="00A81E83" w:rsidP="00A37DE2">
      <w:pPr>
        <w:numPr>
          <w:ilvl w:val="3"/>
          <w:numId w:val="93"/>
        </w:numPr>
        <w:tabs>
          <w:tab w:val="left" w:pos="2160"/>
        </w:tabs>
        <w:spacing w:after="60"/>
        <w:ind w:left="2160"/>
        <w:rPr>
          <w:rFonts w:cs="Tahoma"/>
        </w:rPr>
      </w:pPr>
      <w:r w:rsidRPr="000A1C8E">
        <w:rPr>
          <w:rFonts w:eastAsia="Calibri" w:cs="Tahoma"/>
          <w:color w:val="000000"/>
          <w:szCs w:val="18"/>
        </w:rPr>
        <w:t>o número real de núcleos por processador físico multiplicado pelo fator do núcleo apropriado.</w:t>
      </w:r>
      <w:r w:rsidR="00DC6D8B" w:rsidRPr="000A1C8E">
        <w:rPr>
          <w:rFonts w:eastAsia="Calibri" w:cs="Tahoma"/>
          <w:color w:val="000000"/>
          <w:szCs w:val="18"/>
        </w:rPr>
        <w:t xml:space="preserve"> </w:t>
      </w:r>
      <w:r w:rsidRPr="000A1C8E">
        <w:rPr>
          <w:rFonts w:eastAsia="Calibri" w:cs="Tahoma"/>
          <w:color w:val="000000"/>
          <w:szCs w:val="18"/>
        </w:rPr>
        <w:t xml:space="preserve">(Nos casos em que o número real de núcleos por processador físico excede quatro, os clientes devem manter um registro da configuração do software SQL Server executando no servidor </w:t>
      </w:r>
      <w:r w:rsidR="00A37DE2">
        <w:rPr>
          <w:rFonts w:eastAsia="Calibri" w:cs="Tahoma"/>
          <w:color w:val="000000"/>
          <w:szCs w:val="18"/>
        </w:rPr>
        <w:t>(</w:t>
      </w:r>
      <w:r w:rsidRPr="000A1C8E">
        <w:rPr>
          <w:rFonts w:eastAsia="Calibri" w:cs="Tahoma"/>
          <w:color w:val="000000"/>
          <w:szCs w:val="18"/>
        </w:rPr>
        <w:t xml:space="preserve">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0A1C8E" w:rsidRDefault="00A81E83" w:rsidP="00346F4B">
      <w:pPr>
        <w:numPr>
          <w:ilvl w:val="0"/>
          <w:numId w:val="118"/>
        </w:numPr>
        <w:tabs>
          <w:tab w:val="left" w:pos="1800"/>
        </w:tabs>
        <w:spacing w:after="60"/>
        <w:ind w:left="1440"/>
        <w:rPr>
          <w:rFonts w:cs="Tahoma"/>
        </w:rPr>
      </w:pPr>
      <w:r w:rsidRPr="000A1C8E">
        <w:rPr>
          <w:rFonts w:eastAsia="Calibri" w:cs="Tahoma"/>
          <w:color w:val="000000"/>
          <w:szCs w:val="18"/>
        </w:rPr>
        <w:t>um número igual ao número das licenças qualificadas atribuído ao servidor em excesso do número real de processadores físicos no servidor multiplicado por quatro.</w:t>
      </w:r>
    </w:p>
    <w:p w:rsidR="00F94F25" w:rsidRPr="000A1C8E" w:rsidRDefault="00F94F25" w:rsidP="00F94F25">
      <w:pPr>
        <w:tabs>
          <w:tab w:val="left" w:pos="1800"/>
        </w:tabs>
        <w:ind w:left="1080"/>
        <w:rPr>
          <w:rFonts w:cs="Tahoma"/>
        </w:rPr>
      </w:pPr>
    </w:p>
    <w:p w:rsidR="00F94F25" w:rsidRPr="000A1C8E" w:rsidRDefault="007A34E3" w:rsidP="00F94F25">
      <w:pPr>
        <w:spacing w:after="60"/>
        <w:ind w:left="720"/>
        <w:rPr>
          <w:rFonts w:cs="Tahoma"/>
        </w:rPr>
      </w:pPr>
      <w:r w:rsidRPr="000A1C8E">
        <w:rPr>
          <w:rFonts w:eastAsia="Calibri" w:cs="Tahoma"/>
          <w:b/>
          <w:color w:val="000000"/>
          <w:szCs w:val="18"/>
        </w:rPr>
        <w:t>Primeiro Prazo de Renovação em ou após 1º de abril de 2015</w:t>
      </w:r>
    </w:p>
    <w:p w:rsidR="00A81E83" w:rsidRPr="000A1C8E" w:rsidRDefault="00A81E83" w:rsidP="00F94F25">
      <w:pPr>
        <w:ind w:left="720"/>
        <w:rPr>
          <w:rFonts w:cs="Tahoma"/>
        </w:rPr>
      </w:pPr>
      <w:r w:rsidRPr="000A1C8E">
        <w:rPr>
          <w:rFonts w:eastAsia="Calibri" w:cs="Tahoma"/>
          <w:color w:val="000000"/>
          <w:szCs w:val="18"/>
        </w:rPr>
        <w:t>Os clientes que renovaram primeiro a cobertura em ou depois de 1o. de abril de 2015</w:t>
      </w:r>
      <w:r w:rsidRPr="000A1C8E">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F94F25" w:rsidRPr="000A1C8E" w:rsidRDefault="00F94F25" w:rsidP="00F94F25">
      <w:pPr>
        <w:ind w:left="720"/>
        <w:rPr>
          <w:rFonts w:cs="Tahoma"/>
        </w:rPr>
      </w:pPr>
    </w:p>
    <w:p w:rsidR="00A81E83" w:rsidRPr="000A1C8E" w:rsidRDefault="00A81E83" w:rsidP="00346F4B">
      <w:pPr>
        <w:numPr>
          <w:ilvl w:val="3"/>
          <w:numId w:val="94"/>
        </w:numPr>
        <w:spacing w:after="60"/>
        <w:ind w:left="1440" w:hanging="360"/>
        <w:rPr>
          <w:rFonts w:cs="Tahoma"/>
        </w:rPr>
      </w:pPr>
      <w:r w:rsidRPr="000A1C8E">
        <w:rPr>
          <w:rFonts w:eastAsia="Calibri" w:cs="Tahoma"/>
          <w:szCs w:val="18"/>
        </w:rPr>
        <w:t>Conforme fornecido no primeiro parágrafo desta nota do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renovar o SA de acordo com os termos na seção “Primeiro Prazo de Renovação (Antes de 1</w:t>
      </w:r>
      <w:r w:rsidRPr="000A1C8E">
        <w:rPr>
          <w:rFonts w:eastAsia="Calibri" w:cs="Tahoma"/>
          <w:szCs w:val="18"/>
          <w:vertAlign w:val="superscript"/>
        </w:rPr>
        <w:t>º</w:t>
      </w:r>
      <w:r w:rsidRPr="000A1C8E">
        <w:rPr>
          <w:rFonts w:eastAsia="Calibri" w:cs="Tahoma"/>
          <w:szCs w:val="18"/>
        </w:rPr>
        <w:t xml:space="preserve"> de abril de 2015)“ acima e</w:t>
      </w:r>
    </w:p>
    <w:p w:rsidR="00A81E83" w:rsidRPr="000A1C8E" w:rsidRDefault="00A81E83" w:rsidP="00332159">
      <w:pPr>
        <w:numPr>
          <w:ilvl w:val="3"/>
          <w:numId w:val="94"/>
        </w:numPr>
        <w:spacing w:after="60"/>
        <w:ind w:left="1440" w:hanging="360"/>
        <w:rPr>
          <w:rFonts w:cs="Tahoma"/>
        </w:rPr>
      </w:pPr>
      <w:r w:rsidRPr="000A1C8E">
        <w:rPr>
          <w:rFonts w:eastAsia="Calibri" w:cs="Tahoma"/>
          <w:szCs w:val="18"/>
        </w:rPr>
        <w:lastRenderedPageBreak/>
        <w:t>Para as licenças adquiridas depois de 1</w:t>
      </w:r>
      <w:r w:rsidRPr="000A1C8E">
        <w:rPr>
          <w:rFonts w:eastAsia="Calibri" w:cs="Tahoma"/>
          <w:szCs w:val="18"/>
          <w:vertAlign w:val="superscript"/>
        </w:rPr>
        <w:t>º</w:t>
      </w:r>
      <w:r w:rsidRPr="000A1C8E">
        <w:rPr>
          <w:rFonts w:eastAsia="Calibri" w:cs="Tahoma"/>
          <w:szCs w:val="18"/>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332159" w:rsidRPr="000A1C8E">
        <w:rPr>
          <w:rFonts w:eastAsia="Calibri" w:cs="Tahoma"/>
          <w:szCs w:val="18"/>
        </w:rPr>
        <w:t> </w:t>
      </w:r>
      <w:r w:rsidRPr="000A1C8E">
        <w:rPr>
          <w:rFonts w:eastAsia="Calibri" w:cs="Tahoma"/>
          <w:szCs w:val="18"/>
        </w:rPr>
        <w:t>cliente tem que adquirir licenças principais adicionais.</w:t>
      </w:r>
    </w:p>
    <w:p w:rsidR="00A81E83" w:rsidRPr="000A1C8E" w:rsidRDefault="00A81E83" w:rsidP="00346F4B">
      <w:pPr>
        <w:numPr>
          <w:ilvl w:val="0"/>
          <w:numId w:val="50"/>
        </w:numPr>
        <w:spacing w:after="60"/>
        <w:ind w:left="1440"/>
        <w:rPr>
          <w:rFonts w:cs="Tahoma"/>
        </w:rPr>
      </w:pPr>
      <w:r w:rsidRPr="000A1C8E">
        <w:rPr>
          <w:rFonts w:eastAsia="Calibri" w:cs="Tahoma"/>
          <w:color w:val="000000"/>
          <w:szCs w:val="18"/>
        </w:rPr>
        <w:t xml:space="preserve">As licenças do processador dos clientes não são mais válidas na aquisição do Software Assurance para as licenças principais sob esta oferta. </w:t>
      </w:r>
      <w:r w:rsidRPr="000A1C8E">
        <w:rPr>
          <w:rFonts w:eastAsia="Calibri" w:cs="Tahoma"/>
          <w:szCs w:val="18"/>
        </w:rPr>
        <w:t>A opção de adquirir o Software Assurance para licenças principais do SQL Server não é aplicável à renovação de cobertura sob os programas de assinatura.</w:t>
      </w:r>
      <w:r w:rsidR="00DC6D8B" w:rsidRPr="000A1C8E">
        <w:rPr>
          <w:rFonts w:eastAsia="Calibri" w:cs="Tahoma"/>
          <w:szCs w:val="18"/>
        </w:rPr>
        <w:t xml:space="preserve"> </w:t>
      </w:r>
    </w:p>
    <w:p w:rsidR="00F94F25" w:rsidRPr="000A1C8E" w:rsidRDefault="00F94F25" w:rsidP="00F94F25">
      <w:pPr>
        <w:ind w:left="1440"/>
        <w:rPr>
          <w:rFonts w:cs="Tahoma"/>
        </w:rPr>
      </w:pPr>
    </w:p>
    <w:p w:rsidR="00204D6D" w:rsidRPr="000A1C8E" w:rsidRDefault="00A81E83" w:rsidP="00204D6D">
      <w:pPr>
        <w:tabs>
          <w:tab w:val="left" w:pos="1440"/>
        </w:tabs>
        <w:spacing w:after="60"/>
        <w:ind w:left="720"/>
        <w:rPr>
          <w:rFonts w:cs="Tahoma"/>
        </w:rPr>
      </w:pPr>
      <w:r w:rsidRPr="000A1C8E">
        <w:rPr>
          <w:rFonts w:eastAsia="Calibri" w:cs="Tahoma"/>
          <w:b/>
          <w:color w:val="000000"/>
          <w:szCs w:val="18"/>
        </w:rPr>
        <w:t>Para os clientes com cobertura de Software Assurance que expiram antes de 1º de abril de 2015 que optaram pela não renovação</w:t>
      </w:r>
    </w:p>
    <w:p w:rsidR="00A81E83" w:rsidRPr="000A1C8E" w:rsidRDefault="00A81E83" w:rsidP="00204D6D">
      <w:pPr>
        <w:tabs>
          <w:tab w:val="left" w:pos="1440"/>
        </w:tabs>
        <w:ind w:left="720"/>
        <w:rPr>
          <w:rFonts w:cs="Tahoma"/>
        </w:rPr>
      </w:pPr>
      <w:r w:rsidRPr="000A1C8E">
        <w:rPr>
          <w:rFonts w:eastAsia="Calibri" w:cs="Tahoma"/>
          <w:color w:val="000000"/>
          <w:szCs w:val="18"/>
        </w:rPr>
        <w:t xml:space="preserve">Os clientes do Enterprise Subscription </w:t>
      </w:r>
      <w:r w:rsidRPr="000A1C8E">
        <w:rPr>
          <w:rFonts w:cs="Tahoma"/>
          <w:bCs/>
          <w:color w:val="000000"/>
          <w:szCs w:val="18"/>
        </w:rPr>
        <w:t xml:space="preserve">e Open Value Subscription </w:t>
      </w:r>
      <w:r w:rsidRPr="000A1C8E">
        <w:rPr>
          <w:rFonts w:eastAsia="Calibri" w:cs="Tahoma"/>
          <w:color w:val="000000"/>
          <w:szCs w:val="18"/>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204D6D" w:rsidRPr="000A1C8E" w:rsidRDefault="00204D6D" w:rsidP="00204D6D">
      <w:pPr>
        <w:tabs>
          <w:tab w:val="left" w:pos="1440"/>
        </w:tabs>
        <w:ind w:left="720"/>
        <w:rPr>
          <w:rFonts w:cs="Tahoma"/>
        </w:rPr>
      </w:pPr>
    </w:p>
    <w:p w:rsidR="00A81E83" w:rsidRPr="000A1C8E" w:rsidRDefault="00A81E83" w:rsidP="00346F4B">
      <w:pPr>
        <w:numPr>
          <w:ilvl w:val="0"/>
          <w:numId w:val="53"/>
        </w:numPr>
        <w:spacing w:after="60"/>
        <w:ind w:left="1440"/>
        <w:rPr>
          <w:rFonts w:cs="Tahoma"/>
        </w:rPr>
      </w:pPr>
      <w:r w:rsidRPr="000A1C8E">
        <w:rPr>
          <w:rFonts w:eastAsia="Calibri" w:cs="Tahoma"/>
          <w:b/>
          <w:color w:val="000000"/>
          <w:szCs w:val="18"/>
        </w:rPr>
        <w:t>SQL Server 2008 R2 Enterprise:</w:t>
      </w:r>
      <w:r w:rsidRPr="000A1C8E">
        <w:rPr>
          <w:rFonts w:eastAsia="Calibri" w:cs="Tahoma"/>
          <w:color w:val="000000"/>
          <w:szCs w:val="18"/>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rsidR="00A81E83" w:rsidRPr="000A1C8E" w:rsidRDefault="00A81E83" w:rsidP="00346F4B">
      <w:pPr>
        <w:numPr>
          <w:ilvl w:val="0"/>
          <w:numId w:val="53"/>
        </w:numPr>
        <w:tabs>
          <w:tab w:val="left" w:pos="1800"/>
        </w:tabs>
        <w:spacing w:after="60"/>
        <w:ind w:left="1440"/>
        <w:rPr>
          <w:rFonts w:cs="Tahoma"/>
        </w:rPr>
      </w:pPr>
      <w:r w:rsidRPr="000A1C8E">
        <w:rPr>
          <w:rFonts w:eastAsia="Calibri" w:cs="Tahoma"/>
          <w:b/>
          <w:color w:val="000000"/>
          <w:szCs w:val="18"/>
        </w:rPr>
        <w:t xml:space="preserve">SQL Server 2012 Enterprise Core: </w:t>
      </w:r>
      <w:r w:rsidRPr="000A1C8E">
        <w:rPr>
          <w:rFonts w:eastAsia="Calibri" w:cs="Tahoma"/>
          <w:color w:val="000000"/>
          <w:szCs w:val="18"/>
        </w:rPr>
        <w:t xml:space="preserve">O uso desta versão do software está sujeito aos direitos de uso do produto de licença do processador do SQL Server 2008 R2 Enterprise, no entanto: </w:t>
      </w:r>
    </w:p>
    <w:p w:rsidR="00A81E83" w:rsidRPr="000A1C8E" w:rsidRDefault="00A81E83" w:rsidP="00346F4B">
      <w:pPr>
        <w:numPr>
          <w:ilvl w:val="1"/>
          <w:numId w:val="53"/>
        </w:numPr>
        <w:tabs>
          <w:tab w:val="left" w:pos="2160"/>
        </w:tabs>
        <w:spacing w:after="60"/>
        <w:ind w:left="2160"/>
        <w:rPr>
          <w:rFonts w:cs="Tahoma"/>
        </w:rPr>
      </w:pPr>
      <w:r w:rsidRPr="000A1C8E">
        <w:rPr>
          <w:rFonts w:eastAsia="Calibri" w:cs="Tahoma"/>
          <w:color w:val="000000"/>
          <w:szCs w:val="18"/>
        </w:rPr>
        <w:t xml:space="preserve">os clientes não têm mais direitos de uso de Virtualização Ilimitada, Mobilidade de Licença nos Farms de Servidores nem Mobilidade de Licença por meio de Software Assurance e </w:t>
      </w:r>
    </w:p>
    <w:p w:rsidR="00A81E83" w:rsidRPr="000A1C8E" w:rsidRDefault="00A81E83" w:rsidP="00346F4B">
      <w:pPr>
        <w:numPr>
          <w:ilvl w:val="1"/>
          <w:numId w:val="53"/>
        </w:numPr>
        <w:tabs>
          <w:tab w:val="left" w:pos="2160"/>
          <w:tab w:val="left" w:pos="2970"/>
        </w:tabs>
        <w:spacing w:after="60"/>
        <w:ind w:left="2160"/>
        <w:rPr>
          <w:rFonts w:cs="Tahoma"/>
        </w:rPr>
      </w:pPr>
      <w:r w:rsidRPr="000A1C8E">
        <w:rPr>
          <w:rFonts w:eastAsia="Calibri" w:cs="Tahoma"/>
          <w:color w:val="000000"/>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0A1C8E" w:rsidRDefault="00A81E83" w:rsidP="00346F4B">
      <w:pPr>
        <w:numPr>
          <w:ilvl w:val="2"/>
          <w:numId w:val="53"/>
        </w:numPr>
        <w:tabs>
          <w:tab w:val="left" w:pos="2520"/>
        </w:tabs>
        <w:spacing w:after="60"/>
        <w:ind w:left="2520"/>
        <w:rPr>
          <w:rFonts w:cs="Tahoma"/>
        </w:rPr>
      </w:pPr>
      <w:r w:rsidRPr="000A1C8E">
        <w:rPr>
          <w:rFonts w:eastAsia="Calibri" w:cs="Tahoma"/>
          <w:color w:val="000000"/>
          <w:szCs w:val="18"/>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0A1C8E" w:rsidRDefault="00A81E83" w:rsidP="00346F4B">
      <w:pPr>
        <w:numPr>
          <w:ilvl w:val="4"/>
          <w:numId w:val="50"/>
        </w:numPr>
        <w:tabs>
          <w:tab w:val="left" w:pos="2880"/>
        </w:tabs>
        <w:spacing w:after="60"/>
        <w:ind w:left="2880"/>
        <w:rPr>
          <w:rFonts w:cs="Tahoma"/>
        </w:rPr>
      </w:pPr>
      <w:r w:rsidRPr="000A1C8E">
        <w:rPr>
          <w:rFonts w:eastAsia="Calibri" w:cs="Tahoma"/>
          <w:color w:val="000000"/>
          <w:szCs w:val="18"/>
        </w:rPr>
        <w:t xml:space="preserve">quatro núcleos por licença de processador OU </w:t>
      </w:r>
    </w:p>
    <w:p w:rsidR="00A81E83" w:rsidRPr="000A1C8E" w:rsidRDefault="00A81E83" w:rsidP="00346F4B">
      <w:pPr>
        <w:numPr>
          <w:ilvl w:val="4"/>
          <w:numId w:val="50"/>
        </w:numPr>
        <w:tabs>
          <w:tab w:val="left" w:pos="2880"/>
        </w:tabs>
        <w:spacing w:after="60"/>
        <w:ind w:left="2880"/>
        <w:rPr>
          <w:rFonts w:cs="Tahoma"/>
        </w:rPr>
      </w:pPr>
      <w:r w:rsidRPr="000A1C8E">
        <w:rPr>
          <w:rFonts w:eastAsia="Calibri" w:cs="Tahoma"/>
          <w:color w:val="000000"/>
          <w:szCs w:val="18"/>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A81E83" w:rsidRPr="000A1C8E" w:rsidRDefault="00A81E83" w:rsidP="00346F4B">
      <w:pPr>
        <w:numPr>
          <w:ilvl w:val="2"/>
          <w:numId w:val="53"/>
        </w:numPr>
        <w:tabs>
          <w:tab w:val="left" w:pos="2520"/>
        </w:tabs>
        <w:spacing w:after="60"/>
        <w:ind w:left="2520"/>
        <w:rPr>
          <w:rFonts w:cs="Tahoma"/>
        </w:rPr>
      </w:pPr>
      <w:r w:rsidRPr="000A1C8E">
        <w:rPr>
          <w:rFonts w:eastAsia="Calibri" w:cs="Tahoma"/>
          <w:color w:val="000000"/>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0A1C8E" w:rsidRDefault="00A81E83" w:rsidP="00346F4B">
      <w:pPr>
        <w:numPr>
          <w:ilvl w:val="1"/>
          <w:numId w:val="53"/>
        </w:numPr>
        <w:tabs>
          <w:tab w:val="left" w:pos="1800"/>
        </w:tabs>
        <w:spacing w:after="60"/>
        <w:ind w:left="1800"/>
        <w:rPr>
          <w:rFonts w:cs="Tahoma"/>
        </w:rPr>
      </w:pPr>
      <w:r w:rsidRPr="000A1C8E">
        <w:rPr>
          <w:rFonts w:eastAsia="Calibri" w:cs="Tahoma"/>
          <w:color w:val="000000"/>
          <w:szCs w:val="18"/>
        </w:rPr>
        <w:t xml:space="preserve">Os Clientes </w:t>
      </w:r>
      <w:r w:rsidRPr="000A1C8E">
        <w:rPr>
          <w:rFonts w:eastAsia="Calibri" w:cs="Tahoma"/>
          <w:szCs w:val="18"/>
        </w:rPr>
        <w:t>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0A1C8E" w:rsidRDefault="00A81E83" w:rsidP="00346F4B">
      <w:pPr>
        <w:numPr>
          <w:ilvl w:val="1"/>
          <w:numId w:val="53"/>
        </w:numPr>
        <w:tabs>
          <w:tab w:val="left" w:pos="1800"/>
          <w:tab w:val="left" w:pos="2970"/>
        </w:tabs>
        <w:spacing w:after="60"/>
        <w:ind w:left="1800"/>
        <w:rPr>
          <w:rFonts w:cs="Tahoma"/>
        </w:rPr>
      </w:pPr>
      <w:r w:rsidRPr="000A1C8E">
        <w:rPr>
          <w:rFonts w:eastAsia="Calibri" w:cs="Tahoma"/>
          <w:color w:val="000000"/>
          <w:szCs w:val="18"/>
        </w:rPr>
        <w:t>A equivalência de licença principal dos clientes não implica que eles podem atribuir uma única licença de processador a núcleos por dois ou mais processadores.</w:t>
      </w:r>
    </w:p>
    <w:p w:rsidR="00204D6D" w:rsidRPr="000A1C8E" w:rsidRDefault="00204D6D" w:rsidP="00204D6D">
      <w:pPr>
        <w:tabs>
          <w:tab w:val="left" w:pos="1800"/>
          <w:tab w:val="left" w:pos="2970"/>
        </w:tabs>
        <w:rPr>
          <w:rFonts w:cs="Tahoma"/>
        </w:rPr>
      </w:pPr>
    </w:p>
    <w:p w:rsidR="00332159" w:rsidRPr="000A1C8E" w:rsidRDefault="00332159" w:rsidP="00204D6D">
      <w:pPr>
        <w:tabs>
          <w:tab w:val="left" w:pos="1800"/>
          <w:tab w:val="left" w:pos="2970"/>
        </w:tabs>
        <w:rPr>
          <w:rFonts w:cs="Tahoma"/>
        </w:rPr>
      </w:pPr>
    </w:p>
    <w:p w:rsidR="00332159" w:rsidRPr="000A1C8E" w:rsidRDefault="00332159" w:rsidP="00204D6D">
      <w:pPr>
        <w:tabs>
          <w:tab w:val="left" w:pos="1800"/>
          <w:tab w:val="left" w:pos="2970"/>
        </w:tabs>
        <w:rPr>
          <w:rFonts w:cs="Tahoma"/>
        </w:rPr>
      </w:pPr>
    </w:p>
    <w:p w:rsidR="00204D6D" w:rsidRPr="000A1C8E" w:rsidRDefault="00A81E83" w:rsidP="00204D6D">
      <w:pPr>
        <w:tabs>
          <w:tab w:val="left" w:pos="720"/>
        </w:tabs>
        <w:spacing w:after="60"/>
        <w:ind w:left="720"/>
        <w:rPr>
          <w:rFonts w:cs="Tahoma"/>
        </w:rPr>
      </w:pPr>
      <w:r w:rsidRPr="000A1C8E">
        <w:rPr>
          <w:rFonts w:eastAsia="Calibri" w:cs="Tahoma"/>
          <w:b/>
          <w:color w:val="000000"/>
          <w:szCs w:val="18"/>
        </w:rPr>
        <w:lastRenderedPageBreak/>
        <w:t>Para os clientes com cobertura de Software Assurance que expiram em ou depois de 1º de abril de 2015 que optaram pela não renovação</w:t>
      </w:r>
    </w:p>
    <w:p w:rsidR="00A81E83" w:rsidRPr="000A1C8E" w:rsidRDefault="00A81E83" w:rsidP="00204D6D">
      <w:pPr>
        <w:tabs>
          <w:tab w:val="left" w:pos="720"/>
        </w:tabs>
        <w:ind w:left="720"/>
        <w:rPr>
          <w:rFonts w:cs="Tahoma"/>
        </w:rPr>
      </w:pPr>
      <w:r w:rsidRPr="000A1C8E">
        <w:rPr>
          <w:rFonts w:eastAsia="Calibri" w:cs="Tahoma"/>
          <w:color w:val="000000"/>
          <w:szCs w:val="18"/>
        </w:rPr>
        <w:t xml:space="preserve">Os clientes do Enterprise Subscription </w:t>
      </w:r>
      <w:r w:rsidRPr="000A1C8E">
        <w:rPr>
          <w:rFonts w:cs="Tahoma"/>
          <w:bCs/>
          <w:color w:val="000000"/>
          <w:szCs w:val="18"/>
        </w:rPr>
        <w:t xml:space="preserve">e Open Value Subscription </w:t>
      </w:r>
      <w:r w:rsidRPr="000A1C8E">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rsidR="00204D6D" w:rsidRPr="000A1C8E" w:rsidRDefault="00204D6D" w:rsidP="00204D6D">
      <w:pPr>
        <w:tabs>
          <w:tab w:val="left" w:pos="720"/>
        </w:tabs>
        <w:ind w:left="720"/>
        <w:rPr>
          <w:rFonts w:cs="Tahoma"/>
          <w:sz w:val="14"/>
          <w:szCs w:val="14"/>
        </w:rPr>
      </w:pPr>
    </w:p>
    <w:p w:rsidR="00A81E83" w:rsidRPr="000A1C8E" w:rsidRDefault="00A81E83" w:rsidP="00346F4B">
      <w:pPr>
        <w:numPr>
          <w:ilvl w:val="2"/>
          <w:numId w:val="50"/>
        </w:numPr>
        <w:spacing w:after="60"/>
        <w:ind w:left="1440"/>
        <w:rPr>
          <w:rFonts w:cs="Tahoma"/>
        </w:rPr>
      </w:pPr>
      <w:r w:rsidRPr="000A1C8E">
        <w:rPr>
          <w:rFonts w:eastAsia="Calibri" w:cs="Tahoma"/>
          <w:szCs w:val="18"/>
        </w:rPr>
        <w:t>Conforme fornecido no primeiro parágrafo desta nota de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0A1C8E" w:rsidRDefault="00A81E83" w:rsidP="00346F4B">
      <w:pPr>
        <w:numPr>
          <w:ilvl w:val="2"/>
          <w:numId w:val="50"/>
        </w:numPr>
        <w:spacing w:after="60"/>
        <w:ind w:left="1440"/>
        <w:rPr>
          <w:rFonts w:cs="Tahoma"/>
        </w:rPr>
      </w:pPr>
      <w:r w:rsidRPr="000A1C8E">
        <w:rPr>
          <w:rFonts w:eastAsia="Calibri" w:cs="Tahoma"/>
          <w:szCs w:val="18"/>
        </w:rPr>
        <w:t>Para as licenças adquiridas depois de 1</w:t>
      </w:r>
      <w:r w:rsidRPr="000A1C8E">
        <w:rPr>
          <w:rFonts w:eastAsia="Calibri" w:cs="Tahoma"/>
          <w:szCs w:val="18"/>
          <w:vertAlign w:val="superscript"/>
        </w:rPr>
        <w:t>º</w:t>
      </w:r>
      <w:r w:rsidRPr="000A1C8E">
        <w:rPr>
          <w:rFonts w:eastAsia="Calibri" w:cs="Tahoma"/>
          <w:szCs w:val="18"/>
        </w:rPr>
        <w:t xml:space="preserve"> de abril de 2015, a licença do processador de clientes terá uma equivalência de núcleo de quatro licenças principais do SQL Server 2012 Enterprise. Para o uso contínuo do SQL Server 2012 em processadores que exigem mais de quatro licenças principais por processador, o cliente tem que adquirir licenças principais adicionais.</w:t>
      </w:r>
    </w:p>
    <w:p w:rsidR="00204D6D" w:rsidRPr="000A1C8E" w:rsidRDefault="00204D6D" w:rsidP="00204D6D">
      <w:pPr>
        <w:ind w:left="1440"/>
        <w:rPr>
          <w:rFonts w:cs="Tahoma"/>
          <w:sz w:val="14"/>
          <w:szCs w:val="14"/>
        </w:rPr>
      </w:pPr>
    </w:p>
    <w:p w:rsidR="00204D6D" w:rsidRPr="000A1C8E" w:rsidRDefault="00A81E83" w:rsidP="00204D6D">
      <w:pPr>
        <w:tabs>
          <w:tab w:val="left" w:pos="720"/>
        </w:tabs>
        <w:spacing w:after="60"/>
        <w:ind w:left="720"/>
        <w:rPr>
          <w:rFonts w:cs="Tahoma"/>
        </w:rPr>
      </w:pPr>
      <w:r w:rsidRPr="000A1C8E">
        <w:rPr>
          <w:rFonts w:cs="Tahoma"/>
          <w:b/>
        </w:rPr>
        <w:t>Para os clientes localizados na República Popular da</w:t>
      </w:r>
      <w:r w:rsidRPr="000A1C8E">
        <w:rPr>
          <w:rFonts w:cs="Tahoma"/>
        </w:rPr>
        <w:t xml:space="preserve"> </w:t>
      </w:r>
      <w:r w:rsidRPr="000A1C8E">
        <w:rPr>
          <w:rFonts w:cs="Tahoma"/>
          <w:b/>
        </w:rPr>
        <w:t>China e para os que estão adquirindo licenças de processador e Software Assurance para SQL Server 2008 R2</w:t>
      </w:r>
    </w:p>
    <w:p w:rsidR="00A81E83" w:rsidRPr="000A1C8E" w:rsidRDefault="00A81E83" w:rsidP="00204D6D">
      <w:pPr>
        <w:tabs>
          <w:tab w:val="left" w:pos="720"/>
        </w:tabs>
        <w:ind w:left="720"/>
        <w:rPr>
          <w:rFonts w:cs="Tahoma"/>
        </w:rPr>
      </w:pPr>
      <w:r w:rsidRPr="000A1C8E">
        <w:rPr>
          <w:rFonts w:cs="Tahoma"/>
        </w:rPr>
        <w:t>As referências a 1</w:t>
      </w:r>
      <w:r w:rsidRPr="000A1C8E">
        <w:rPr>
          <w:rFonts w:cs="Tahoma"/>
          <w:vertAlign w:val="superscript"/>
        </w:rPr>
        <w:t>º</w:t>
      </w:r>
      <w:r w:rsidRPr="000A1C8E">
        <w:rPr>
          <w:rFonts w:cs="Tahoma"/>
        </w:rPr>
        <w:t xml:space="preserve"> de abril de 2012 e 1</w:t>
      </w:r>
      <w:r w:rsidRPr="000A1C8E">
        <w:rPr>
          <w:rFonts w:cs="Tahoma"/>
          <w:vertAlign w:val="superscript"/>
        </w:rPr>
        <w:t>º</w:t>
      </w:r>
      <w:r w:rsidRPr="000A1C8E">
        <w:rPr>
          <w:rFonts w:cs="Tahoma"/>
        </w:rPr>
        <w:t xml:space="preserve"> de abril de 2015 nesta nota da lista de produtos não são aplicáveis. As datas aplicáveis para esses clientes são 1</w:t>
      </w:r>
      <w:r w:rsidRPr="000A1C8E">
        <w:rPr>
          <w:rFonts w:cs="Tahoma"/>
          <w:vertAlign w:val="superscript"/>
        </w:rPr>
        <w:t>º</w:t>
      </w:r>
      <w:r w:rsidRPr="000A1C8E">
        <w:rPr>
          <w:rFonts w:cs="Tahoma"/>
        </w:rPr>
        <w:t xml:space="preserve"> de julho de 2012 e 1</w:t>
      </w:r>
      <w:r w:rsidRPr="000A1C8E">
        <w:rPr>
          <w:rFonts w:cs="Tahoma"/>
          <w:vertAlign w:val="superscript"/>
        </w:rPr>
        <w:t>º</w:t>
      </w:r>
      <w:r w:rsidRPr="000A1C8E">
        <w:rPr>
          <w:rFonts w:cs="Tahoma"/>
        </w:rPr>
        <w:t xml:space="preserve"> de julho de 2015, respectivamente.</w:t>
      </w:r>
    </w:p>
    <w:p w:rsidR="006E28CC" w:rsidRPr="000A1C8E" w:rsidRDefault="006E28CC" w:rsidP="00204D6D">
      <w:pPr>
        <w:tabs>
          <w:tab w:val="left" w:pos="720"/>
        </w:tabs>
        <w:ind w:left="720"/>
        <w:rPr>
          <w:rFonts w:cs="Tahoma"/>
        </w:rPr>
      </w:pPr>
    </w:p>
    <w:p w:rsidR="006E28CC" w:rsidRPr="000A1C8E" w:rsidRDefault="00A560B6" w:rsidP="0081625E">
      <w:pPr>
        <w:pStyle w:val="Heading3"/>
        <w:rPr>
          <w:rFonts w:ascii="Tahoma" w:hAnsi="Tahoma" w:cs="Tahoma"/>
        </w:rPr>
      </w:pPr>
      <w:bookmarkStart w:id="1510" w:name="_80_SQL_Server"/>
      <w:bookmarkStart w:id="1511" w:name="_81_SQL_Server"/>
      <w:bookmarkStart w:id="1512" w:name="_88_SQL_Server"/>
      <w:bookmarkStart w:id="1513" w:name="_Toc361829432"/>
      <w:bookmarkEnd w:id="1510"/>
      <w:bookmarkEnd w:id="1511"/>
      <w:bookmarkEnd w:id="1512"/>
      <w:r w:rsidRPr="000A1C8E">
        <w:rPr>
          <w:rFonts w:ascii="Tahoma" w:hAnsi="Tahoma" w:cs="Tahoma"/>
          <w:caps/>
          <w:color w:val="F66400"/>
          <w:sz w:val="22"/>
          <w:vertAlign w:val="superscript"/>
        </w:rPr>
        <w:t>89</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2012 Parallel Data Warehouse</w:t>
      </w:r>
      <w:bookmarkEnd w:id="1513"/>
    </w:p>
    <w:p w:rsidR="006E28CC" w:rsidRPr="000A1C8E" w:rsidRDefault="006E28CC" w:rsidP="006E28CC">
      <w:pPr>
        <w:pStyle w:val="EndnoteText"/>
        <w:rPr>
          <w:rFonts w:ascii="Tahoma" w:hAnsi="Tahoma" w:cs="Tahoma"/>
          <w:sz w:val="14"/>
          <w:szCs w:val="14"/>
        </w:rPr>
      </w:pPr>
    </w:p>
    <w:p w:rsidR="000A30EE" w:rsidRPr="000A1C8E" w:rsidRDefault="000A30EE" w:rsidP="000A30EE">
      <w:pPr>
        <w:spacing w:after="60"/>
        <w:ind w:left="720"/>
        <w:rPr>
          <w:rFonts w:cs="Tahoma"/>
        </w:rPr>
      </w:pPr>
      <w:r w:rsidRPr="000A1C8E">
        <w:rPr>
          <w:rFonts w:eastAsia="Calibri" w:cs="Tahoma"/>
          <w:b/>
          <w:color w:val="000000"/>
          <w:szCs w:val="18"/>
        </w:rPr>
        <w:t>Outorgas de Licença Associadas à Alteração no Modelo de Licenciamento</w:t>
      </w:r>
    </w:p>
    <w:p w:rsidR="000A30EE" w:rsidRPr="000A1C8E" w:rsidRDefault="000A30EE" w:rsidP="00332159">
      <w:pPr>
        <w:ind w:left="720"/>
        <w:rPr>
          <w:rFonts w:cs="Tahoma"/>
        </w:rPr>
      </w:pPr>
      <w:r w:rsidRPr="000A1C8E">
        <w:rPr>
          <w:rFonts w:eastAsia="Calibri" w:cs="Tahoma"/>
          <w:color w:val="000000"/>
          <w:szCs w:val="18"/>
        </w:rPr>
        <w:t>O SQL Server 2008 R2 será a última versão do SQL Server Parallel Data Warehouse licenciada sob o modelo de licenciamento por processador.</w:t>
      </w:r>
      <w:r w:rsidR="00DC6D8B" w:rsidRPr="000A1C8E">
        <w:rPr>
          <w:rFonts w:eastAsia="Calibri" w:cs="Tahoma"/>
          <w:color w:val="000000"/>
          <w:szCs w:val="18"/>
        </w:rPr>
        <w:t xml:space="preserve"> </w:t>
      </w:r>
      <w:r w:rsidRPr="000A1C8E">
        <w:rPr>
          <w:rFonts w:eastAsia="Calibri" w:cs="Tahoma"/>
          <w:color w:val="000000"/>
          <w:szCs w:val="18"/>
        </w:rPr>
        <w:t>Como uma exceção, aos clientes de Licenciamento por Volume com Software Assurance ativo para licenças do processador do SQL Server 2008 R2 Parallel Data Warehouse em</w:t>
      </w:r>
      <w:r w:rsidR="00332159" w:rsidRPr="000A1C8E">
        <w:rPr>
          <w:rFonts w:eastAsia="Calibri" w:cs="Tahoma"/>
          <w:color w:val="000000"/>
          <w:szCs w:val="18"/>
        </w:rPr>
        <w:t> </w:t>
      </w:r>
      <w:r w:rsidRPr="000A1C8E">
        <w:rPr>
          <w:rFonts w:eastAsia="Calibri" w:cs="Tahoma"/>
          <w:color w:val="000000"/>
          <w:szCs w:val="18"/>
        </w:rPr>
        <w:t>1</w:t>
      </w:r>
      <w:r w:rsidRPr="000A1C8E">
        <w:rPr>
          <w:rFonts w:eastAsia="Calibri" w:cs="Tahoma"/>
          <w:color w:val="000000"/>
          <w:szCs w:val="18"/>
          <w:vertAlign w:val="superscript"/>
        </w:rPr>
        <w:t>º</w:t>
      </w:r>
      <w:r w:rsidRPr="000A1C8E">
        <w:rPr>
          <w:rFonts w:eastAsia="Calibri" w:cs="Tahoma"/>
          <w:color w:val="000000"/>
          <w:szCs w:val="18"/>
        </w:rPr>
        <w:t xml:space="preserve"> de março de 2013 (“licenças qualificadas”) são concedidas as seguintes opções. As licenças do processador do SQL Server 2008 R2 Parallel Data Warehouse </w:t>
      </w:r>
      <w:r w:rsidRPr="000A1C8E">
        <w:rPr>
          <w:rFonts w:cs="Tahoma"/>
          <w:bCs/>
          <w:color w:val="000000"/>
          <w:szCs w:val="18"/>
        </w:rPr>
        <w:t>adquiridas posteriormente no mesmo prazo de</w:t>
      </w:r>
      <w:r w:rsidR="00332159" w:rsidRPr="000A1C8E">
        <w:rPr>
          <w:rFonts w:cs="Tahoma"/>
          <w:bCs/>
          <w:color w:val="000000"/>
          <w:szCs w:val="18"/>
        </w:rPr>
        <w:t> </w:t>
      </w:r>
      <w:r w:rsidRPr="000A1C8E">
        <w:rPr>
          <w:rFonts w:cs="Tahoma"/>
          <w:bCs/>
          <w:color w:val="000000"/>
          <w:szCs w:val="18"/>
        </w:rPr>
        <w:t>registro como parte de um processo de adequação (“true-up”) programado do cliente Enterprise ou Enterprise Subscription também são “licenças de qualificação” para fins dessas opções.</w:t>
      </w:r>
    </w:p>
    <w:p w:rsidR="000A30EE" w:rsidRPr="000A1C8E" w:rsidRDefault="000A30EE" w:rsidP="000A30EE">
      <w:pPr>
        <w:ind w:left="720"/>
        <w:rPr>
          <w:rFonts w:cs="Tahoma"/>
        </w:rPr>
      </w:pPr>
    </w:p>
    <w:p w:rsidR="000A30EE" w:rsidRPr="000A1C8E" w:rsidRDefault="000A30EE" w:rsidP="00346F4B">
      <w:pPr>
        <w:numPr>
          <w:ilvl w:val="0"/>
          <w:numId w:val="53"/>
        </w:numPr>
        <w:spacing w:after="60"/>
        <w:ind w:left="1440"/>
        <w:rPr>
          <w:rFonts w:cs="Tahoma"/>
        </w:rPr>
      </w:pPr>
      <w:r w:rsidRPr="000A1C8E">
        <w:rPr>
          <w:rFonts w:eastAsia="Calibri" w:cs="Tahoma"/>
          <w:color w:val="000000"/>
          <w:szCs w:val="18"/>
        </w:rPr>
        <w:t>Para cada licença qualificada que o cliente tiver, ele poderá atualizar para 8 licenças principais para o SQL Server 2012 Parallel Data Warehouse. Na atualização para SQL Server 2012, as licenças básicas do SQL Server 2008 R2 dos clientes não serão mais válidas.</w:t>
      </w:r>
    </w:p>
    <w:p w:rsidR="000A30EE" w:rsidRPr="000A1C8E" w:rsidRDefault="000A30EE" w:rsidP="000A30EE">
      <w:pPr>
        <w:rPr>
          <w:rFonts w:cs="Tahoma"/>
        </w:rPr>
      </w:pPr>
    </w:p>
    <w:p w:rsidR="000A30EE" w:rsidRPr="000A1C8E" w:rsidRDefault="000A30EE" w:rsidP="000A30EE">
      <w:pPr>
        <w:spacing w:after="60"/>
        <w:ind w:left="720"/>
        <w:rPr>
          <w:rFonts w:cs="Tahoma"/>
        </w:rPr>
      </w:pPr>
      <w:r w:rsidRPr="000A1C8E">
        <w:rPr>
          <w:rFonts w:eastAsia="Calibri" w:cs="Tahoma"/>
          <w:b/>
          <w:color w:val="000000"/>
          <w:szCs w:val="18"/>
        </w:rPr>
        <w:t>Outorga de Licença Padrão do System Center</w:t>
      </w:r>
    </w:p>
    <w:p w:rsidR="000A30EE" w:rsidRPr="000A1C8E" w:rsidRDefault="000A30EE" w:rsidP="000A30EE">
      <w:pPr>
        <w:spacing w:after="60"/>
        <w:ind w:left="720"/>
        <w:rPr>
          <w:rFonts w:cs="Tahoma"/>
        </w:rPr>
      </w:pPr>
      <w:r w:rsidRPr="000A1C8E">
        <w:rPr>
          <w:rFonts w:eastAsia="Calibri" w:cs="Tahoma"/>
          <w:color w:val="000000"/>
          <w:szCs w:val="18"/>
        </w:rPr>
        <w:t>Os clientes que também estão atualizando para o SQL Server 2012 Parallel Data Warehouse de acordo com as licenças de qualificação estarão qualificados para as outorgas de licença do System Center a seguir mediante sua atualização para o SQL Server 2012 Parallel Data Warehouse:</w:t>
      </w:r>
    </w:p>
    <w:p w:rsidR="000A30EE" w:rsidRPr="000A1C8E" w:rsidRDefault="000A30EE" w:rsidP="00346F4B">
      <w:pPr>
        <w:numPr>
          <w:ilvl w:val="0"/>
          <w:numId w:val="53"/>
        </w:numPr>
        <w:spacing w:after="60"/>
        <w:ind w:left="1440"/>
        <w:rPr>
          <w:rFonts w:cs="Tahoma"/>
        </w:rPr>
      </w:pPr>
      <w:r w:rsidRPr="000A1C8E">
        <w:rPr>
          <w:rFonts w:eastAsia="Calibri" w:cs="Tahoma"/>
          <w:color w:val="000000"/>
          <w:szCs w:val="18"/>
        </w:rPr>
        <w:t>Uma licença Padrão do System Center 2012 por servidor para cada servidor que esteja executando o software SQL Server 2012 Parallel Data Warehouse</w:t>
      </w:r>
    </w:p>
    <w:p w:rsidR="000A30EE" w:rsidRPr="000A1C8E" w:rsidRDefault="000A30EE" w:rsidP="00346F4B">
      <w:pPr>
        <w:numPr>
          <w:ilvl w:val="0"/>
          <w:numId w:val="53"/>
        </w:numPr>
        <w:spacing w:after="60"/>
        <w:ind w:left="1440"/>
        <w:rPr>
          <w:rFonts w:cs="Tahoma"/>
        </w:rPr>
      </w:pPr>
      <w:r w:rsidRPr="000A1C8E">
        <w:rPr>
          <w:rFonts w:eastAsia="Calibri" w:cs="Tahoma"/>
          <w:color w:val="000000"/>
          <w:szCs w:val="18"/>
        </w:rPr>
        <w:t>Duas licenças Padrão do System Center 2012 por servidor para todos os outros servidores no SQL Server 2012 Parallel Data Warehouse Appliance.</w:t>
      </w:r>
    </w:p>
    <w:p w:rsidR="000A30EE" w:rsidRPr="000A1C8E" w:rsidRDefault="000A30EE" w:rsidP="000A30EE">
      <w:pPr>
        <w:spacing w:after="60"/>
        <w:ind w:firstLine="720"/>
        <w:rPr>
          <w:rFonts w:cs="Tahoma"/>
        </w:rPr>
      </w:pPr>
      <w:r w:rsidRPr="000A1C8E">
        <w:rPr>
          <w:rFonts w:eastAsia="Calibri" w:cs="Tahoma"/>
          <w:color w:val="000000"/>
          <w:szCs w:val="18"/>
        </w:rPr>
        <w:t>O software poderá ser usado unicamente para oferecer suporte ao SQL Server 2012 Parallel Data Warehouse Appliance.</w:t>
      </w:r>
    </w:p>
    <w:p w:rsidR="000A30EE" w:rsidRPr="000A1C8E" w:rsidRDefault="000A30EE" w:rsidP="000A30EE">
      <w:pPr>
        <w:spacing w:after="60"/>
        <w:ind w:firstLine="720"/>
        <w:rPr>
          <w:rFonts w:cs="Tahoma"/>
          <w:sz w:val="14"/>
          <w:szCs w:val="14"/>
        </w:rPr>
      </w:pPr>
    </w:p>
    <w:p w:rsidR="000A30EE" w:rsidRPr="000A1C8E" w:rsidRDefault="000A30EE" w:rsidP="000A30EE">
      <w:pPr>
        <w:tabs>
          <w:tab w:val="left" w:pos="1440"/>
        </w:tabs>
        <w:spacing w:after="60"/>
        <w:ind w:left="720"/>
        <w:rPr>
          <w:rFonts w:cs="Tahoma"/>
        </w:rPr>
      </w:pPr>
      <w:r w:rsidRPr="000A1C8E">
        <w:rPr>
          <w:rFonts w:eastAsia="Calibri" w:cs="Tahoma"/>
          <w:b/>
          <w:color w:val="000000"/>
          <w:szCs w:val="18"/>
        </w:rPr>
        <w:t>Para os clientes com Software Assurance que optaram pela não renovação</w:t>
      </w:r>
    </w:p>
    <w:p w:rsidR="000A30EE" w:rsidRPr="000A1C8E" w:rsidRDefault="000A30EE" w:rsidP="000A30EE">
      <w:pPr>
        <w:tabs>
          <w:tab w:val="left" w:pos="1440"/>
        </w:tabs>
        <w:ind w:left="720"/>
        <w:rPr>
          <w:rFonts w:cs="Tahoma"/>
        </w:rPr>
      </w:pPr>
      <w:r w:rsidRPr="000A1C8E">
        <w:rPr>
          <w:rFonts w:eastAsia="Calibri" w:cs="Tahoma"/>
          <w:color w:val="000000"/>
          <w:szCs w:val="18"/>
        </w:rPr>
        <w:t>Os clientes do Enterprise Subscription com cobertura a partir de 1</w:t>
      </w:r>
      <w:r w:rsidRPr="000A1C8E">
        <w:rPr>
          <w:rFonts w:eastAsia="Calibri" w:cs="Tahoma"/>
          <w:color w:val="000000"/>
          <w:szCs w:val="18"/>
          <w:vertAlign w:val="superscript"/>
        </w:rPr>
        <w:t>º</w:t>
      </w:r>
      <w:r w:rsidRPr="000A1C8E">
        <w:rPr>
          <w:rFonts w:eastAsia="Calibri" w:cs="Tahoma"/>
          <w:color w:val="000000"/>
          <w:szCs w:val="18"/>
        </w:rPr>
        <w:t xml:space="preserve"> de março de 2013 que optarem por comprar licenças de processador e quaisquer outros clientes que adquirirem licenças de qualificação perpétuas sob este contrato e optarem por não renovar o Software Assurance poderão executar o SQL Server 2008 R2 ou SQL Server 2012 sob essas licenças da seguinte forma:</w:t>
      </w:r>
    </w:p>
    <w:p w:rsidR="000A30EE" w:rsidRPr="000A1C8E" w:rsidRDefault="000A30EE" w:rsidP="000A30EE">
      <w:pPr>
        <w:tabs>
          <w:tab w:val="left" w:pos="1440"/>
        </w:tabs>
        <w:ind w:left="720"/>
        <w:rPr>
          <w:rFonts w:cs="Tahoma"/>
          <w:sz w:val="14"/>
          <w:szCs w:val="14"/>
        </w:rPr>
      </w:pPr>
    </w:p>
    <w:p w:rsidR="000A30EE" w:rsidRPr="000A1C8E" w:rsidRDefault="000A30EE" w:rsidP="00346F4B">
      <w:pPr>
        <w:numPr>
          <w:ilvl w:val="0"/>
          <w:numId w:val="53"/>
        </w:numPr>
        <w:spacing w:after="60"/>
        <w:ind w:left="1440"/>
        <w:rPr>
          <w:rFonts w:cs="Tahoma"/>
        </w:rPr>
      </w:pPr>
      <w:r w:rsidRPr="000A1C8E">
        <w:rPr>
          <w:rFonts w:eastAsia="Calibri" w:cs="Tahoma"/>
          <w:b/>
          <w:color w:val="000000"/>
          <w:szCs w:val="18"/>
        </w:rPr>
        <w:t>SQL Server 2008 R2 Parallel Data Warehouse:</w:t>
      </w:r>
      <w:r w:rsidRPr="000A1C8E">
        <w:rPr>
          <w:rFonts w:eastAsia="Calibri" w:cs="Tahoma"/>
          <w:color w:val="000000"/>
          <w:szCs w:val="18"/>
        </w:rPr>
        <w:t xml:space="preserve"> O uso contínuo do referido software está sujeito aos direitos de uso do produto de licença do SQL Server 2008 R2. </w:t>
      </w:r>
    </w:p>
    <w:p w:rsidR="000A30EE" w:rsidRPr="000A1C8E" w:rsidRDefault="000A30EE" w:rsidP="00346F4B">
      <w:pPr>
        <w:numPr>
          <w:ilvl w:val="0"/>
          <w:numId w:val="53"/>
        </w:numPr>
        <w:tabs>
          <w:tab w:val="left" w:pos="1800"/>
        </w:tabs>
        <w:spacing w:after="60"/>
        <w:ind w:left="1440"/>
        <w:rPr>
          <w:rFonts w:cs="Tahoma"/>
        </w:rPr>
      </w:pPr>
      <w:r w:rsidRPr="000A1C8E">
        <w:rPr>
          <w:rFonts w:eastAsia="Calibri" w:cs="Tahoma"/>
          <w:b/>
          <w:color w:val="000000"/>
          <w:szCs w:val="18"/>
        </w:rPr>
        <w:t xml:space="preserve">SQL Server 2012 Parallel Data Warehouse: </w:t>
      </w:r>
      <w:r w:rsidRPr="000A1C8E">
        <w:rPr>
          <w:rFonts w:eastAsia="Calibri" w:cs="Tahoma"/>
          <w:color w:val="000000"/>
          <w:szCs w:val="18"/>
        </w:rPr>
        <w:t xml:space="preserve">O uso desta versão do software está sujeito aos direitos de uso do produto do SQL Server 2012 Parallel Data Warehouse. </w:t>
      </w:r>
    </w:p>
    <w:p w:rsidR="000A30EE" w:rsidRPr="000A1C8E" w:rsidRDefault="000A30EE" w:rsidP="000A30EE">
      <w:pPr>
        <w:ind w:left="720"/>
        <w:rPr>
          <w:rFonts w:cs="Tahoma"/>
        </w:rPr>
      </w:pPr>
      <w:r w:rsidRPr="000A1C8E">
        <w:rPr>
          <w:rFonts w:cs="Tahoma"/>
          <w:color w:val="000000"/>
          <w:szCs w:val="24"/>
        </w:rPr>
        <w:lastRenderedPageBreak/>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rsidR="000A30EE" w:rsidRPr="000A1C8E" w:rsidRDefault="000A30EE" w:rsidP="000A30EE">
      <w:pPr>
        <w:ind w:left="720"/>
        <w:rPr>
          <w:rFonts w:cs="Tahoma"/>
        </w:rPr>
      </w:pPr>
    </w:p>
    <w:p w:rsidR="000A30EE" w:rsidRPr="000A1C8E" w:rsidRDefault="000A30EE" w:rsidP="000A30EE">
      <w:pPr>
        <w:ind w:left="720"/>
        <w:rPr>
          <w:rFonts w:cs="Tahoma"/>
        </w:rPr>
      </w:pPr>
      <w:r w:rsidRPr="000A1C8E">
        <w:rPr>
          <w:rFonts w:cs="Tahoma"/>
          <w:color w:val="000000"/>
          <w:szCs w:val="24"/>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 licenças outorgadas sob esta oferta separadamente das licenças qualificadas correspondentes.</w:t>
      </w:r>
    </w:p>
    <w:p w:rsidR="00A81E83" w:rsidRPr="000A1C8E" w:rsidRDefault="00A81E83" w:rsidP="00C321B6">
      <w:pPr>
        <w:tabs>
          <w:tab w:val="left" w:pos="2970"/>
        </w:tabs>
        <w:ind w:left="1440"/>
        <w:rPr>
          <w:rFonts w:cs="Tahoma"/>
        </w:rPr>
      </w:pPr>
      <w:bookmarkStart w:id="1514" w:name="Srv_90SQLServer2012Standard"/>
    </w:p>
    <w:p w:rsidR="004815F3" w:rsidRPr="000A1C8E" w:rsidRDefault="004815F3" w:rsidP="00C321B6">
      <w:pPr>
        <w:tabs>
          <w:tab w:val="left" w:pos="2970"/>
        </w:tabs>
        <w:ind w:left="1440"/>
        <w:rPr>
          <w:rFonts w:cs="Tahoma"/>
        </w:rPr>
      </w:pPr>
    </w:p>
    <w:p w:rsidR="00A81E83" w:rsidRPr="000A1C8E" w:rsidRDefault="00A560B6" w:rsidP="00EF5637">
      <w:pPr>
        <w:pStyle w:val="Heading3"/>
        <w:rPr>
          <w:rFonts w:ascii="Tahoma" w:hAnsi="Tahoma" w:cs="Tahoma"/>
        </w:rPr>
      </w:pPr>
      <w:bookmarkStart w:id="1515" w:name="_82_SQL_Server®"/>
      <w:bookmarkStart w:id="1516" w:name="_89_SQL_Server®"/>
      <w:bookmarkStart w:id="1517" w:name="_Toc336338348"/>
      <w:bookmarkStart w:id="1518" w:name="_Toc361829433"/>
      <w:bookmarkEnd w:id="1515"/>
      <w:bookmarkEnd w:id="1516"/>
      <w:r w:rsidRPr="000A1C8E">
        <w:rPr>
          <w:rFonts w:ascii="Tahoma" w:hAnsi="Tahoma" w:cs="Tahoma"/>
          <w:caps/>
          <w:color w:val="F66400"/>
          <w:sz w:val="22"/>
          <w:vertAlign w:val="superscript"/>
        </w:rPr>
        <w:t>90</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2012 Standard</w:t>
      </w:r>
      <w:bookmarkEnd w:id="1517"/>
      <w:bookmarkEnd w:id="1518"/>
      <w:r w:rsidRPr="000A1C8E">
        <w:rPr>
          <w:rFonts w:ascii="Tahoma" w:hAnsi="Tahoma" w:cs="Tahoma"/>
          <w:color w:val="F66400"/>
          <w:sz w:val="22"/>
        </w:rPr>
        <w:t xml:space="preserve"> </w:t>
      </w:r>
    </w:p>
    <w:bookmarkEnd w:id="1514"/>
    <w:p w:rsidR="00A81E83" w:rsidRPr="000A1C8E" w:rsidRDefault="00A81E83" w:rsidP="00204D6D">
      <w:pPr>
        <w:pStyle w:val="EndnoteText"/>
        <w:ind w:left="0"/>
        <w:rPr>
          <w:rFonts w:ascii="Tahoma" w:hAnsi="Tahoma" w:cs="Tahoma"/>
        </w:rPr>
      </w:pPr>
    </w:p>
    <w:p w:rsidR="00A81E83" w:rsidRPr="000A1C8E" w:rsidRDefault="00A81E83" w:rsidP="00332159">
      <w:pPr>
        <w:ind w:left="720"/>
        <w:rPr>
          <w:rFonts w:cs="Tahoma"/>
        </w:rPr>
      </w:pPr>
      <w:r w:rsidRPr="000A1C8E">
        <w:rPr>
          <w:rFonts w:eastAsia="Calibri" w:cs="Tahoma"/>
          <w:szCs w:val="18"/>
        </w:rPr>
        <w:t>O SQL Server 2012 Standard é a próxima versão do SQL Server Standard, e a CAL do SQL Server 2012 é</w:t>
      </w:r>
      <w:r w:rsidR="00332159" w:rsidRPr="000A1C8E">
        <w:rPr>
          <w:rFonts w:eastAsia="Calibri" w:cs="Tahoma"/>
          <w:szCs w:val="18"/>
        </w:rPr>
        <w:t> </w:t>
      </w:r>
      <w:r w:rsidRPr="000A1C8E">
        <w:rPr>
          <w:rFonts w:eastAsia="Calibri" w:cs="Tahoma"/>
          <w:szCs w:val="18"/>
        </w:rPr>
        <w:t>a</w:t>
      </w:r>
      <w:r w:rsidR="00332159" w:rsidRPr="000A1C8E">
        <w:rPr>
          <w:rFonts w:eastAsia="Calibri" w:cs="Tahoma"/>
          <w:szCs w:val="18"/>
        </w:rPr>
        <w:t> </w:t>
      </w:r>
      <w:r w:rsidRPr="000A1C8E">
        <w:rPr>
          <w:rFonts w:eastAsia="Calibri" w:cs="Tahoma"/>
          <w:szCs w:val="18"/>
        </w:rPr>
        <w:t>próxima versão da CAL do SQL Server.</w:t>
      </w:r>
    </w:p>
    <w:p w:rsidR="00204D6D" w:rsidRPr="000A1C8E" w:rsidRDefault="00204D6D" w:rsidP="00204D6D">
      <w:pPr>
        <w:ind w:left="720"/>
        <w:rPr>
          <w:rFonts w:cs="Tahoma"/>
        </w:rPr>
      </w:pPr>
    </w:p>
    <w:p w:rsidR="00204D6D" w:rsidRPr="000A1C8E" w:rsidRDefault="00204D6D" w:rsidP="00204D6D">
      <w:pPr>
        <w:ind w:left="720"/>
        <w:rPr>
          <w:rFonts w:cs="Tahoma"/>
        </w:rPr>
      </w:pPr>
    </w:p>
    <w:p w:rsidR="00A81E83" w:rsidRPr="000A1C8E" w:rsidRDefault="00A560B6" w:rsidP="00EF5637">
      <w:pPr>
        <w:pStyle w:val="Heading3"/>
        <w:rPr>
          <w:rFonts w:ascii="Tahoma" w:hAnsi="Tahoma" w:cs="Tahoma"/>
        </w:rPr>
      </w:pPr>
      <w:bookmarkStart w:id="1519" w:name="_85_83_SQL"/>
      <w:bookmarkStart w:id="1520" w:name="_90_SQL_Server®"/>
      <w:bookmarkStart w:id="1521" w:name="_91_SQL_Server®"/>
      <w:bookmarkStart w:id="1522" w:name="_Toc336338349"/>
      <w:bookmarkStart w:id="1523" w:name="_Toc361829434"/>
      <w:bookmarkStart w:id="1524" w:name="Srv_91SQLServer2012StandardCore"/>
      <w:bookmarkEnd w:id="1519"/>
      <w:bookmarkEnd w:id="1520"/>
      <w:bookmarkEnd w:id="1521"/>
      <w:r w:rsidRPr="000A1C8E">
        <w:rPr>
          <w:rFonts w:ascii="Tahoma" w:hAnsi="Tahoma" w:cs="Tahoma"/>
          <w:caps/>
          <w:color w:val="F66400"/>
          <w:sz w:val="22"/>
          <w:vertAlign w:val="superscript"/>
        </w:rPr>
        <w:t>91</w:t>
      </w:r>
      <w:r w:rsidRPr="000A1C8E">
        <w:rPr>
          <w:rFonts w:ascii="Tahoma" w:hAnsi="Tahoma" w:cs="Tahoma"/>
          <w:color w:val="F66400"/>
          <w:sz w:val="22"/>
        </w:rPr>
        <w:t xml:space="preserve"> SQL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2012 Standard</w:t>
      </w:r>
      <w:r w:rsidRPr="000A1C8E">
        <w:rPr>
          <w:rFonts w:ascii="Tahoma" w:eastAsia="Calibri" w:hAnsi="Tahoma" w:cs="Tahoma"/>
          <w:color w:val="F66400"/>
          <w:sz w:val="22"/>
          <w:szCs w:val="18"/>
        </w:rPr>
        <w:t xml:space="preserve"> Core</w:t>
      </w:r>
      <w:bookmarkEnd w:id="1522"/>
      <w:bookmarkEnd w:id="1523"/>
    </w:p>
    <w:bookmarkEnd w:id="1524"/>
    <w:p w:rsidR="00A81E83" w:rsidRPr="000A1C8E" w:rsidRDefault="00A81E83" w:rsidP="0026723A">
      <w:pPr>
        <w:rPr>
          <w:rFonts w:cs="Tahoma"/>
        </w:rPr>
      </w:pPr>
    </w:p>
    <w:p w:rsidR="0026723A" w:rsidRPr="000A1C8E" w:rsidRDefault="00A81E83" w:rsidP="0026723A">
      <w:pPr>
        <w:spacing w:after="60"/>
        <w:ind w:left="720"/>
        <w:rPr>
          <w:rFonts w:cs="Tahoma"/>
        </w:rPr>
      </w:pPr>
      <w:r w:rsidRPr="000A1C8E">
        <w:rPr>
          <w:rFonts w:eastAsia="Calibri" w:cs="Tahoma"/>
          <w:b/>
          <w:szCs w:val="18"/>
        </w:rPr>
        <w:t>Outorgas de Licença Associadas à Alteração no Modelo de Licenciamento</w:t>
      </w:r>
    </w:p>
    <w:p w:rsidR="00A81E83" w:rsidRPr="000A1C8E" w:rsidRDefault="00A81E83" w:rsidP="00332159">
      <w:pPr>
        <w:ind w:left="720"/>
        <w:rPr>
          <w:rFonts w:cs="Tahoma"/>
          <w:spacing w:val="-2"/>
        </w:rPr>
      </w:pPr>
      <w:r w:rsidRPr="000A1C8E">
        <w:rPr>
          <w:rFonts w:eastAsia="Calibri" w:cs="Tahoma"/>
          <w:color w:val="000000"/>
          <w:spacing w:val="-2"/>
          <w:szCs w:val="18"/>
        </w:rPr>
        <w:t>O SQL Server 2008 R2 será a última versão do SQL Server licenciada sob o modelo de licenciamento por processador.</w:t>
      </w:r>
      <w:r w:rsidR="00DC6D8B" w:rsidRPr="000A1C8E">
        <w:rPr>
          <w:rFonts w:eastAsia="Calibri" w:cs="Tahoma"/>
          <w:color w:val="000000"/>
          <w:spacing w:val="-2"/>
          <w:szCs w:val="18"/>
        </w:rPr>
        <w:t xml:space="preserve"> </w:t>
      </w:r>
      <w:r w:rsidRPr="000A1C8E">
        <w:rPr>
          <w:rFonts w:eastAsia="Calibri" w:cs="Tahoma"/>
          <w:color w:val="000000"/>
          <w:spacing w:val="-2"/>
          <w:szCs w:val="18"/>
        </w:rPr>
        <w:t>Como uma exceção, aos clientes de Licenciamento por Volume com Software Assurance ativo</w:t>
      </w:r>
      <w:r w:rsidR="00332159" w:rsidRPr="000A1C8E">
        <w:rPr>
          <w:rFonts w:eastAsia="Calibri" w:cs="Tahoma"/>
          <w:color w:val="000000"/>
          <w:spacing w:val="-2"/>
          <w:szCs w:val="18"/>
        </w:rPr>
        <w:t> </w:t>
      </w:r>
      <w:r w:rsidRPr="000A1C8E">
        <w:rPr>
          <w:rFonts w:eastAsia="Calibri" w:cs="Tahoma"/>
          <w:color w:val="000000"/>
          <w:spacing w:val="-2"/>
          <w:szCs w:val="18"/>
        </w:rPr>
        <w:t xml:space="preserve">para licenças do processador do SQL Server 2008 R2 Standard em 1º de abril de 2012 (“licenças qualificadas”) são concedidas as seguintes opções. As licenças do processador do SQL Server 2008 R2 Standard </w:t>
      </w:r>
      <w:r w:rsidRPr="000A1C8E">
        <w:rPr>
          <w:rFonts w:cs="Tahoma"/>
          <w:bCs/>
          <w:color w:val="000000"/>
          <w:spacing w:val="-2"/>
          <w:szCs w:val="18"/>
        </w:rPr>
        <w:t>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DC6D8B" w:rsidRPr="000A1C8E">
        <w:rPr>
          <w:rFonts w:cs="Tahoma"/>
          <w:bCs/>
          <w:color w:val="000000"/>
          <w:spacing w:val="-2"/>
          <w:szCs w:val="18"/>
        </w:rPr>
        <w:t xml:space="preserve"> </w:t>
      </w:r>
      <w:r w:rsidRPr="000A1C8E">
        <w:rPr>
          <w:rFonts w:cs="Tahoma"/>
          <w:bCs/>
          <w:color w:val="000000"/>
          <w:spacing w:val="-2"/>
          <w:szCs w:val="18"/>
        </w:rPr>
        <w:t>As licenças adquiridas depois de 1º de abril de 2015 ou sob um prazo de registro subsequente, um contrato separado ou qualquer registro com uma data de início de vigência após 1º de abril de 2012 não são licenças qualificadas.</w:t>
      </w:r>
    </w:p>
    <w:p w:rsidR="0026723A" w:rsidRPr="000A1C8E" w:rsidRDefault="0026723A" w:rsidP="0026723A">
      <w:pPr>
        <w:ind w:left="720"/>
        <w:rPr>
          <w:rFonts w:cs="Tahoma"/>
        </w:rPr>
      </w:pPr>
    </w:p>
    <w:p w:rsidR="0026723A" w:rsidRPr="000A1C8E" w:rsidRDefault="0026723A" w:rsidP="0026723A">
      <w:pPr>
        <w:spacing w:after="60"/>
        <w:ind w:left="720"/>
        <w:rPr>
          <w:rFonts w:cs="Tahoma"/>
        </w:rPr>
      </w:pPr>
      <w:r w:rsidRPr="000A1C8E">
        <w:rPr>
          <w:rFonts w:eastAsia="Calibri" w:cs="Tahoma"/>
          <w:b/>
          <w:szCs w:val="18"/>
        </w:rPr>
        <w:t>Prazo Atual</w:t>
      </w:r>
    </w:p>
    <w:p w:rsidR="00A81E83" w:rsidRPr="000A1C8E" w:rsidRDefault="00A81E83" w:rsidP="0026723A">
      <w:pPr>
        <w:ind w:left="720"/>
        <w:rPr>
          <w:rFonts w:cs="Tahoma"/>
        </w:rPr>
      </w:pPr>
      <w:r w:rsidRPr="000A1C8E">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Standard Core em vez do SQL Server 2008 R2 Standard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DC6D8B" w:rsidRPr="000A1C8E">
        <w:rPr>
          <w:rFonts w:eastAsia="Calibri" w:cs="Tahoma"/>
          <w:szCs w:val="18"/>
        </w:rPr>
        <w:t xml:space="preserve"> </w:t>
      </w:r>
      <w:r w:rsidRPr="000A1C8E">
        <w:rPr>
          <w:rFonts w:eastAsia="Calibri" w:cs="Tahoma"/>
          <w:szCs w:val="18"/>
        </w:rPr>
        <w:t>Os clientes devem consultar os Direitos de Uso do Produto para SQL Server 2012 Standard Core quanto aos termos de licença para Mobilidade de Licença.</w:t>
      </w:r>
    </w:p>
    <w:p w:rsidR="0026723A" w:rsidRPr="000A1C8E" w:rsidRDefault="0026723A" w:rsidP="0026723A">
      <w:pPr>
        <w:ind w:left="720"/>
        <w:rPr>
          <w:rFonts w:cs="Tahoma"/>
        </w:rPr>
      </w:pPr>
    </w:p>
    <w:p w:rsidR="0026723A" w:rsidRPr="000A1C8E" w:rsidRDefault="00A81E83" w:rsidP="0026723A">
      <w:pPr>
        <w:spacing w:after="60"/>
        <w:ind w:left="720"/>
        <w:rPr>
          <w:rFonts w:cs="Tahoma"/>
        </w:rPr>
      </w:pPr>
      <w:r w:rsidRPr="000A1C8E">
        <w:rPr>
          <w:rFonts w:eastAsia="Calibri" w:cs="Tahoma"/>
          <w:b/>
          <w:szCs w:val="18"/>
        </w:rPr>
        <w:t>Primeiro Prazo de Renovação (antes de 1º de abril de 2015)</w:t>
      </w:r>
    </w:p>
    <w:p w:rsidR="00A81E83" w:rsidRPr="000A1C8E" w:rsidRDefault="00A81E83" w:rsidP="00332159">
      <w:pPr>
        <w:ind w:left="720"/>
        <w:rPr>
          <w:rFonts w:cs="Tahoma"/>
        </w:rPr>
      </w:pPr>
      <w:r w:rsidRPr="000A1C8E">
        <w:rPr>
          <w:rFonts w:eastAsia="Calibri" w:cs="Tahoma"/>
          <w:szCs w:val="18"/>
        </w:rPr>
        <w:t>Na sua primeira renovação de Software Assurance em ou depois de 1º de abril de 2012 (mas antes de 1º de abril de 2015), para cada servidor que um cliente tiver licenciado corretamente sob os direitos de uso do</w:t>
      </w:r>
      <w:r w:rsidR="00332159" w:rsidRPr="000A1C8E">
        <w:rPr>
          <w:rFonts w:eastAsia="Calibri" w:cs="Tahoma"/>
          <w:szCs w:val="18"/>
        </w:rPr>
        <w:t> </w:t>
      </w:r>
      <w:r w:rsidRPr="000A1C8E">
        <w:rPr>
          <w:rFonts w:eastAsia="Calibri" w:cs="Tahoma"/>
          <w:szCs w:val="18"/>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26723A" w:rsidRPr="000A1C8E" w:rsidRDefault="0026723A" w:rsidP="0026723A">
      <w:pPr>
        <w:ind w:left="720"/>
        <w:rPr>
          <w:rFonts w:cs="Tahoma"/>
        </w:rPr>
      </w:pPr>
    </w:p>
    <w:p w:rsidR="0026723A" w:rsidRPr="000A1C8E" w:rsidRDefault="00A81E83" w:rsidP="00346F4B">
      <w:pPr>
        <w:numPr>
          <w:ilvl w:val="0"/>
          <w:numId w:val="119"/>
        </w:numPr>
        <w:tabs>
          <w:tab w:val="left" w:pos="1440"/>
        </w:tabs>
        <w:spacing w:after="60"/>
        <w:ind w:left="1440"/>
        <w:rPr>
          <w:rFonts w:cs="Tahoma"/>
        </w:rPr>
      </w:pPr>
      <w:r w:rsidRPr="000A1C8E">
        <w:rPr>
          <w:rFonts w:eastAsia="Calibri" w:cs="Tahoma"/>
          <w:szCs w:val="18"/>
        </w:rPr>
        <w:t xml:space="preserve">um número igual ao menor número de licenças qualificadas atribuído ao servidor ou o número total de processadores físicos no servidor multiplicado pelo maior de: </w:t>
      </w:r>
    </w:p>
    <w:p w:rsidR="00A81E83" w:rsidRPr="000A1C8E" w:rsidRDefault="00A81E83" w:rsidP="00346F4B">
      <w:pPr>
        <w:numPr>
          <w:ilvl w:val="3"/>
          <w:numId w:val="57"/>
        </w:numPr>
        <w:spacing w:after="60"/>
        <w:ind w:left="1800"/>
        <w:rPr>
          <w:rFonts w:cs="Tahoma"/>
        </w:rPr>
      </w:pPr>
      <w:r w:rsidRPr="000A1C8E">
        <w:rPr>
          <w:rFonts w:eastAsia="Calibri" w:cs="Tahoma"/>
          <w:szCs w:val="18"/>
        </w:rPr>
        <w:t>Quatro OU</w:t>
      </w:r>
    </w:p>
    <w:p w:rsidR="00332159" w:rsidRPr="000A1C8E" w:rsidRDefault="00332159" w:rsidP="00332159">
      <w:pPr>
        <w:spacing w:after="60"/>
        <w:ind w:left="1800"/>
        <w:rPr>
          <w:rFonts w:eastAsia="Calibri" w:cs="Tahoma"/>
          <w:szCs w:val="18"/>
        </w:rPr>
      </w:pPr>
    </w:p>
    <w:p w:rsidR="00332159" w:rsidRPr="000A1C8E" w:rsidRDefault="00332159" w:rsidP="00332159">
      <w:pPr>
        <w:spacing w:after="60"/>
        <w:ind w:left="1800"/>
        <w:rPr>
          <w:rFonts w:eastAsia="Calibri" w:cs="Tahoma"/>
          <w:szCs w:val="18"/>
        </w:rPr>
      </w:pPr>
    </w:p>
    <w:p w:rsidR="00332159" w:rsidRPr="000A1C8E" w:rsidRDefault="00332159" w:rsidP="00332159">
      <w:pPr>
        <w:spacing w:after="60"/>
        <w:ind w:left="1800"/>
        <w:rPr>
          <w:rFonts w:cs="Tahoma"/>
        </w:rPr>
      </w:pPr>
    </w:p>
    <w:p w:rsidR="00A81E83" w:rsidRPr="000A1C8E" w:rsidRDefault="00A81E83" w:rsidP="00346F4B">
      <w:pPr>
        <w:numPr>
          <w:ilvl w:val="3"/>
          <w:numId w:val="57"/>
        </w:numPr>
        <w:spacing w:after="60"/>
        <w:ind w:left="1800"/>
        <w:rPr>
          <w:rFonts w:cs="Tahoma"/>
        </w:rPr>
      </w:pPr>
      <w:r w:rsidRPr="000A1C8E">
        <w:rPr>
          <w:rFonts w:eastAsia="Calibri" w:cs="Tahoma"/>
          <w:szCs w:val="18"/>
        </w:rPr>
        <w:lastRenderedPageBreak/>
        <w:t>o número real de núcleos por processador físico multiplicado pelo fator do núcleo apropriado.</w:t>
      </w:r>
      <w:r w:rsidR="00DC6D8B" w:rsidRPr="000A1C8E">
        <w:rPr>
          <w:rFonts w:eastAsia="Calibri" w:cs="Tahoma"/>
          <w:szCs w:val="18"/>
        </w:rPr>
        <w:t xml:space="preserve"> </w:t>
      </w:r>
      <w:r w:rsidRPr="000A1C8E">
        <w:rPr>
          <w:rFonts w:eastAsia="Calibri" w:cs="Tahoma"/>
          <w:szCs w:val="18"/>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0A1C8E" w:rsidRDefault="00A81E83" w:rsidP="00346F4B">
      <w:pPr>
        <w:numPr>
          <w:ilvl w:val="0"/>
          <w:numId w:val="119"/>
        </w:numPr>
        <w:tabs>
          <w:tab w:val="left" w:pos="1440"/>
        </w:tabs>
        <w:spacing w:after="60"/>
        <w:ind w:left="1440"/>
        <w:rPr>
          <w:rFonts w:cs="Tahoma"/>
        </w:rPr>
      </w:pPr>
      <w:r w:rsidRPr="000A1C8E">
        <w:rPr>
          <w:rFonts w:eastAsia="Calibri" w:cs="Tahoma"/>
          <w:szCs w:val="18"/>
        </w:rPr>
        <w:t>um número igual ao número das licenças qualificadas atribuído ao servidor em excesso do número real de processadores físicos no servidor multiplicado por quatro.</w:t>
      </w:r>
    </w:p>
    <w:p w:rsidR="0026723A" w:rsidRPr="000A1C8E" w:rsidRDefault="0026723A" w:rsidP="0026723A">
      <w:pPr>
        <w:tabs>
          <w:tab w:val="left" w:pos="1440"/>
        </w:tabs>
        <w:ind w:left="1080"/>
        <w:rPr>
          <w:rFonts w:cs="Tahoma"/>
        </w:rPr>
      </w:pPr>
    </w:p>
    <w:p w:rsidR="0026723A" w:rsidRPr="000A1C8E" w:rsidRDefault="00A81E83" w:rsidP="0026723A">
      <w:pPr>
        <w:spacing w:after="60"/>
        <w:ind w:left="720"/>
        <w:rPr>
          <w:rFonts w:cs="Tahoma"/>
        </w:rPr>
      </w:pPr>
      <w:r w:rsidRPr="000A1C8E">
        <w:rPr>
          <w:rFonts w:eastAsia="Calibri" w:cs="Tahoma"/>
          <w:b/>
          <w:szCs w:val="18"/>
        </w:rPr>
        <w:t>Primeiro Prazo de Renovação (em ou após 1º de abril de 2015)</w:t>
      </w:r>
    </w:p>
    <w:p w:rsidR="00A81E83" w:rsidRPr="000A1C8E" w:rsidRDefault="00A81E83" w:rsidP="0026723A">
      <w:pPr>
        <w:ind w:left="720"/>
        <w:rPr>
          <w:rFonts w:cs="Tahoma"/>
        </w:rPr>
      </w:pPr>
      <w:r w:rsidRPr="000A1C8E">
        <w:rPr>
          <w:rFonts w:eastAsia="Calibri" w:cs="Tahoma"/>
          <w:color w:val="000000"/>
          <w:szCs w:val="18"/>
        </w:rPr>
        <w:t>Os clientes que renovaram primeiro a cobertura em ou depois de 1o. de abril de 2015</w:t>
      </w:r>
      <w:r w:rsidRPr="000A1C8E">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26723A" w:rsidRPr="000A1C8E" w:rsidRDefault="0026723A" w:rsidP="0026723A">
      <w:pPr>
        <w:ind w:left="720"/>
        <w:rPr>
          <w:rFonts w:cs="Tahoma"/>
        </w:rPr>
      </w:pPr>
    </w:p>
    <w:p w:rsidR="00A81E83" w:rsidRPr="000A1C8E" w:rsidRDefault="00A81E83" w:rsidP="00346F4B">
      <w:pPr>
        <w:numPr>
          <w:ilvl w:val="3"/>
          <w:numId w:val="95"/>
        </w:numPr>
        <w:spacing w:after="60"/>
        <w:ind w:left="1440"/>
        <w:rPr>
          <w:rFonts w:cs="Tahoma"/>
        </w:rPr>
      </w:pPr>
      <w:r w:rsidRPr="000A1C8E">
        <w:rPr>
          <w:rFonts w:eastAsia="Calibri" w:cs="Tahoma"/>
          <w:szCs w:val="18"/>
        </w:rPr>
        <w:t>Conforme fornecido no primeiro parágrafo desta nota do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renovar o SA de acordo com os termos na seção “Primeiro Prazo de Renovação (Antes de 1</w:t>
      </w:r>
      <w:r w:rsidRPr="000A1C8E">
        <w:rPr>
          <w:rFonts w:eastAsia="Calibri" w:cs="Tahoma"/>
          <w:szCs w:val="18"/>
          <w:vertAlign w:val="superscript"/>
        </w:rPr>
        <w:t>º</w:t>
      </w:r>
      <w:r w:rsidRPr="000A1C8E">
        <w:rPr>
          <w:rFonts w:eastAsia="Calibri" w:cs="Tahoma"/>
          <w:szCs w:val="18"/>
        </w:rPr>
        <w:t xml:space="preserve"> de abril de 2015)“ acima e</w:t>
      </w:r>
    </w:p>
    <w:p w:rsidR="00A81E83" w:rsidRPr="000A1C8E" w:rsidRDefault="00A81E83" w:rsidP="00332159">
      <w:pPr>
        <w:numPr>
          <w:ilvl w:val="3"/>
          <w:numId w:val="95"/>
        </w:numPr>
        <w:spacing w:after="60"/>
        <w:ind w:left="1440"/>
        <w:rPr>
          <w:rFonts w:cs="Tahoma"/>
        </w:rPr>
      </w:pPr>
      <w:r w:rsidRPr="000A1C8E">
        <w:rPr>
          <w:rFonts w:eastAsia="Calibri" w:cs="Tahoma"/>
          <w:szCs w:val="18"/>
        </w:rPr>
        <w:t>Para as licenças adquiridas depois de 1</w:t>
      </w:r>
      <w:r w:rsidRPr="000A1C8E">
        <w:rPr>
          <w:rFonts w:eastAsia="Calibri" w:cs="Tahoma"/>
          <w:szCs w:val="18"/>
          <w:vertAlign w:val="superscript"/>
        </w:rPr>
        <w:t>º</w:t>
      </w:r>
      <w:r w:rsidRPr="000A1C8E">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332159" w:rsidRPr="000A1C8E">
        <w:rPr>
          <w:rFonts w:eastAsia="Calibri" w:cs="Tahoma"/>
          <w:szCs w:val="18"/>
        </w:rPr>
        <w:t> </w:t>
      </w:r>
      <w:r w:rsidRPr="000A1C8E">
        <w:rPr>
          <w:rFonts w:eastAsia="Calibri" w:cs="Tahoma"/>
          <w:szCs w:val="18"/>
        </w:rPr>
        <w:t>cliente tem que adquirir licenças principais adicionais.</w:t>
      </w:r>
    </w:p>
    <w:p w:rsidR="00A81E83" w:rsidRPr="000A1C8E" w:rsidRDefault="00A81E83" w:rsidP="00346F4B">
      <w:pPr>
        <w:numPr>
          <w:ilvl w:val="0"/>
          <w:numId w:val="50"/>
        </w:numPr>
        <w:spacing w:after="60"/>
        <w:ind w:left="1440"/>
        <w:rPr>
          <w:rFonts w:cs="Tahoma"/>
        </w:rPr>
      </w:pPr>
      <w:r w:rsidRPr="000A1C8E">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DC6D8B" w:rsidRPr="000A1C8E">
        <w:rPr>
          <w:rFonts w:eastAsia="Calibri" w:cs="Tahoma"/>
          <w:szCs w:val="18"/>
        </w:rPr>
        <w:t xml:space="preserve"> </w:t>
      </w:r>
    </w:p>
    <w:p w:rsidR="0026723A" w:rsidRPr="000A1C8E" w:rsidRDefault="0026723A" w:rsidP="0026723A">
      <w:pPr>
        <w:tabs>
          <w:tab w:val="left" w:pos="1080"/>
        </w:tabs>
        <w:ind w:left="1080"/>
        <w:rPr>
          <w:rFonts w:cs="Tahoma"/>
        </w:rPr>
      </w:pPr>
    </w:p>
    <w:p w:rsidR="0026723A" w:rsidRPr="000A1C8E" w:rsidRDefault="00A431D5" w:rsidP="0026723A">
      <w:pPr>
        <w:spacing w:after="60"/>
        <w:ind w:left="720"/>
        <w:rPr>
          <w:rFonts w:cs="Tahoma"/>
        </w:rPr>
      </w:pPr>
      <w:r w:rsidRPr="000A1C8E">
        <w:rPr>
          <w:rFonts w:eastAsia="Calibri" w:cs="Tahoma"/>
          <w:b/>
          <w:szCs w:val="18"/>
        </w:rPr>
        <w:t>Para os clientes que estão desejando fazer step-up do SQL Server Standard para SQL Server Enterprise Core</w:t>
      </w:r>
    </w:p>
    <w:p w:rsidR="00A431D5" w:rsidRPr="000A1C8E" w:rsidRDefault="00A431D5" w:rsidP="0026723A">
      <w:pPr>
        <w:ind w:left="720"/>
        <w:rPr>
          <w:rFonts w:cs="Tahoma"/>
        </w:rPr>
      </w:pPr>
      <w:r w:rsidRPr="000A1C8E">
        <w:rPr>
          <w:rFonts w:eastAsia="Calibri" w:cs="Tahoma"/>
          <w:szCs w:val="18"/>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rsidR="0026723A" w:rsidRPr="000A1C8E" w:rsidRDefault="0026723A" w:rsidP="0026723A">
      <w:pPr>
        <w:tabs>
          <w:tab w:val="left" w:pos="1080"/>
        </w:tabs>
        <w:ind w:left="1080"/>
        <w:rPr>
          <w:rFonts w:cs="Tahoma"/>
        </w:rPr>
      </w:pPr>
    </w:p>
    <w:p w:rsidR="00A431D5" w:rsidRPr="000A1C8E" w:rsidRDefault="00A431D5" w:rsidP="00346F4B">
      <w:pPr>
        <w:numPr>
          <w:ilvl w:val="3"/>
          <w:numId w:val="96"/>
        </w:numPr>
        <w:tabs>
          <w:tab w:val="left" w:pos="1440"/>
        </w:tabs>
        <w:spacing w:after="60"/>
        <w:ind w:left="1440"/>
        <w:rPr>
          <w:rFonts w:cs="Tahoma"/>
        </w:rPr>
      </w:pPr>
      <w:r w:rsidRPr="000A1C8E">
        <w:rPr>
          <w:rFonts w:eastAsia="Calibri" w:cs="Tahoma"/>
          <w:szCs w:val="18"/>
        </w:rPr>
        <w:t>Quatro OU</w:t>
      </w:r>
    </w:p>
    <w:p w:rsidR="00A431D5" w:rsidRPr="000A1C8E" w:rsidRDefault="00A431D5" w:rsidP="00346F4B">
      <w:pPr>
        <w:numPr>
          <w:ilvl w:val="3"/>
          <w:numId w:val="96"/>
        </w:numPr>
        <w:tabs>
          <w:tab w:val="left" w:pos="1440"/>
        </w:tabs>
        <w:spacing w:after="60"/>
        <w:ind w:left="1440"/>
        <w:rPr>
          <w:rFonts w:cs="Tahoma"/>
        </w:rPr>
      </w:pPr>
      <w:r w:rsidRPr="000A1C8E">
        <w:rPr>
          <w:rFonts w:eastAsia="Calibri" w:cs="Tahoma"/>
          <w:szCs w:val="18"/>
        </w:rPr>
        <w:t>o número real de núcleos por processador físico multiplicado pelo fator do núcleo apropriado.</w:t>
      </w:r>
      <w:r w:rsidR="00DC6D8B" w:rsidRPr="000A1C8E">
        <w:rPr>
          <w:rFonts w:eastAsia="Calibri" w:cs="Tahoma"/>
          <w:szCs w:val="18"/>
        </w:rPr>
        <w:t xml:space="preserve"> </w:t>
      </w:r>
      <w:r w:rsidRPr="000A1C8E">
        <w:rPr>
          <w:rFonts w:eastAsia="Calibri" w:cs="Tahoma"/>
          <w:szCs w:val="18"/>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aquisição das licenças de Step-up usando a ferramenta Microsoft MAP ou qualquer software equivalente.) </w:t>
      </w:r>
    </w:p>
    <w:p w:rsidR="0026723A" w:rsidRPr="000A1C8E" w:rsidRDefault="0026723A" w:rsidP="0026723A">
      <w:pPr>
        <w:tabs>
          <w:tab w:val="left" w:pos="1440"/>
        </w:tabs>
        <w:ind w:left="1440"/>
        <w:rPr>
          <w:rFonts w:cs="Tahoma"/>
        </w:rPr>
      </w:pPr>
    </w:p>
    <w:p w:rsidR="00A431D5" w:rsidRPr="000A1C8E" w:rsidRDefault="00A431D5" w:rsidP="0026723A">
      <w:pPr>
        <w:ind w:left="720"/>
        <w:rPr>
          <w:rFonts w:cs="Tahoma"/>
        </w:rPr>
      </w:pPr>
      <w:r w:rsidRPr="000A1C8E">
        <w:rPr>
          <w:rFonts w:eastAsia="Calibri" w:cs="Tahoma"/>
          <w:szCs w:val="18"/>
        </w:rPr>
        <w:t>Mediante a aquisição do número apropriado de licenças Step-up para SQL Server Enterprise Core, o cliente poderá implantar e usar o software sob os direitos de uso do SQL Server Enterprise Core.</w:t>
      </w:r>
      <w:r w:rsidR="00DC6D8B" w:rsidRPr="000A1C8E">
        <w:rPr>
          <w:rFonts w:eastAsia="Calibri" w:cs="Tahoma"/>
          <w:szCs w:val="18"/>
        </w:rPr>
        <w:t xml:space="preserve"> </w:t>
      </w:r>
      <w:r w:rsidRPr="000A1C8E">
        <w:rPr>
          <w:rFonts w:eastAsia="Calibri" w:cs="Tahoma"/>
          <w:szCs w:val="18"/>
        </w:rPr>
        <w:t>Exceto conforme fornecido nesta seção “Para os clientes que estão desejando fazer step-up do SQL Server Standard para SQL Server Enterprise Core”</w:t>
      </w:r>
      <w:r w:rsidRPr="000A1C8E">
        <w:rPr>
          <w:rFonts w:eastAsia="Calibri" w:cs="Tahoma"/>
          <w:b/>
          <w:szCs w:val="18"/>
        </w:rPr>
        <w:t xml:space="preserve">, </w:t>
      </w:r>
      <w:r w:rsidRPr="000A1C8E">
        <w:rPr>
          <w:rFonts w:eastAsia="Calibri" w:cs="Tahoma"/>
          <w:szCs w:val="18"/>
        </w:rPr>
        <w:t>aplicam-se os termos e as condições pertencentes à aquisição de licenças Step-up, conforme descrito na seção Software Assurance desta Lista de produto.</w:t>
      </w:r>
      <w:r w:rsidRPr="000A1C8E">
        <w:rPr>
          <w:rFonts w:eastAsia="Calibri" w:cs="Tahoma"/>
          <w:b/>
          <w:szCs w:val="18"/>
        </w:rPr>
        <w:t xml:space="preserve"> </w:t>
      </w:r>
    </w:p>
    <w:p w:rsidR="0026723A" w:rsidRPr="000A1C8E" w:rsidRDefault="0026723A" w:rsidP="0026723A">
      <w:pPr>
        <w:tabs>
          <w:tab w:val="left" w:pos="1080"/>
        </w:tabs>
        <w:ind w:left="1080"/>
        <w:rPr>
          <w:rFonts w:cs="Tahoma"/>
        </w:rPr>
      </w:pPr>
    </w:p>
    <w:p w:rsidR="00332159" w:rsidRPr="000A1C8E" w:rsidRDefault="00332159" w:rsidP="0026723A">
      <w:pPr>
        <w:tabs>
          <w:tab w:val="left" w:pos="1080"/>
        </w:tabs>
        <w:ind w:left="1080"/>
        <w:rPr>
          <w:rFonts w:cs="Tahoma"/>
        </w:rPr>
      </w:pPr>
    </w:p>
    <w:p w:rsidR="00332159" w:rsidRPr="000A1C8E" w:rsidRDefault="00332159" w:rsidP="0026723A">
      <w:pPr>
        <w:tabs>
          <w:tab w:val="left" w:pos="1080"/>
        </w:tabs>
        <w:ind w:left="1080"/>
        <w:rPr>
          <w:rFonts w:cs="Tahoma"/>
        </w:rPr>
      </w:pPr>
    </w:p>
    <w:p w:rsidR="00332159" w:rsidRPr="000A1C8E" w:rsidRDefault="00332159" w:rsidP="0026723A">
      <w:pPr>
        <w:tabs>
          <w:tab w:val="left" w:pos="1080"/>
        </w:tabs>
        <w:ind w:left="1080"/>
        <w:rPr>
          <w:rFonts w:cs="Tahoma"/>
        </w:rPr>
      </w:pPr>
    </w:p>
    <w:p w:rsidR="00332159" w:rsidRPr="000A1C8E" w:rsidRDefault="00332159" w:rsidP="0026723A">
      <w:pPr>
        <w:tabs>
          <w:tab w:val="left" w:pos="1080"/>
        </w:tabs>
        <w:ind w:left="1080"/>
        <w:rPr>
          <w:rFonts w:cs="Tahoma"/>
        </w:rPr>
      </w:pPr>
    </w:p>
    <w:p w:rsidR="00332159" w:rsidRPr="000A1C8E" w:rsidRDefault="00332159" w:rsidP="0026723A">
      <w:pPr>
        <w:tabs>
          <w:tab w:val="left" w:pos="1080"/>
        </w:tabs>
        <w:ind w:left="1080"/>
        <w:rPr>
          <w:rFonts w:cs="Tahoma"/>
        </w:rPr>
      </w:pPr>
    </w:p>
    <w:p w:rsidR="00332159" w:rsidRPr="000A1C8E" w:rsidRDefault="00332159" w:rsidP="0026723A">
      <w:pPr>
        <w:tabs>
          <w:tab w:val="left" w:pos="1080"/>
        </w:tabs>
        <w:ind w:left="1080"/>
        <w:rPr>
          <w:rFonts w:cs="Tahoma"/>
        </w:rPr>
      </w:pPr>
    </w:p>
    <w:p w:rsidR="0026723A" w:rsidRPr="000A1C8E" w:rsidRDefault="00A81E83" w:rsidP="0026723A">
      <w:pPr>
        <w:spacing w:after="60"/>
        <w:ind w:left="720"/>
        <w:rPr>
          <w:rFonts w:cs="Tahoma"/>
        </w:rPr>
      </w:pPr>
      <w:r w:rsidRPr="000A1C8E">
        <w:rPr>
          <w:rFonts w:eastAsia="Calibri" w:cs="Tahoma"/>
          <w:b/>
          <w:szCs w:val="18"/>
        </w:rPr>
        <w:lastRenderedPageBreak/>
        <w:t>Para os clientes com cobertura de Software Assurance que expiram antes de 1º de abril de 2015 que optaram pela não renovação</w:t>
      </w:r>
    </w:p>
    <w:p w:rsidR="00A81E83" w:rsidRPr="000A1C8E" w:rsidRDefault="00A81E83" w:rsidP="00332159">
      <w:pPr>
        <w:ind w:left="720"/>
        <w:rPr>
          <w:rFonts w:cs="Tahoma"/>
        </w:rPr>
      </w:pPr>
      <w:r w:rsidRPr="000A1C8E">
        <w:rPr>
          <w:rFonts w:eastAsia="Calibri" w:cs="Tahoma"/>
          <w:szCs w:val="18"/>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332159" w:rsidRPr="000A1C8E">
        <w:rPr>
          <w:rFonts w:eastAsia="Calibri" w:cs="Tahoma"/>
          <w:szCs w:val="18"/>
        </w:rPr>
        <w:t> </w:t>
      </w:r>
      <w:r w:rsidRPr="000A1C8E">
        <w:rPr>
          <w:rFonts w:eastAsia="Calibri" w:cs="Tahoma"/>
          <w:szCs w:val="18"/>
        </w:rPr>
        <w:t>SQL Server 2008 R2 ou SQL Server 2012 sob essas licenças da seguinte forma:</w:t>
      </w:r>
    </w:p>
    <w:p w:rsidR="009C7505" w:rsidRPr="000A1C8E" w:rsidRDefault="009C7505" w:rsidP="0026723A">
      <w:pPr>
        <w:ind w:left="720"/>
        <w:rPr>
          <w:rFonts w:cs="Tahoma"/>
        </w:rPr>
      </w:pPr>
    </w:p>
    <w:p w:rsidR="00A81E83" w:rsidRPr="000A1C8E" w:rsidRDefault="00A81E83" w:rsidP="00227C75">
      <w:pPr>
        <w:numPr>
          <w:ilvl w:val="0"/>
          <w:numId w:val="97"/>
        </w:numPr>
        <w:tabs>
          <w:tab w:val="left" w:pos="1440"/>
        </w:tabs>
        <w:spacing w:after="40"/>
        <w:ind w:left="1440"/>
        <w:rPr>
          <w:rFonts w:cs="Tahoma"/>
        </w:rPr>
      </w:pPr>
      <w:r w:rsidRPr="000A1C8E">
        <w:rPr>
          <w:rFonts w:eastAsia="Calibri" w:cs="Tahoma"/>
          <w:b/>
          <w:szCs w:val="18"/>
        </w:rPr>
        <w:t>SQL Server 2008 R2 Standard:</w:t>
      </w:r>
      <w:r w:rsidRPr="000A1C8E">
        <w:rPr>
          <w:rFonts w:eastAsia="Calibri" w:cs="Tahoma"/>
          <w:szCs w:val="18"/>
        </w:rPr>
        <w:t xml:space="preserve"> 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 </w:t>
      </w:r>
    </w:p>
    <w:p w:rsidR="00A81E83" w:rsidRPr="000A1C8E" w:rsidRDefault="00A81E83" w:rsidP="00227C75">
      <w:pPr>
        <w:numPr>
          <w:ilvl w:val="0"/>
          <w:numId w:val="97"/>
        </w:numPr>
        <w:tabs>
          <w:tab w:val="left" w:pos="1440"/>
        </w:tabs>
        <w:spacing w:after="40"/>
        <w:ind w:left="1440"/>
        <w:rPr>
          <w:rFonts w:cs="Tahoma"/>
        </w:rPr>
      </w:pPr>
      <w:r w:rsidRPr="000A1C8E">
        <w:rPr>
          <w:rFonts w:eastAsia="Calibri" w:cs="Tahoma"/>
          <w:b/>
          <w:szCs w:val="18"/>
        </w:rPr>
        <w:t xml:space="preserve">SQL Server 2012 Standard Core: </w:t>
      </w:r>
      <w:r w:rsidRPr="000A1C8E">
        <w:rPr>
          <w:rFonts w:eastAsia="Calibri" w:cs="Tahoma"/>
          <w:szCs w:val="18"/>
        </w:rPr>
        <w:t xml:space="preserve">O uso desta versão do software está sujeito aos direitos de uso do produto de licença do processador do SQL Server 2008 R2 Standard, no entanto: </w:t>
      </w:r>
    </w:p>
    <w:p w:rsidR="00A81E83" w:rsidRPr="000A1C8E" w:rsidRDefault="00A81E83" w:rsidP="00227C75">
      <w:pPr>
        <w:numPr>
          <w:ilvl w:val="1"/>
          <w:numId w:val="98"/>
        </w:numPr>
        <w:tabs>
          <w:tab w:val="left" w:pos="1800"/>
        </w:tabs>
        <w:spacing w:after="40"/>
        <w:ind w:left="1800"/>
        <w:rPr>
          <w:rFonts w:cs="Tahoma"/>
        </w:rPr>
      </w:pPr>
      <w:r w:rsidRPr="000A1C8E">
        <w:rPr>
          <w:rFonts w:eastAsia="Calibri" w:cs="Tahoma"/>
          <w:szCs w:val="18"/>
        </w:rPr>
        <w:t xml:space="preserve">os clientes não têm mais direitos sob Mobilidade de Licença nos Farms de Servidores nem Mobilidade de Licença por meio de Software Assurance e </w:t>
      </w:r>
    </w:p>
    <w:p w:rsidR="00A81E83" w:rsidRPr="000A1C8E" w:rsidRDefault="00A81E83" w:rsidP="00227C75">
      <w:pPr>
        <w:numPr>
          <w:ilvl w:val="1"/>
          <w:numId w:val="98"/>
        </w:numPr>
        <w:tabs>
          <w:tab w:val="left" w:pos="1800"/>
        </w:tabs>
        <w:spacing w:after="40"/>
        <w:ind w:left="1800"/>
        <w:rPr>
          <w:rFonts w:cs="Tahoma"/>
        </w:rPr>
      </w:pPr>
      <w:r w:rsidRPr="000A1C8E">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0A1C8E" w:rsidRDefault="00A81E83" w:rsidP="00227C75">
      <w:pPr>
        <w:numPr>
          <w:ilvl w:val="2"/>
          <w:numId w:val="97"/>
        </w:numPr>
        <w:tabs>
          <w:tab w:val="left" w:pos="2160"/>
        </w:tabs>
        <w:spacing w:after="40"/>
        <w:ind w:hanging="360"/>
        <w:rPr>
          <w:rFonts w:cs="Tahoma"/>
          <w:spacing w:val="-2"/>
        </w:rPr>
      </w:pPr>
      <w:r w:rsidRPr="000A1C8E">
        <w:rPr>
          <w:rFonts w:eastAsia="Calibri" w:cs="Tahoma"/>
          <w:spacing w:val="-2"/>
          <w:szCs w:val="18"/>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0A1C8E" w:rsidRDefault="00A81E83" w:rsidP="00227C75">
      <w:pPr>
        <w:numPr>
          <w:ilvl w:val="4"/>
          <w:numId w:val="50"/>
        </w:numPr>
        <w:tabs>
          <w:tab w:val="left" w:pos="2520"/>
        </w:tabs>
        <w:spacing w:after="40"/>
        <w:ind w:left="2880"/>
        <w:rPr>
          <w:rFonts w:cs="Tahoma"/>
        </w:rPr>
      </w:pPr>
      <w:r w:rsidRPr="000A1C8E">
        <w:rPr>
          <w:rFonts w:eastAsia="Calibri" w:cs="Tahoma"/>
          <w:szCs w:val="18"/>
        </w:rPr>
        <w:t xml:space="preserve">quatro núcleos por licença de processador OU </w:t>
      </w:r>
    </w:p>
    <w:p w:rsidR="00A81E83" w:rsidRPr="000A1C8E" w:rsidRDefault="00A81E83" w:rsidP="00227C75">
      <w:pPr>
        <w:numPr>
          <w:ilvl w:val="4"/>
          <w:numId w:val="50"/>
        </w:numPr>
        <w:tabs>
          <w:tab w:val="left" w:pos="2520"/>
        </w:tabs>
        <w:spacing w:after="40"/>
        <w:ind w:left="2880"/>
        <w:rPr>
          <w:rFonts w:cs="Tahoma"/>
        </w:rPr>
      </w:pPr>
      <w:r w:rsidRPr="000A1C8E">
        <w:rPr>
          <w:rFonts w:eastAsia="Calibri" w:cs="Tahoma"/>
          <w:szCs w:val="18"/>
        </w:rPr>
        <w:t>um número de núcleos por licença do processador com base no número real de</w:t>
      </w:r>
      <w:r w:rsidR="00332159" w:rsidRPr="000A1C8E">
        <w:rPr>
          <w:rFonts w:eastAsia="Calibri" w:cs="Tahoma"/>
          <w:szCs w:val="18"/>
        </w:rPr>
        <w:t> </w:t>
      </w:r>
      <w:r w:rsidRPr="000A1C8E">
        <w:rPr>
          <w:rFonts w:eastAsia="Calibri" w:cs="Tahoma"/>
          <w:szCs w:val="18"/>
        </w:rPr>
        <w:t>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A81E83" w:rsidRPr="000A1C8E" w:rsidRDefault="00A81E83" w:rsidP="00227C75">
      <w:pPr>
        <w:numPr>
          <w:ilvl w:val="2"/>
          <w:numId w:val="97"/>
        </w:numPr>
        <w:tabs>
          <w:tab w:val="left" w:pos="2160"/>
        </w:tabs>
        <w:spacing w:after="40"/>
        <w:ind w:hanging="360"/>
        <w:rPr>
          <w:rFonts w:cs="Tahoma"/>
        </w:rPr>
      </w:pPr>
      <w:r w:rsidRPr="000A1C8E">
        <w:rPr>
          <w:rFonts w:eastAsia="Calibri" w:cs="Tahoma"/>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0A1C8E" w:rsidRDefault="00A81E83" w:rsidP="00227C75">
      <w:pPr>
        <w:numPr>
          <w:ilvl w:val="0"/>
          <w:numId w:val="53"/>
        </w:numPr>
        <w:tabs>
          <w:tab w:val="left" w:pos="1440"/>
        </w:tabs>
        <w:spacing w:after="40"/>
        <w:ind w:left="1440"/>
        <w:rPr>
          <w:rFonts w:cs="Tahoma"/>
        </w:rPr>
      </w:pPr>
      <w:r w:rsidRPr="000A1C8E">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w:t>
      </w:r>
      <w:r w:rsidR="00332159" w:rsidRPr="000A1C8E">
        <w:rPr>
          <w:rFonts w:eastAsia="Calibri" w:cs="Tahoma"/>
          <w:szCs w:val="18"/>
        </w:rPr>
        <w:t> </w:t>
      </w:r>
      <w:r w:rsidRPr="000A1C8E">
        <w:rPr>
          <w:rFonts w:eastAsia="Calibri" w:cs="Tahoma"/>
          <w:szCs w:val="18"/>
        </w:rPr>
        <w:t>SQL Server 2012 adicionais.</w:t>
      </w:r>
    </w:p>
    <w:p w:rsidR="00A81E83" w:rsidRPr="000A1C8E" w:rsidRDefault="00A81E83" w:rsidP="00227C75">
      <w:pPr>
        <w:numPr>
          <w:ilvl w:val="0"/>
          <w:numId w:val="53"/>
        </w:numPr>
        <w:tabs>
          <w:tab w:val="left" w:pos="1440"/>
        </w:tabs>
        <w:spacing w:after="40"/>
        <w:ind w:left="1440"/>
        <w:rPr>
          <w:rFonts w:cs="Tahoma"/>
        </w:rPr>
      </w:pPr>
      <w:r w:rsidRPr="000A1C8E">
        <w:rPr>
          <w:rFonts w:eastAsia="Calibri" w:cs="Tahoma"/>
          <w:szCs w:val="18"/>
        </w:rPr>
        <w:t>A equivalência de licença principal dos clientes não implica que eles podem atribuir uma única licença de processador a núcleos por dois ou mais processadores.</w:t>
      </w:r>
    </w:p>
    <w:p w:rsidR="009C7505" w:rsidRPr="000A1C8E" w:rsidRDefault="009C7505" w:rsidP="009C7505">
      <w:pPr>
        <w:tabs>
          <w:tab w:val="left" w:pos="1440"/>
        </w:tabs>
        <w:ind w:left="1080"/>
        <w:rPr>
          <w:rFonts w:cs="Tahoma"/>
          <w:sz w:val="14"/>
          <w:szCs w:val="14"/>
        </w:rPr>
      </w:pPr>
    </w:p>
    <w:p w:rsidR="009C7505" w:rsidRPr="000A1C8E" w:rsidRDefault="00A81E83" w:rsidP="009C7505">
      <w:pPr>
        <w:tabs>
          <w:tab w:val="left" w:pos="720"/>
        </w:tabs>
        <w:spacing w:after="60"/>
        <w:ind w:left="720"/>
        <w:rPr>
          <w:rFonts w:cs="Tahoma"/>
        </w:rPr>
      </w:pPr>
      <w:r w:rsidRPr="000A1C8E">
        <w:rPr>
          <w:rFonts w:eastAsia="Calibri" w:cs="Tahoma"/>
          <w:b/>
          <w:szCs w:val="18"/>
        </w:rPr>
        <w:t>Para os clientes com cobertura de Software Assurance que expiram em ou depois de 1º de abril de 2015 que optaram pela não renovação</w:t>
      </w:r>
    </w:p>
    <w:p w:rsidR="00A81E83" w:rsidRPr="000A1C8E" w:rsidRDefault="00A81E83" w:rsidP="009C7505">
      <w:pPr>
        <w:tabs>
          <w:tab w:val="left" w:pos="720"/>
        </w:tabs>
        <w:ind w:left="720"/>
        <w:rPr>
          <w:rFonts w:cs="Tahoma"/>
        </w:rPr>
      </w:pPr>
      <w:r w:rsidRPr="000A1C8E">
        <w:rPr>
          <w:rFonts w:eastAsia="Calibri" w:cs="Tahoma"/>
          <w:color w:val="000000"/>
          <w:szCs w:val="18"/>
        </w:rPr>
        <w:t xml:space="preserve">Os clientes do Enterprise Subscription </w:t>
      </w:r>
      <w:r w:rsidRPr="000A1C8E">
        <w:rPr>
          <w:rFonts w:eastAsia="Calibri" w:cs="Tahoma"/>
          <w:szCs w:val="18"/>
        </w:rPr>
        <w:t xml:space="preserve">e Open Value Subscription </w:t>
      </w:r>
      <w:r w:rsidRPr="000A1C8E">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rsidR="009C7505" w:rsidRPr="000A1C8E" w:rsidRDefault="009C7505" w:rsidP="009C7505">
      <w:pPr>
        <w:tabs>
          <w:tab w:val="left" w:pos="720"/>
        </w:tabs>
        <w:ind w:left="720"/>
        <w:rPr>
          <w:rFonts w:cs="Tahoma"/>
          <w:sz w:val="14"/>
          <w:szCs w:val="14"/>
        </w:rPr>
      </w:pPr>
    </w:p>
    <w:p w:rsidR="00A81E83" w:rsidRPr="000A1C8E" w:rsidRDefault="00A81E83" w:rsidP="00346F4B">
      <w:pPr>
        <w:numPr>
          <w:ilvl w:val="2"/>
          <w:numId w:val="50"/>
        </w:numPr>
        <w:spacing w:after="60"/>
        <w:ind w:left="1440"/>
        <w:rPr>
          <w:rFonts w:cs="Tahoma"/>
        </w:rPr>
      </w:pPr>
      <w:r w:rsidRPr="000A1C8E">
        <w:rPr>
          <w:rFonts w:eastAsia="Calibri" w:cs="Tahoma"/>
          <w:szCs w:val="18"/>
        </w:rPr>
        <w:t>Conforme fornecido no primeiro parágrafo desta nota de produto, as licenças adquiridas antes de 1</w:t>
      </w:r>
      <w:r w:rsidRPr="000A1C8E">
        <w:rPr>
          <w:rFonts w:eastAsia="Calibri" w:cs="Tahoma"/>
          <w:szCs w:val="18"/>
          <w:vertAlign w:val="superscript"/>
        </w:rPr>
        <w:t>º</w:t>
      </w:r>
      <w:r w:rsidRPr="000A1C8E">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0A1C8E" w:rsidRDefault="00A81E83" w:rsidP="00346F4B">
      <w:pPr>
        <w:numPr>
          <w:ilvl w:val="2"/>
          <w:numId w:val="50"/>
        </w:numPr>
        <w:spacing w:after="60"/>
        <w:ind w:left="1440"/>
        <w:rPr>
          <w:rFonts w:cs="Tahoma"/>
        </w:rPr>
      </w:pPr>
      <w:r w:rsidRPr="000A1C8E">
        <w:rPr>
          <w:rFonts w:eastAsia="Calibri" w:cs="Tahoma"/>
          <w:szCs w:val="18"/>
        </w:rPr>
        <w:t>Para as licenças adquiridas depois de 1</w:t>
      </w:r>
      <w:r w:rsidRPr="000A1C8E">
        <w:rPr>
          <w:rFonts w:eastAsia="Calibri" w:cs="Tahoma"/>
          <w:szCs w:val="18"/>
          <w:vertAlign w:val="superscript"/>
        </w:rPr>
        <w:t>º</w:t>
      </w:r>
      <w:r w:rsidRPr="000A1C8E">
        <w:rPr>
          <w:rFonts w:eastAsia="Calibri" w:cs="Tahoma"/>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9C7505" w:rsidRPr="000A1C8E" w:rsidRDefault="00A81E83" w:rsidP="009C7505">
      <w:pPr>
        <w:spacing w:after="60"/>
        <w:ind w:left="720"/>
        <w:rPr>
          <w:rFonts w:cs="Tahoma"/>
        </w:rPr>
      </w:pPr>
      <w:r w:rsidRPr="000A1C8E">
        <w:rPr>
          <w:rFonts w:cs="Tahoma"/>
          <w:b/>
        </w:rPr>
        <w:lastRenderedPageBreak/>
        <w:t>Para os clientes localizados na República Popular da</w:t>
      </w:r>
      <w:r w:rsidRPr="000A1C8E">
        <w:rPr>
          <w:rFonts w:cs="Tahoma"/>
        </w:rPr>
        <w:t xml:space="preserve"> </w:t>
      </w:r>
      <w:r w:rsidRPr="000A1C8E">
        <w:rPr>
          <w:rFonts w:cs="Tahoma"/>
          <w:b/>
        </w:rPr>
        <w:t>China e para os que estão adquirindo licenças de processador e Software Assurance para SQL Server 2008 R2</w:t>
      </w:r>
    </w:p>
    <w:p w:rsidR="001D7A2C" w:rsidRPr="000A1C8E" w:rsidRDefault="00A81E83" w:rsidP="009C7505">
      <w:pPr>
        <w:ind w:left="720"/>
        <w:rPr>
          <w:rFonts w:cs="Tahoma"/>
        </w:rPr>
      </w:pPr>
      <w:r w:rsidRPr="000A1C8E">
        <w:rPr>
          <w:rFonts w:cs="Tahoma"/>
        </w:rPr>
        <w:t>As referências a 1</w:t>
      </w:r>
      <w:r w:rsidRPr="000A1C8E">
        <w:rPr>
          <w:rFonts w:cs="Tahoma"/>
          <w:vertAlign w:val="superscript"/>
        </w:rPr>
        <w:t>º</w:t>
      </w:r>
      <w:r w:rsidRPr="000A1C8E">
        <w:rPr>
          <w:rFonts w:cs="Tahoma"/>
        </w:rPr>
        <w:t xml:space="preserve"> de abril de 2012 e 1</w:t>
      </w:r>
      <w:r w:rsidRPr="000A1C8E">
        <w:rPr>
          <w:rFonts w:cs="Tahoma"/>
          <w:vertAlign w:val="superscript"/>
        </w:rPr>
        <w:t>º</w:t>
      </w:r>
      <w:r w:rsidRPr="000A1C8E">
        <w:rPr>
          <w:rFonts w:cs="Tahoma"/>
        </w:rPr>
        <w:t xml:space="preserve"> de abril de 2015 nesta nota da lista de produtos não são aplicáveis. As datas aplicáveis para esses clientes são 1</w:t>
      </w:r>
      <w:r w:rsidRPr="000A1C8E">
        <w:rPr>
          <w:rFonts w:cs="Tahoma"/>
          <w:vertAlign w:val="superscript"/>
        </w:rPr>
        <w:t>º</w:t>
      </w:r>
      <w:r w:rsidRPr="000A1C8E">
        <w:rPr>
          <w:rFonts w:cs="Tahoma"/>
        </w:rPr>
        <w:t xml:space="preserve"> de julho de 2012 e 1</w:t>
      </w:r>
      <w:r w:rsidRPr="000A1C8E">
        <w:rPr>
          <w:rFonts w:cs="Tahoma"/>
          <w:vertAlign w:val="superscript"/>
        </w:rPr>
        <w:t>º</w:t>
      </w:r>
      <w:r w:rsidRPr="000A1C8E">
        <w:rPr>
          <w:rFonts w:cs="Tahoma"/>
        </w:rPr>
        <w:t xml:space="preserve"> de julho de 2015, respectivamente.</w:t>
      </w:r>
      <w:bookmarkStart w:id="1525" w:name="_821_SQL_Server®"/>
      <w:bookmarkEnd w:id="1470"/>
      <w:bookmarkEnd w:id="1471"/>
      <w:bookmarkEnd w:id="1472"/>
      <w:bookmarkEnd w:id="1473"/>
      <w:bookmarkEnd w:id="1525"/>
    </w:p>
    <w:p w:rsidR="009C7505" w:rsidRPr="000A1C8E" w:rsidRDefault="009C7505" w:rsidP="009C7505">
      <w:pPr>
        <w:rPr>
          <w:rFonts w:cs="Tahoma"/>
        </w:rPr>
      </w:pPr>
    </w:p>
    <w:p w:rsidR="00602EF4" w:rsidRPr="000A1C8E" w:rsidRDefault="00602EF4" w:rsidP="00602EF4">
      <w:pPr>
        <w:rPr>
          <w:rFonts w:cs="Tahoma"/>
        </w:rPr>
      </w:pPr>
      <w:bookmarkStart w:id="1526" w:name="Srv_82SysCtrDataProMgr07StdSvrMgmtML"/>
      <w:bookmarkStart w:id="1527" w:name="Srv_78SysCtrDataProMgr07StdSvrMgmtML"/>
      <w:bookmarkStart w:id="1528" w:name="Srv_79SysCtrDataProMgr07StdSvrMgmtML"/>
    </w:p>
    <w:p w:rsidR="00023FE7" w:rsidRPr="000A1C8E" w:rsidRDefault="00A560B6" w:rsidP="0037081F">
      <w:pPr>
        <w:pStyle w:val="Heading3"/>
        <w:rPr>
          <w:rFonts w:ascii="Tahoma" w:hAnsi="Tahoma" w:cs="Tahoma"/>
        </w:rPr>
      </w:pPr>
      <w:bookmarkStart w:id="1529" w:name="_79_System_Center"/>
      <w:bookmarkStart w:id="1530" w:name="_86_84_System"/>
      <w:bookmarkStart w:id="1531" w:name="_Toc336338351"/>
      <w:bookmarkStart w:id="1532" w:name="_Toc361829435"/>
      <w:bookmarkStart w:id="1533" w:name="Srv_79SystemCenterEssentials07"/>
      <w:bookmarkStart w:id="1534" w:name="Srv_80SystemCenterEssentials07"/>
      <w:bookmarkStart w:id="1535" w:name="Srv_83SystemCenterEssentials07"/>
      <w:bookmarkEnd w:id="1526"/>
      <w:bookmarkEnd w:id="1527"/>
      <w:bookmarkEnd w:id="1528"/>
      <w:bookmarkEnd w:id="1529"/>
      <w:bookmarkEnd w:id="1530"/>
      <w:r w:rsidRPr="000A1C8E">
        <w:rPr>
          <w:rFonts w:ascii="Tahoma" w:hAnsi="Tahoma" w:cs="Tahoma"/>
          <w:caps/>
          <w:color w:val="F66400"/>
          <w:sz w:val="22"/>
          <w:vertAlign w:val="superscript"/>
        </w:rPr>
        <w:t>92</w:t>
      </w:r>
      <w:r w:rsidRPr="000A1C8E">
        <w:rPr>
          <w:rFonts w:ascii="Tahoma" w:hAnsi="Tahoma" w:cs="Tahoma"/>
          <w:color w:val="F66400"/>
          <w:sz w:val="22"/>
        </w:rPr>
        <w:t xml:space="preserve"> System Center Essentials 2010</w:t>
      </w:r>
      <w:bookmarkEnd w:id="1531"/>
      <w:bookmarkEnd w:id="1532"/>
    </w:p>
    <w:bookmarkEnd w:id="1533"/>
    <w:bookmarkEnd w:id="1534"/>
    <w:bookmarkEnd w:id="1535"/>
    <w:p w:rsidR="00A30254" w:rsidRPr="000A1C8E" w:rsidRDefault="00A30254" w:rsidP="00602EF4">
      <w:pPr>
        <w:spacing w:after="60"/>
        <w:ind w:left="720"/>
        <w:rPr>
          <w:rFonts w:cs="Tahoma"/>
        </w:rPr>
      </w:pPr>
    </w:p>
    <w:p w:rsidR="00A30254" w:rsidRPr="000A1C8E" w:rsidRDefault="00A30254" w:rsidP="00A30254">
      <w:pPr>
        <w:spacing w:after="60"/>
        <w:ind w:left="720"/>
        <w:rPr>
          <w:rFonts w:cs="Tahoma"/>
        </w:rPr>
      </w:pPr>
      <w:r w:rsidRPr="000A1C8E">
        <w:rPr>
          <w:rFonts w:cs="Tahoma"/>
          <w:b/>
          <w:color w:val="000000"/>
          <w:szCs w:val="20"/>
        </w:rPr>
        <w:t>Outorga de Licença para os Clientes de Software Assurance do System Center Essentials 2010</w:t>
      </w:r>
    </w:p>
    <w:p w:rsidR="00A30254" w:rsidRPr="000A1C8E" w:rsidRDefault="00A30254" w:rsidP="00A30254">
      <w:pPr>
        <w:pStyle w:val="EndnoteText"/>
        <w:ind w:left="720"/>
        <w:rPr>
          <w:rFonts w:ascii="Tahoma" w:hAnsi="Tahoma" w:cs="Tahoma"/>
        </w:rPr>
      </w:pPr>
      <w:r w:rsidRPr="000A1C8E">
        <w:rPr>
          <w:rFonts w:ascii="Tahoma" w:hAnsi="Tahoma" w:cs="Tahoma"/>
          <w:sz w:val="18"/>
        </w:rPr>
        <w:t>A versão 2010 do System Center Essentials (SCE) será a última versão do produto.</w:t>
      </w:r>
      <w:r w:rsidR="00DC6D8B" w:rsidRPr="000A1C8E">
        <w:rPr>
          <w:rFonts w:ascii="Tahoma" w:hAnsi="Tahoma" w:cs="Tahoma"/>
          <w:sz w:val="18"/>
        </w:rPr>
        <w:t xml:space="preserve"> </w:t>
      </w:r>
      <w:r w:rsidRPr="000A1C8E">
        <w:rPr>
          <w:rFonts w:ascii="Tahoma" w:hAnsi="Tahoma" w:cs="Tahoma"/>
          <w:sz w:val="18"/>
        </w:rPr>
        <w:t>Os clientes que possuírem cobertura de Software Assurance para SCE a partir de 1o de março de 2013 terão uma concessão de licenças do System Center 2012 sem custo adicional, a não ser os custos de mídia (se aplicável).</w:t>
      </w:r>
      <w:r w:rsidR="00DC6D8B" w:rsidRPr="000A1C8E">
        <w:rPr>
          <w:rFonts w:ascii="Tahoma" w:hAnsi="Tahoma" w:cs="Tahoma"/>
          <w:sz w:val="18"/>
        </w:rPr>
        <w:t xml:space="preserve"> </w:t>
      </w:r>
      <w:r w:rsidRPr="000A1C8E">
        <w:rPr>
          <w:rFonts w:ascii="Tahoma" w:hAnsi="Tahoma" w:cs="Tahoma"/>
          <w:sz w:val="18"/>
        </w:rPr>
        <w:t>O número de licenças do System Center 2012 para as quais um cliente estará qualificado sob esta oferta varia com base no número e no tipo de licenças SCE com cobertura de Software Assurance que o cliente adquiriu.</w:t>
      </w:r>
      <w:r w:rsidR="00DC6D8B" w:rsidRPr="000A1C8E">
        <w:rPr>
          <w:rFonts w:ascii="Tahoma" w:hAnsi="Tahoma" w:cs="Tahoma"/>
          <w:sz w:val="18"/>
        </w:rPr>
        <w:t xml:space="preserve"> </w:t>
      </w:r>
      <w:r w:rsidRPr="000A1C8E">
        <w:rPr>
          <w:rFonts w:ascii="Tahoma" w:hAnsi="Tahoma" w:cs="Tahoma"/>
          <w:sz w:val="18"/>
        </w:rPr>
        <w:t>Consulte a tabela a seguir para obter detalhes.</w:t>
      </w:r>
    </w:p>
    <w:p w:rsidR="00A30254" w:rsidRPr="000A1C8E"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0A1C8E" w:rsidTr="00CE334A">
        <w:tc>
          <w:tcPr>
            <w:tcW w:w="3960" w:type="dxa"/>
            <w:shd w:val="clear" w:color="auto" w:fill="FABF8F"/>
            <w:hideMark/>
          </w:tcPr>
          <w:p w:rsidR="00A30254" w:rsidRPr="000A1C8E" w:rsidRDefault="00A30254" w:rsidP="00CE334A">
            <w:pPr>
              <w:ind w:left="162"/>
              <w:jc w:val="center"/>
              <w:rPr>
                <w:rFonts w:cs="Tahoma"/>
                <w:b/>
                <w:bCs/>
                <w:color w:val="000000"/>
                <w:szCs w:val="18"/>
              </w:rPr>
            </w:pPr>
            <w:r w:rsidRPr="000A1C8E">
              <w:rPr>
                <w:rFonts w:cs="Tahoma"/>
                <w:b/>
                <w:bCs/>
                <w:color w:val="000000"/>
                <w:szCs w:val="18"/>
              </w:rPr>
              <w:t>Licenças de Qualificação com Software Assurance</w:t>
            </w:r>
          </w:p>
        </w:tc>
        <w:tc>
          <w:tcPr>
            <w:tcW w:w="4593" w:type="dxa"/>
            <w:shd w:val="clear" w:color="auto" w:fill="FABF8F"/>
            <w:hideMark/>
          </w:tcPr>
          <w:p w:rsidR="00A30254" w:rsidRPr="000A1C8E" w:rsidRDefault="00A30254" w:rsidP="00CE334A">
            <w:pPr>
              <w:ind w:left="162"/>
              <w:jc w:val="center"/>
              <w:rPr>
                <w:rFonts w:cs="Tahoma"/>
                <w:b/>
                <w:bCs/>
                <w:color w:val="000000"/>
                <w:szCs w:val="18"/>
              </w:rPr>
            </w:pPr>
            <w:r w:rsidRPr="000A1C8E">
              <w:rPr>
                <w:rFonts w:cs="Tahoma"/>
                <w:b/>
                <w:bCs/>
                <w:color w:val="000000"/>
                <w:szCs w:val="18"/>
              </w:rPr>
              <w:t>Outorga de Licença do System Center 2012</w:t>
            </w:r>
          </w:p>
        </w:tc>
      </w:tr>
      <w:tr w:rsidR="00A30254" w:rsidRPr="000A1C8E" w:rsidTr="00CE334A">
        <w:tc>
          <w:tcPr>
            <w:tcW w:w="3960" w:type="dxa"/>
            <w:hideMark/>
          </w:tcPr>
          <w:p w:rsidR="00A30254" w:rsidRPr="000A1C8E" w:rsidRDefault="00A30254" w:rsidP="00CE334A">
            <w:pPr>
              <w:ind w:left="162"/>
              <w:rPr>
                <w:rFonts w:cs="Tahoma"/>
                <w:bCs/>
                <w:color w:val="000000"/>
                <w:szCs w:val="18"/>
              </w:rPr>
            </w:pPr>
            <w:r w:rsidRPr="000A1C8E">
              <w:rPr>
                <w:rFonts w:cs="Tahoma"/>
                <w:bCs/>
                <w:color w:val="000000"/>
                <w:szCs w:val="18"/>
              </w:rPr>
              <w:t>System Center Essentials 2010</w:t>
            </w:r>
          </w:p>
        </w:tc>
        <w:tc>
          <w:tcPr>
            <w:tcW w:w="4593" w:type="dxa"/>
            <w:hideMark/>
          </w:tcPr>
          <w:p w:rsidR="00A30254" w:rsidRPr="000A1C8E" w:rsidRDefault="00A30254" w:rsidP="00CE334A">
            <w:pPr>
              <w:ind w:left="162"/>
              <w:rPr>
                <w:rFonts w:cs="Tahoma"/>
                <w:bCs/>
                <w:color w:val="000000"/>
                <w:szCs w:val="18"/>
              </w:rPr>
            </w:pPr>
            <w:r w:rsidRPr="000A1C8E">
              <w:rPr>
                <w:rFonts w:cs="Tahoma"/>
                <w:bCs/>
                <w:color w:val="000000"/>
                <w:szCs w:val="18"/>
              </w:rPr>
              <w:t>uma Licença de Gerenciamento de Servidores Padrão do System Center 2012 para cada oito* licenças de qualificação</w:t>
            </w:r>
          </w:p>
        </w:tc>
      </w:tr>
      <w:tr w:rsidR="00A30254" w:rsidRPr="000A1C8E" w:rsidTr="00CE334A">
        <w:tc>
          <w:tcPr>
            <w:tcW w:w="3960" w:type="dxa"/>
            <w:hideMark/>
          </w:tcPr>
          <w:p w:rsidR="00A30254" w:rsidRPr="000A1C8E" w:rsidRDefault="00A30254" w:rsidP="00CE334A">
            <w:pPr>
              <w:ind w:left="162"/>
              <w:rPr>
                <w:rFonts w:cs="Tahoma"/>
                <w:bCs/>
                <w:color w:val="000000"/>
                <w:szCs w:val="18"/>
              </w:rPr>
            </w:pPr>
            <w:r w:rsidRPr="000A1C8E">
              <w:rPr>
                <w:rFonts w:cs="Tahoma"/>
                <w:bCs/>
                <w:color w:val="000000"/>
                <w:szCs w:val="18"/>
              </w:rPr>
              <w:t>System Center Essentials 2010 com SQL</w:t>
            </w:r>
          </w:p>
        </w:tc>
        <w:tc>
          <w:tcPr>
            <w:tcW w:w="4593" w:type="dxa"/>
            <w:hideMark/>
          </w:tcPr>
          <w:p w:rsidR="00A30254" w:rsidRPr="000A1C8E" w:rsidRDefault="00A30254" w:rsidP="00CE334A">
            <w:pPr>
              <w:ind w:left="162"/>
              <w:rPr>
                <w:rFonts w:cs="Tahoma"/>
                <w:bCs/>
                <w:color w:val="000000"/>
                <w:szCs w:val="18"/>
              </w:rPr>
            </w:pPr>
            <w:r w:rsidRPr="000A1C8E">
              <w:rPr>
                <w:rFonts w:cs="Tahoma"/>
                <w:bCs/>
                <w:color w:val="000000"/>
                <w:szCs w:val="18"/>
              </w:rPr>
              <w:t>uma Licença de Gerenciamento de Servidores Padrão do System Center 2012 para cada uma licença qualificada</w:t>
            </w:r>
          </w:p>
        </w:tc>
      </w:tr>
      <w:tr w:rsidR="00A30254" w:rsidRPr="000A1C8E" w:rsidTr="00CE334A">
        <w:tc>
          <w:tcPr>
            <w:tcW w:w="3960" w:type="dxa"/>
            <w:hideMark/>
          </w:tcPr>
          <w:p w:rsidR="00A30254" w:rsidRPr="000A1C8E" w:rsidRDefault="00A30254" w:rsidP="00CE334A">
            <w:pPr>
              <w:ind w:left="162"/>
              <w:rPr>
                <w:rFonts w:cs="Tahoma"/>
                <w:bCs/>
                <w:color w:val="000000"/>
                <w:szCs w:val="18"/>
              </w:rPr>
            </w:pPr>
            <w:r w:rsidRPr="000A1C8E">
              <w:rPr>
                <w:rFonts w:cs="Tahoma"/>
                <w:bCs/>
                <w:color w:val="000000"/>
                <w:szCs w:val="18"/>
              </w:rPr>
              <w:t>Licença de Gerenciamento do System Center Essentials 2010 Server</w:t>
            </w:r>
          </w:p>
        </w:tc>
        <w:tc>
          <w:tcPr>
            <w:tcW w:w="4593" w:type="dxa"/>
            <w:hideMark/>
          </w:tcPr>
          <w:p w:rsidR="00A30254" w:rsidRPr="000A1C8E" w:rsidRDefault="00A30254" w:rsidP="00CE334A">
            <w:pPr>
              <w:ind w:left="162"/>
              <w:rPr>
                <w:rFonts w:cs="Tahoma"/>
                <w:bCs/>
                <w:color w:val="000000"/>
                <w:szCs w:val="18"/>
              </w:rPr>
            </w:pPr>
            <w:r w:rsidRPr="000A1C8E">
              <w:rPr>
                <w:rFonts w:cs="Tahoma"/>
                <w:bCs/>
                <w:color w:val="000000"/>
                <w:szCs w:val="18"/>
              </w:rPr>
              <w:t>uma Licença de Gerenciamento de Servidores Padrão do System Center 2012 para cada oito* licenças de qualificação</w:t>
            </w:r>
          </w:p>
        </w:tc>
      </w:tr>
      <w:tr w:rsidR="00A30254" w:rsidRPr="000A1C8E" w:rsidTr="00CE334A">
        <w:tc>
          <w:tcPr>
            <w:tcW w:w="3960" w:type="dxa"/>
            <w:hideMark/>
          </w:tcPr>
          <w:p w:rsidR="00A30254" w:rsidRPr="000A1C8E" w:rsidRDefault="00A30254" w:rsidP="00CE334A">
            <w:pPr>
              <w:ind w:left="162"/>
              <w:rPr>
                <w:rFonts w:cs="Tahoma"/>
              </w:rPr>
            </w:pPr>
            <w:r w:rsidRPr="000A1C8E">
              <w:rPr>
                <w:rFonts w:cs="Tahoma"/>
                <w:bCs/>
                <w:color w:val="000000"/>
                <w:szCs w:val="18"/>
              </w:rPr>
              <w:t>System Center Essentials 2010 Plus</w:t>
            </w:r>
          </w:p>
          <w:p w:rsidR="00A30254" w:rsidRPr="000A1C8E" w:rsidRDefault="00A30254" w:rsidP="00CE334A">
            <w:pPr>
              <w:ind w:left="162"/>
              <w:rPr>
                <w:rFonts w:cs="Tahoma"/>
                <w:bCs/>
                <w:color w:val="000000"/>
                <w:szCs w:val="18"/>
              </w:rPr>
            </w:pPr>
            <w:r w:rsidRPr="000A1C8E">
              <w:rPr>
                <w:rFonts w:cs="Tahoma"/>
                <w:bCs/>
                <w:color w:val="000000"/>
                <w:szCs w:val="18"/>
              </w:rPr>
              <w:t>Pacote de Licenças de Gerenciamento de Servidor</w:t>
            </w:r>
          </w:p>
        </w:tc>
        <w:tc>
          <w:tcPr>
            <w:tcW w:w="4593" w:type="dxa"/>
            <w:hideMark/>
          </w:tcPr>
          <w:p w:rsidR="00A30254" w:rsidRPr="000A1C8E" w:rsidRDefault="00A30254" w:rsidP="00CE334A">
            <w:pPr>
              <w:ind w:left="162"/>
              <w:rPr>
                <w:rFonts w:cs="Tahoma"/>
                <w:bCs/>
                <w:color w:val="000000"/>
                <w:szCs w:val="18"/>
              </w:rPr>
            </w:pPr>
            <w:r w:rsidRPr="000A1C8E">
              <w:rPr>
                <w:rFonts w:cs="Tahoma"/>
                <w:bCs/>
                <w:color w:val="000000"/>
                <w:szCs w:val="18"/>
              </w:rPr>
              <w:t>uma Licença de Gerenciamento de Servidores Padrão do System Center 2012 para cada duas** licenças de qualificação</w:t>
            </w:r>
          </w:p>
        </w:tc>
      </w:tr>
      <w:tr w:rsidR="00A30254" w:rsidRPr="000A1C8E" w:rsidTr="00CE334A">
        <w:tc>
          <w:tcPr>
            <w:tcW w:w="3960" w:type="dxa"/>
            <w:hideMark/>
          </w:tcPr>
          <w:p w:rsidR="00A30254" w:rsidRPr="000A1C8E" w:rsidRDefault="00A30254" w:rsidP="00CE334A">
            <w:pPr>
              <w:ind w:left="162"/>
              <w:rPr>
                <w:rFonts w:cs="Tahoma"/>
                <w:bCs/>
                <w:color w:val="000000"/>
                <w:szCs w:val="18"/>
              </w:rPr>
            </w:pPr>
            <w:r w:rsidRPr="000A1C8E">
              <w:rPr>
                <w:rFonts w:cs="Tahoma"/>
                <w:bCs/>
                <w:color w:val="000000"/>
                <w:szCs w:val="18"/>
              </w:rPr>
              <w:t>Licença de Gerenciamento de Clientes do System Center Essentials 2010</w:t>
            </w:r>
          </w:p>
        </w:tc>
        <w:tc>
          <w:tcPr>
            <w:tcW w:w="4593" w:type="dxa"/>
            <w:hideMark/>
          </w:tcPr>
          <w:p w:rsidR="00A30254" w:rsidRPr="000A1C8E" w:rsidRDefault="00A30254" w:rsidP="00CE334A">
            <w:pPr>
              <w:ind w:left="162"/>
              <w:rPr>
                <w:rFonts w:cs="Tahoma"/>
                <w:bCs/>
                <w:color w:val="000000"/>
                <w:szCs w:val="18"/>
              </w:rPr>
            </w:pPr>
            <w:r w:rsidRPr="000A1C8E">
              <w:rPr>
                <w:rFonts w:cs="Tahoma"/>
                <w:bCs/>
                <w:color w:val="000000"/>
                <w:szCs w:val="18"/>
              </w:rPr>
              <w:t>uma Licença de Gerenciamento de Clientes do Gerenciador de Configuração do System Center 2012 para cada uma licença qualificada</w:t>
            </w:r>
          </w:p>
        </w:tc>
      </w:tr>
      <w:tr w:rsidR="00A30254" w:rsidRPr="000A1C8E" w:rsidTr="00CE334A">
        <w:tc>
          <w:tcPr>
            <w:tcW w:w="3960" w:type="dxa"/>
            <w:hideMark/>
          </w:tcPr>
          <w:p w:rsidR="00A30254" w:rsidRPr="000A1C8E" w:rsidRDefault="00A30254" w:rsidP="00CE334A">
            <w:pPr>
              <w:ind w:left="162"/>
              <w:rPr>
                <w:rFonts w:cs="Tahoma"/>
                <w:bCs/>
                <w:color w:val="000000"/>
                <w:szCs w:val="18"/>
              </w:rPr>
            </w:pPr>
            <w:r w:rsidRPr="000A1C8E">
              <w:rPr>
                <w:rFonts w:cs="Tahoma"/>
                <w:bCs/>
                <w:color w:val="000000"/>
                <w:szCs w:val="18"/>
              </w:rPr>
              <w:t>Licença de Gerenciamento de Cliente do System Center Essentials 2010 Plus</w:t>
            </w:r>
          </w:p>
        </w:tc>
        <w:tc>
          <w:tcPr>
            <w:tcW w:w="4593" w:type="dxa"/>
            <w:hideMark/>
          </w:tcPr>
          <w:p w:rsidR="00A30254" w:rsidRPr="000A1C8E" w:rsidRDefault="00A30254" w:rsidP="00CE334A">
            <w:pPr>
              <w:ind w:left="162"/>
              <w:rPr>
                <w:rFonts w:cs="Tahoma"/>
                <w:bCs/>
                <w:color w:val="000000"/>
                <w:szCs w:val="18"/>
              </w:rPr>
            </w:pPr>
            <w:r w:rsidRPr="000A1C8E">
              <w:rPr>
                <w:rFonts w:cs="Tahoma"/>
                <w:bCs/>
                <w:color w:val="000000"/>
                <w:szCs w:val="18"/>
              </w:rPr>
              <w:t>uma Licença de Gerenciamento de Clientes do Gerenciador de Configuração do System Center 2012 para cada uma licença qualificada</w:t>
            </w:r>
          </w:p>
        </w:tc>
      </w:tr>
      <w:tr w:rsidR="00A30254" w:rsidRPr="000A1C8E" w:rsidTr="00CE334A">
        <w:tc>
          <w:tcPr>
            <w:tcW w:w="3960" w:type="dxa"/>
            <w:hideMark/>
          </w:tcPr>
          <w:p w:rsidR="00A30254" w:rsidRPr="000A1C8E" w:rsidRDefault="00A30254" w:rsidP="00CE334A">
            <w:pPr>
              <w:ind w:left="162"/>
              <w:rPr>
                <w:rFonts w:cs="Tahoma"/>
                <w:bCs/>
                <w:color w:val="000000"/>
                <w:szCs w:val="18"/>
              </w:rPr>
            </w:pPr>
            <w:r w:rsidRPr="000A1C8E">
              <w:rPr>
                <w:rFonts w:cs="Tahoma"/>
                <w:bCs/>
                <w:color w:val="000000"/>
                <w:szCs w:val="18"/>
              </w:rPr>
              <w:t>Licença do Virtual Machine Manager Workgroup Edition Server</w:t>
            </w:r>
          </w:p>
        </w:tc>
        <w:tc>
          <w:tcPr>
            <w:tcW w:w="4593" w:type="dxa"/>
            <w:hideMark/>
          </w:tcPr>
          <w:p w:rsidR="00A30254" w:rsidRPr="000A1C8E" w:rsidRDefault="00A30254" w:rsidP="00CE334A">
            <w:pPr>
              <w:ind w:left="162"/>
              <w:rPr>
                <w:rFonts w:cs="Tahoma"/>
                <w:bCs/>
                <w:color w:val="000000"/>
                <w:szCs w:val="18"/>
              </w:rPr>
            </w:pPr>
            <w:r w:rsidRPr="000A1C8E">
              <w:rPr>
                <w:rFonts w:cs="Tahoma"/>
                <w:bCs/>
                <w:color w:val="000000"/>
                <w:szCs w:val="18"/>
              </w:rPr>
              <w:t>uma Licença de Gerenciamento de Servidores Padrão do System Center 2012 para cada duas** licenças de qualificação</w:t>
            </w:r>
          </w:p>
        </w:tc>
      </w:tr>
    </w:tbl>
    <w:p w:rsidR="00A30254" w:rsidRPr="000A1C8E" w:rsidRDefault="00A30254" w:rsidP="00A30254">
      <w:pPr>
        <w:pStyle w:val="EndnoteText"/>
        <w:rPr>
          <w:rFonts w:ascii="Tahoma" w:hAnsi="Tahoma" w:cs="Tahoma"/>
        </w:rPr>
      </w:pPr>
      <w:r w:rsidRPr="000A1C8E">
        <w:rPr>
          <w:rFonts w:ascii="Tahoma" w:hAnsi="Tahoma" w:cs="Tahoma"/>
          <w:i/>
          <w:sz w:val="16"/>
          <w:szCs w:val="16"/>
        </w:rPr>
        <w:t>*As contagens de licenças para clientes com menos de oito licenças de qualificação serão arredondados para oito para fins de determinar sua outorga de licença sob esta oferta.</w:t>
      </w:r>
      <w:r w:rsidR="00DC6D8B" w:rsidRPr="000A1C8E">
        <w:rPr>
          <w:rFonts w:ascii="Tahoma" w:hAnsi="Tahoma" w:cs="Tahoma"/>
          <w:i/>
          <w:sz w:val="16"/>
          <w:szCs w:val="16"/>
        </w:rPr>
        <w:t xml:space="preserve"> </w:t>
      </w:r>
      <w:r w:rsidRPr="000A1C8E">
        <w:rPr>
          <w:rFonts w:ascii="Tahoma" w:hAnsi="Tahoma" w:cs="Tahoma"/>
          <w:i/>
          <w:sz w:val="16"/>
          <w:szCs w:val="16"/>
        </w:rPr>
        <w:t>Da mesma forma, as contagens de licenças para clientes com licenças que ultrapassam oito serão arredondadas para o múltiplo mais próximo de oito para fins de determinar sua outorga de licença sob esta oferta.</w:t>
      </w:r>
    </w:p>
    <w:p w:rsidR="00A30254" w:rsidRPr="000A1C8E" w:rsidRDefault="00A30254" w:rsidP="00A30254">
      <w:pPr>
        <w:pStyle w:val="EndnoteText"/>
        <w:rPr>
          <w:rFonts w:ascii="Tahoma" w:hAnsi="Tahoma" w:cs="Tahoma"/>
        </w:rPr>
      </w:pPr>
    </w:p>
    <w:p w:rsidR="00A30254" w:rsidRPr="000A1C8E" w:rsidRDefault="00A30254" w:rsidP="00A30254">
      <w:pPr>
        <w:pStyle w:val="EndnoteText"/>
        <w:rPr>
          <w:rFonts w:ascii="Tahoma" w:hAnsi="Tahoma" w:cs="Tahoma"/>
        </w:rPr>
      </w:pPr>
      <w:r w:rsidRPr="000A1C8E">
        <w:rPr>
          <w:rFonts w:ascii="Tahoma" w:hAnsi="Tahoma" w:cs="Tahoma"/>
          <w:i/>
          <w:sz w:val="16"/>
          <w:szCs w:val="16"/>
        </w:rPr>
        <w:t>**As contagens de licenças para clientes com menos de duas licenças de qualificação serão arredondados para dois para fins de determinar sua outorga de licença sob esta oferta.</w:t>
      </w:r>
      <w:r w:rsidR="00DC6D8B" w:rsidRPr="000A1C8E">
        <w:rPr>
          <w:rFonts w:ascii="Tahoma" w:hAnsi="Tahoma" w:cs="Tahoma"/>
          <w:i/>
          <w:sz w:val="16"/>
          <w:szCs w:val="16"/>
        </w:rPr>
        <w:t xml:space="preserve"> </w:t>
      </w:r>
      <w:r w:rsidRPr="000A1C8E">
        <w:rPr>
          <w:rFonts w:ascii="Tahoma" w:hAnsi="Tahoma" w:cs="Tahoma"/>
          <w:i/>
          <w:sz w:val="16"/>
          <w:szCs w:val="16"/>
        </w:rPr>
        <w:t>Da mesma forma, as contagens de licenças para clientes com licenças que ultrapassam duas serão arredondadas para o múltiplo mais próximo de dois para fins de determinar sua outorga de licença sob esta oferta.</w:t>
      </w:r>
    </w:p>
    <w:p w:rsidR="00A30254" w:rsidRPr="000A1C8E" w:rsidRDefault="00A30254" w:rsidP="00CE334A">
      <w:pPr>
        <w:spacing w:line="276" w:lineRule="auto"/>
        <w:rPr>
          <w:rFonts w:cs="Tahoma"/>
        </w:rPr>
      </w:pPr>
    </w:p>
    <w:p w:rsidR="00A30254" w:rsidRPr="000A1C8E" w:rsidRDefault="00A30254" w:rsidP="00CE334A">
      <w:pPr>
        <w:pStyle w:val="EndnoteText"/>
        <w:ind w:left="720"/>
        <w:rPr>
          <w:rFonts w:ascii="Tahoma" w:hAnsi="Tahoma" w:cs="Tahoma"/>
        </w:rPr>
      </w:pPr>
      <w:r w:rsidRPr="000A1C8E">
        <w:rPr>
          <w:rFonts w:ascii="Tahoma" w:hAnsi="Tahoma" w:cs="Tahoma"/>
          <w:sz w:val="18"/>
          <w:szCs w:val="18"/>
        </w:rPr>
        <w:t xml:space="preserve">Todas as licenças concedidas sob esta oferta incluirão cobertura do Software Assurance. Essa cobertura se encerrará no término da cobertura nas licenças de SCE qualificadas. Ao término dessa cobertura, os clientes poderão renovar o Software Assurance sobre as licenças do System Center 2012. </w:t>
      </w:r>
    </w:p>
    <w:p w:rsidR="00A30254" w:rsidRPr="000A1C8E" w:rsidRDefault="00A30254" w:rsidP="00CE334A">
      <w:pPr>
        <w:spacing w:line="276" w:lineRule="auto"/>
        <w:rPr>
          <w:rFonts w:cs="Tahoma"/>
        </w:rPr>
      </w:pPr>
    </w:p>
    <w:p w:rsidR="00A30254" w:rsidRPr="00CF3F67" w:rsidRDefault="00A30254" w:rsidP="00CE334A">
      <w:pPr>
        <w:pStyle w:val="EndnoteText"/>
        <w:ind w:left="720"/>
        <w:rPr>
          <w:rFonts w:ascii="Tahoma" w:hAnsi="Tahoma" w:cs="Tahoma"/>
        </w:rPr>
      </w:pPr>
      <w:r w:rsidRPr="00CF3F67">
        <w:rPr>
          <w:rFonts w:ascii="Tahoma" w:hAnsi="Tahoma" w:cs="Tahoma"/>
          <w:sz w:val="18"/>
          <w:szCs w:val="18"/>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rsidR="00A30254" w:rsidRPr="000A1C8E" w:rsidRDefault="00A30254" w:rsidP="00CE334A">
      <w:pPr>
        <w:ind w:left="720"/>
        <w:rPr>
          <w:rFonts w:cs="Tahoma"/>
        </w:rPr>
      </w:pPr>
      <w:r w:rsidRPr="000A1C8E">
        <w:rPr>
          <w:rFonts w:eastAsia="Calibri" w:cs="Tahoma"/>
          <w:color w:val="000000"/>
          <w:szCs w:val="18"/>
        </w:rPr>
        <w:lastRenderedPageBreak/>
        <w:t>As licenças SCE</w:t>
      </w:r>
      <w:r w:rsidRPr="000A1C8E">
        <w:rPr>
          <w:rFonts w:cs="Tahoma"/>
          <w:bCs/>
          <w:szCs w:val="18"/>
        </w:rPr>
        <w:t xml:space="preserve"> adquiridas após 1° de março de 2013 como parte do processo anual de adequação (“true-up”) de um cliente para Registros Enterprise ou Enrollment for Education Solutions sob os quais as licenças para </w:t>
      </w:r>
      <w:r w:rsidRPr="000A1C8E">
        <w:rPr>
          <w:rFonts w:eastAsia="Calibri" w:cs="Tahoma"/>
          <w:color w:val="000000"/>
          <w:szCs w:val="18"/>
        </w:rPr>
        <w:t>SCE</w:t>
      </w:r>
      <w:r w:rsidRPr="000A1C8E">
        <w:rPr>
          <w:rFonts w:cs="Tahoma"/>
          <w:bCs/>
          <w:szCs w:val="18"/>
        </w:rPr>
        <w:t xml:space="preserve"> foram adquiridas pela primeira vez antes de 1° de março de 2013 também são licenças SCE de qualificação para fins desta concessão.</w:t>
      </w:r>
    </w:p>
    <w:p w:rsidR="00A30254" w:rsidRPr="000A1C8E" w:rsidRDefault="00A30254" w:rsidP="00CE334A">
      <w:pPr>
        <w:ind w:left="720"/>
        <w:rPr>
          <w:rFonts w:cs="Tahoma"/>
        </w:rPr>
      </w:pPr>
    </w:p>
    <w:p w:rsidR="00A30254" w:rsidRPr="000A1C8E" w:rsidRDefault="00A30254" w:rsidP="00332159">
      <w:pPr>
        <w:ind w:left="720"/>
        <w:rPr>
          <w:rFonts w:cs="Tahoma"/>
        </w:rPr>
      </w:pPr>
      <w:r w:rsidRPr="000A1C8E">
        <w:rPr>
          <w:rFonts w:cs="Tahoma"/>
          <w:bCs/>
          <w:szCs w:val="18"/>
        </w:rPr>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DC6D8B" w:rsidRPr="000A1C8E">
        <w:rPr>
          <w:rFonts w:cs="Tahoma"/>
          <w:bCs/>
          <w:szCs w:val="18"/>
        </w:rPr>
        <w:t xml:space="preserve"> </w:t>
      </w:r>
      <w:r w:rsidRPr="000A1C8E">
        <w:rPr>
          <w:rFonts w:cs="Tahoma"/>
          <w:bCs/>
          <w:szCs w:val="18"/>
        </w:rPr>
        <w:t>Esses direitos só se tornarão permanentes se a opção de compra (“buy-out”) for exercida e continuarão sujeitos a todos os</w:t>
      </w:r>
      <w:r w:rsidR="00332159" w:rsidRPr="000A1C8E">
        <w:rPr>
          <w:rFonts w:cs="Tahoma"/>
          <w:bCs/>
          <w:szCs w:val="18"/>
        </w:rPr>
        <w:t> </w:t>
      </w:r>
      <w:r w:rsidRPr="000A1C8E">
        <w:rPr>
          <w:rFonts w:cs="Tahoma"/>
          <w:bCs/>
          <w:szCs w:val="18"/>
        </w:rPr>
        <w:t>termos e condições do contrato de licença do cliente.</w:t>
      </w:r>
    </w:p>
    <w:p w:rsidR="00A30254" w:rsidRPr="000A1C8E" w:rsidRDefault="00A30254" w:rsidP="00602EF4">
      <w:pPr>
        <w:spacing w:after="60"/>
        <w:ind w:left="720"/>
        <w:rPr>
          <w:rFonts w:cs="Tahoma"/>
        </w:rPr>
      </w:pPr>
    </w:p>
    <w:p w:rsidR="00CE2BD2" w:rsidRPr="000A1C8E" w:rsidRDefault="00CE2BD2" w:rsidP="006D6A83">
      <w:pPr>
        <w:spacing w:after="60"/>
        <w:ind w:left="720"/>
        <w:rPr>
          <w:rFonts w:cs="Tahoma"/>
        </w:rPr>
      </w:pPr>
      <w:r w:rsidRPr="000A1C8E">
        <w:rPr>
          <w:rFonts w:cs="Tahoma"/>
          <w:b/>
          <w:color w:val="000000"/>
          <w:szCs w:val="20"/>
        </w:rPr>
        <w:t>Caminho de Migração do System Center Essentials 2007 (SCE 2007) para o System Center Essentials 2010 (SCE 2010)</w:t>
      </w:r>
    </w:p>
    <w:p w:rsidR="00A30254" w:rsidRPr="000A1C8E" w:rsidRDefault="00A30254" w:rsidP="00A30254">
      <w:pPr>
        <w:ind w:left="720"/>
        <w:rPr>
          <w:rFonts w:cs="Tahoma"/>
        </w:rPr>
      </w:pPr>
      <w:r w:rsidRPr="000A1C8E">
        <w:rPr>
          <w:rFonts w:cs="Tahoma"/>
          <w:color w:val="000000"/>
          <w:szCs w:val="20"/>
        </w:rPr>
        <w:t>Para consultar os termos e as condições que regem o direito dos clientes de atualizar para SCE 2010 a partir do SCE 2007 sob Software Assurance, consulte a Lista de Produtos de fevereiro de 2013.</w:t>
      </w:r>
    </w:p>
    <w:p w:rsidR="00CE2BD2" w:rsidRPr="000A1C8E" w:rsidRDefault="00CE2BD2" w:rsidP="0037081F">
      <w:pPr>
        <w:ind w:left="720"/>
        <w:rPr>
          <w:rFonts w:cs="Tahoma"/>
        </w:rPr>
      </w:pPr>
    </w:p>
    <w:p w:rsidR="00CE2BD2" w:rsidRPr="000A1C8E" w:rsidRDefault="00CE2BD2" w:rsidP="00CE2BD2">
      <w:pPr>
        <w:ind w:left="720"/>
        <w:rPr>
          <w:rFonts w:cs="Tahoma"/>
        </w:rPr>
      </w:pPr>
    </w:p>
    <w:p w:rsidR="00ED5504" w:rsidRPr="000A1C8E" w:rsidRDefault="00A560B6" w:rsidP="00ED5504">
      <w:pPr>
        <w:pStyle w:val="Heading3"/>
        <w:rPr>
          <w:rFonts w:ascii="Tahoma" w:hAnsi="Tahoma" w:cs="Tahoma"/>
        </w:rPr>
      </w:pPr>
      <w:bookmarkStart w:id="1536" w:name="_80_System_Center"/>
      <w:bookmarkStart w:id="1537" w:name="_95_System_Center"/>
      <w:bookmarkStart w:id="1538" w:name="_81_System_Center"/>
      <w:bookmarkStart w:id="1539" w:name="_82_System_Center"/>
      <w:bookmarkStart w:id="1540" w:name="_83_System_Center"/>
      <w:bookmarkStart w:id="1541" w:name="_84__System"/>
      <w:bookmarkStart w:id="1542" w:name="_87_85_System"/>
      <w:bookmarkStart w:id="1543" w:name="_92_System_Center"/>
      <w:bookmarkStart w:id="1544" w:name="_Toc336338353"/>
      <w:bookmarkStart w:id="1545" w:name="_Toc361829436"/>
      <w:bookmarkStart w:id="1546" w:name="Srv_88SystemCtrReportMgr2006"/>
      <w:bookmarkStart w:id="1547" w:name="Srv_89SysCtrSvrMgmtSuiteEnterprise"/>
      <w:bookmarkEnd w:id="1536"/>
      <w:bookmarkEnd w:id="1537"/>
      <w:bookmarkEnd w:id="1538"/>
      <w:bookmarkEnd w:id="1539"/>
      <w:bookmarkEnd w:id="1540"/>
      <w:bookmarkEnd w:id="1541"/>
      <w:bookmarkEnd w:id="1542"/>
      <w:bookmarkEnd w:id="1543"/>
      <w:r w:rsidRPr="000A1C8E">
        <w:rPr>
          <w:rFonts w:ascii="Tahoma" w:hAnsi="Tahoma" w:cs="Tahoma"/>
          <w:caps/>
          <w:color w:val="F66400"/>
          <w:sz w:val="22"/>
          <w:vertAlign w:val="superscript"/>
        </w:rPr>
        <w:t>93</w:t>
      </w:r>
      <w:r w:rsidRPr="000A1C8E">
        <w:rPr>
          <w:rFonts w:ascii="Tahoma" w:hAnsi="Tahoma" w:cs="Tahoma"/>
          <w:color w:val="F66400"/>
          <w:sz w:val="22"/>
        </w:rPr>
        <w:t xml:space="preserve"> System Center Reporting Manager 2006</w:t>
      </w:r>
      <w:bookmarkEnd w:id="1544"/>
      <w:bookmarkEnd w:id="1545"/>
    </w:p>
    <w:bookmarkEnd w:id="1546"/>
    <w:p w:rsidR="00ED5504" w:rsidRPr="000A1C8E" w:rsidRDefault="00ED5504" w:rsidP="00D511CC">
      <w:pPr>
        <w:pStyle w:val="EndnoteText"/>
        <w:ind w:left="0"/>
        <w:rPr>
          <w:rFonts w:ascii="Tahoma" w:hAnsi="Tahoma" w:cs="Tahoma"/>
        </w:rPr>
      </w:pPr>
    </w:p>
    <w:p w:rsidR="00ED5504" w:rsidRPr="000A1C8E" w:rsidRDefault="00ED5504" w:rsidP="00D511CC">
      <w:pPr>
        <w:pStyle w:val="EndnoteText"/>
        <w:ind w:left="720"/>
        <w:rPr>
          <w:rFonts w:ascii="Tahoma" w:hAnsi="Tahoma" w:cs="Tahoma"/>
        </w:rPr>
      </w:pPr>
      <w:r w:rsidRPr="000A1C8E">
        <w:rPr>
          <w:rFonts w:ascii="Tahoma" w:hAnsi="Tahoma" w:cs="Tahoma"/>
          <w:sz w:val="18"/>
        </w:rPr>
        <w:t>Este produto encontra-se no status EOL (Fim da Vida Útil) e não será mais oferecido.</w:t>
      </w:r>
    </w:p>
    <w:p w:rsidR="00ED5504" w:rsidRPr="000A1C8E" w:rsidRDefault="00ED5504" w:rsidP="00D511CC">
      <w:pPr>
        <w:pStyle w:val="EndnoteText"/>
        <w:ind w:left="720"/>
        <w:rPr>
          <w:rFonts w:ascii="Tahoma" w:hAnsi="Tahoma" w:cs="Tahoma"/>
        </w:rPr>
      </w:pPr>
    </w:p>
    <w:p w:rsidR="00ED5504" w:rsidRPr="00CF3F67" w:rsidRDefault="00ED5504" w:rsidP="00D511CC">
      <w:pPr>
        <w:pStyle w:val="EndnoteText"/>
        <w:spacing w:after="60"/>
        <w:ind w:left="720"/>
        <w:rPr>
          <w:rFonts w:ascii="Tahoma" w:hAnsi="Tahoma" w:cs="Tahoma"/>
          <w:spacing w:val="-2"/>
        </w:rPr>
      </w:pPr>
      <w:r w:rsidRPr="00CF3F67">
        <w:rPr>
          <w:rFonts w:ascii="Tahoma" w:hAnsi="Tahoma" w:cs="Tahoma"/>
          <w:b/>
          <w:spacing w:val="-2"/>
          <w:sz w:val="18"/>
        </w:rPr>
        <w:t>Outorga de Licença Única para Titulares de Licenças do System Center Reporting Manager 2006</w:t>
      </w:r>
    </w:p>
    <w:p w:rsidR="00ED5504" w:rsidRPr="000A1C8E" w:rsidRDefault="00ED5504" w:rsidP="00D511CC">
      <w:pPr>
        <w:pStyle w:val="EndnoteText"/>
        <w:ind w:left="720"/>
        <w:rPr>
          <w:rFonts w:ascii="Tahoma" w:hAnsi="Tahoma" w:cs="Tahoma"/>
        </w:rPr>
      </w:pPr>
      <w:r w:rsidRPr="000A1C8E">
        <w:rPr>
          <w:rFonts w:ascii="Tahoma" w:hAnsi="Tahoma" w:cs="Tahoma"/>
          <w:sz w:val="18"/>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 2010, as seguintes licenças sem custos adicionais, exceto pelos custos da mídia (se aplicável)</w:t>
      </w:r>
      <w:r w:rsidRPr="000A1C8E">
        <w:rPr>
          <w:rFonts w:ascii="Tahoma" w:hAnsi="Tahoma" w:cs="Tahoma"/>
          <w:color w:val="000000"/>
          <w:sz w:val="18"/>
          <w:szCs w:val="20"/>
        </w:rPr>
        <w:t>:</w:t>
      </w:r>
    </w:p>
    <w:p w:rsidR="00ED5504" w:rsidRPr="000A1C8E" w:rsidRDefault="00ED5504" w:rsidP="00D511CC">
      <w:pPr>
        <w:pStyle w:val="EndnoteText"/>
        <w:rPr>
          <w:rFonts w:ascii="Tahoma" w:hAnsi="Tahoma" w:cs="Tahoma"/>
        </w:rPr>
      </w:pPr>
    </w:p>
    <w:p w:rsidR="00ED5504" w:rsidRPr="000A1C8E" w:rsidRDefault="00ED5504" w:rsidP="00D511CC">
      <w:pPr>
        <w:pStyle w:val="EndnoteText"/>
        <w:numPr>
          <w:ilvl w:val="0"/>
          <w:numId w:val="7"/>
        </w:numPr>
        <w:tabs>
          <w:tab w:val="left" w:pos="1440"/>
        </w:tabs>
        <w:spacing w:after="60"/>
        <w:ind w:left="1440"/>
        <w:rPr>
          <w:rFonts w:ascii="Tahoma" w:hAnsi="Tahoma" w:cs="Tahoma"/>
        </w:rPr>
      </w:pPr>
      <w:r w:rsidRPr="000A1C8E">
        <w:rPr>
          <w:rFonts w:ascii="Tahoma" w:hAnsi="Tahoma" w:cs="Tahoma"/>
          <w:sz w:val="18"/>
        </w:rPr>
        <w:t>Uma licença de Servidor de Gerenciamento do System Center Service Manager 2010 (sem Tecnologia SQL)</w:t>
      </w:r>
    </w:p>
    <w:p w:rsidR="00ED5504" w:rsidRPr="000A1C8E" w:rsidRDefault="00ED5504" w:rsidP="00D511CC">
      <w:pPr>
        <w:pStyle w:val="EndnoteText"/>
        <w:numPr>
          <w:ilvl w:val="0"/>
          <w:numId w:val="7"/>
        </w:numPr>
        <w:spacing w:after="60"/>
        <w:ind w:left="1440"/>
        <w:rPr>
          <w:rFonts w:ascii="Tahoma" w:hAnsi="Tahoma" w:cs="Tahoma"/>
        </w:rPr>
      </w:pPr>
      <w:r w:rsidRPr="000A1C8E">
        <w:rPr>
          <w:rFonts w:ascii="Tahoma" w:hAnsi="Tahoma" w:cs="Tahoma"/>
          <w:sz w:val="18"/>
        </w:rPr>
        <w:t>Cinco licenças de Gerenciamento de Servidor do System Center Service Manager 2010</w:t>
      </w:r>
    </w:p>
    <w:p w:rsidR="00ED5504" w:rsidRPr="000A1C8E" w:rsidRDefault="00ED5504" w:rsidP="00D511CC">
      <w:pPr>
        <w:pStyle w:val="EndnoteText"/>
        <w:numPr>
          <w:ilvl w:val="0"/>
          <w:numId w:val="7"/>
        </w:numPr>
        <w:spacing w:after="60"/>
        <w:ind w:left="1440"/>
        <w:rPr>
          <w:rFonts w:ascii="Tahoma" w:hAnsi="Tahoma" w:cs="Tahoma"/>
        </w:rPr>
      </w:pPr>
      <w:r w:rsidRPr="000A1C8E">
        <w:rPr>
          <w:rFonts w:ascii="Tahoma" w:hAnsi="Tahoma" w:cs="Tahoma"/>
          <w:sz w:val="18"/>
        </w:rPr>
        <w:t>Trinta licenças de Gerenciamento de Cliente do System Center Service Manager 2010</w:t>
      </w:r>
    </w:p>
    <w:p w:rsidR="00ED5504" w:rsidRPr="000A1C8E" w:rsidRDefault="00ED5504" w:rsidP="00D511CC">
      <w:pPr>
        <w:pStyle w:val="EndnoteText"/>
        <w:ind w:left="0"/>
        <w:rPr>
          <w:rFonts w:ascii="Tahoma" w:hAnsi="Tahoma" w:cs="Tahoma"/>
        </w:rPr>
      </w:pPr>
    </w:p>
    <w:p w:rsidR="00ED5504" w:rsidRPr="000A1C8E" w:rsidRDefault="00ED5504" w:rsidP="00D511CC">
      <w:pPr>
        <w:pStyle w:val="EndnoteText"/>
        <w:ind w:left="720"/>
        <w:rPr>
          <w:rFonts w:ascii="Tahoma" w:hAnsi="Tahoma" w:cs="Tahoma"/>
        </w:rPr>
      </w:pPr>
      <w:r w:rsidRPr="000A1C8E">
        <w:rPr>
          <w:rFonts w:ascii="Tahoma" w:hAnsi="Tahoma" w:cs="Tahoma"/>
          <w:sz w:val="18"/>
        </w:rPr>
        <w:t xml:space="preserve">Todas as licenças concedidas sob esta oferta incluirão cobertura do Software Assurance. Essa cobertura se encerrará no término da cobertura do System Center Reporting Manager 2006 correspondente. Ao término dessa cobertura, os clientes poderão renovar o Software Assurance sobre as licenças outorgadas. </w:t>
      </w:r>
    </w:p>
    <w:p w:rsidR="00ED5504" w:rsidRPr="000A1C8E" w:rsidRDefault="00ED5504" w:rsidP="00D511CC">
      <w:pPr>
        <w:pStyle w:val="EndnoteText"/>
        <w:ind w:left="720"/>
        <w:rPr>
          <w:rFonts w:ascii="Tahoma" w:hAnsi="Tahoma" w:cs="Tahoma"/>
        </w:rPr>
      </w:pPr>
    </w:p>
    <w:p w:rsidR="00ED5504" w:rsidRPr="000A1C8E" w:rsidRDefault="00ED5504" w:rsidP="00332159">
      <w:pPr>
        <w:pStyle w:val="EndnoteText"/>
        <w:ind w:left="720"/>
        <w:rPr>
          <w:rFonts w:ascii="Tahoma" w:hAnsi="Tahoma" w:cs="Tahoma"/>
        </w:rPr>
      </w:pPr>
      <w:r w:rsidRPr="000A1C8E">
        <w:rPr>
          <w:rFonts w:ascii="Tahoma" w:hAnsi="Tahoma" w:cs="Tahoma"/>
          <w:sz w:val="18"/>
        </w:rPr>
        <w:t>O uso que um cliente faz do software outorgado sob esta oferta está sujeito aos termos e condições de seu</w:t>
      </w:r>
      <w:r w:rsidR="00332159" w:rsidRPr="000A1C8E">
        <w:rPr>
          <w:rFonts w:ascii="Tahoma" w:hAnsi="Tahoma" w:cs="Tahoma"/>
          <w:sz w:val="18"/>
        </w:rPr>
        <w:t> </w:t>
      </w:r>
      <w:r w:rsidRPr="000A1C8E">
        <w:rPr>
          <w:rFonts w:ascii="Tahoma" w:hAnsi="Tahoma" w:cs="Tahoma"/>
          <w:sz w:val="18"/>
        </w:rPr>
        <w:t>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rsidR="00ED5504" w:rsidRPr="000A1C8E" w:rsidRDefault="00ED5504" w:rsidP="00D511CC">
      <w:pPr>
        <w:pStyle w:val="EndnoteText"/>
        <w:ind w:left="720"/>
        <w:rPr>
          <w:rFonts w:ascii="Tahoma" w:hAnsi="Tahoma" w:cs="Tahoma"/>
        </w:rPr>
      </w:pPr>
    </w:p>
    <w:p w:rsidR="00ED5504" w:rsidRPr="000A1C8E" w:rsidRDefault="00ED5504" w:rsidP="00D511CC">
      <w:pPr>
        <w:ind w:left="720"/>
        <w:rPr>
          <w:rFonts w:cs="Tahoma"/>
        </w:rPr>
      </w:pPr>
      <w:r w:rsidRPr="000A1C8E">
        <w:rPr>
          <w:rFonts w:eastAsia="Calibri" w:cs="Tahoma"/>
          <w:color w:val="000000"/>
          <w:szCs w:val="18"/>
        </w:rPr>
        <w:t>As licenças do System Center Reporting Manager 2006</w:t>
      </w:r>
      <w:r w:rsidRPr="000A1C8E">
        <w:rPr>
          <w:rFonts w:cs="Tahoma"/>
          <w:bCs/>
          <w:szCs w:val="18"/>
        </w:rPr>
        <w:t xml:space="preserve"> adquiridas após 31 de maio de 2010 como parte do processo anual de adequação (“true-up”) de um cliente para Registros Enterprise sob os quais as licenças do </w:t>
      </w:r>
      <w:r w:rsidRPr="000A1C8E">
        <w:rPr>
          <w:rFonts w:eastAsia="Calibri" w:cs="Tahoma"/>
          <w:color w:val="000000"/>
          <w:szCs w:val="18"/>
        </w:rPr>
        <w:t>System Center Reporting Manager 2006</w:t>
      </w:r>
      <w:r w:rsidRPr="000A1C8E">
        <w:rPr>
          <w:rFonts w:cs="Tahoma"/>
          <w:bCs/>
          <w:szCs w:val="18"/>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rsidR="00ED5504" w:rsidRPr="000A1C8E" w:rsidRDefault="00ED5504" w:rsidP="00D511CC">
      <w:pPr>
        <w:ind w:left="720"/>
        <w:rPr>
          <w:rFonts w:cs="Tahoma"/>
        </w:rPr>
      </w:pPr>
    </w:p>
    <w:p w:rsidR="00ED5504" w:rsidRPr="000A1C8E" w:rsidRDefault="00ED5504" w:rsidP="00D511CC">
      <w:pPr>
        <w:pStyle w:val="EndnoteText"/>
        <w:ind w:left="720"/>
        <w:rPr>
          <w:rFonts w:ascii="Tahoma" w:hAnsi="Tahoma" w:cs="Tahoma"/>
        </w:rPr>
      </w:pPr>
      <w:r w:rsidRPr="000A1C8E">
        <w:rPr>
          <w:rFonts w:ascii="Tahoma" w:hAnsi="Tahoma" w:cs="Tahoma"/>
          <w:bCs/>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DC6D8B" w:rsidRPr="000A1C8E">
        <w:rPr>
          <w:rFonts w:ascii="Tahoma" w:hAnsi="Tahoma" w:cs="Tahoma"/>
          <w:bCs/>
          <w:sz w:val="18"/>
          <w:szCs w:val="18"/>
        </w:rPr>
        <w:t xml:space="preserve"> </w:t>
      </w:r>
      <w:r w:rsidRPr="000A1C8E">
        <w:rPr>
          <w:rFonts w:ascii="Tahoma" w:hAnsi="Tahoma" w:cs="Tahoma"/>
          <w:bCs/>
          <w:sz w:val="18"/>
          <w:szCs w:val="18"/>
        </w:rPr>
        <w:t>Esses direitos só se tornarão permanentes se a opção de compra (“buy-out”) for exercida e continuarão sujeitos a todos os termos e condições do contrato de licença do cliente.</w:t>
      </w:r>
    </w:p>
    <w:p w:rsidR="00023FE7" w:rsidRDefault="00023FE7" w:rsidP="00D511CC">
      <w:pPr>
        <w:pStyle w:val="EndnoteText"/>
        <w:rPr>
          <w:rFonts w:ascii="Tahoma" w:hAnsi="Tahoma" w:cs="Tahoma"/>
        </w:rPr>
      </w:pPr>
    </w:p>
    <w:p w:rsidR="00CF3F67" w:rsidRPr="000A1C8E" w:rsidRDefault="00CF3F67" w:rsidP="00D511CC">
      <w:pPr>
        <w:pStyle w:val="EndnoteText"/>
        <w:rPr>
          <w:rFonts w:ascii="Tahoma" w:hAnsi="Tahoma" w:cs="Tahoma"/>
        </w:rPr>
      </w:pPr>
    </w:p>
    <w:p w:rsidR="00023FE7" w:rsidRPr="000A1C8E" w:rsidRDefault="00A560B6">
      <w:pPr>
        <w:pStyle w:val="Heading3"/>
        <w:rPr>
          <w:rFonts w:ascii="Tahoma" w:hAnsi="Tahoma" w:cs="Tahoma"/>
        </w:rPr>
      </w:pPr>
      <w:bookmarkStart w:id="1548" w:name="Srv_85SysCtrSvrMgmtSuiteEnterprise"/>
      <w:bookmarkStart w:id="1549" w:name="_85_System_Center"/>
      <w:bookmarkStart w:id="1550" w:name="_98_System_Center"/>
      <w:bookmarkStart w:id="1551" w:name="_93_System_Center"/>
      <w:bookmarkStart w:id="1552" w:name="_Toc336338354"/>
      <w:bookmarkStart w:id="1553" w:name="_Toc361829437"/>
      <w:bookmarkEnd w:id="1548"/>
      <w:bookmarkEnd w:id="1549"/>
      <w:bookmarkEnd w:id="1550"/>
      <w:bookmarkEnd w:id="1551"/>
      <w:r w:rsidRPr="000A1C8E">
        <w:rPr>
          <w:rFonts w:ascii="Tahoma" w:hAnsi="Tahoma" w:cs="Tahoma"/>
          <w:caps/>
          <w:color w:val="F66400"/>
          <w:sz w:val="22"/>
          <w:vertAlign w:val="superscript"/>
        </w:rPr>
        <w:lastRenderedPageBreak/>
        <w:t xml:space="preserve">94 </w:t>
      </w:r>
      <w:r w:rsidRPr="000A1C8E">
        <w:rPr>
          <w:rFonts w:ascii="Tahoma" w:hAnsi="Tahoma" w:cs="Tahoma"/>
          <w:color w:val="F66400"/>
          <w:sz w:val="22"/>
        </w:rPr>
        <w:t>System Center Server Management Suite Enterprise</w:t>
      </w:r>
      <w:bookmarkEnd w:id="1552"/>
      <w:bookmarkEnd w:id="1553"/>
    </w:p>
    <w:bookmarkEnd w:id="1547"/>
    <w:p w:rsidR="00023FE7" w:rsidRPr="00CF3F67" w:rsidRDefault="00023FE7" w:rsidP="00D511CC">
      <w:pPr>
        <w:pStyle w:val="EndnoteText"/>
        <w:ind w:left="720"/>
        <w:rPr>
          <w:rFonts w:ascii="Tahoma" w:hAnsi="Tahoma" w:cs="Tahoma"/>
          <w:sz w:val="18"/>
          <w:szCs w:val="18"/>
        </w:rPr>
      </w:pPr>
    </w:p>
    <w:p w:rsidR="00FF4CAB" w:rsidRPr="00CF3F67" w:rsidRDefault="00FF4CAB" w:rsidP="00D511CC">
      <w:pPr>
        <w:pStyle w:val="EndnoteText"/>
        <w:ind w:left="720"/>
        <w:rPr>
          <w:rFonts w:ascii="Tahoma" w:hAnsi="Tahoma" w:cs="Tahoma"/>
          <w:sz w:val="18"/>
          <w:szCs w:val="18"/>
        </w:rPr>
      </w:pPr>
      <w:r w:rsidRPr="00CF3F67">
        <w:rPr>
          <w:rFonts w:ascii="Tahoma" w:hAnsi="Tahoma" w:cs="Tahoma"/>
          <w:color w:val="000000"/>
          <w:sz w:val="18"/>
          <w:szCs w:val="18"/>
        </w:rPr>
        <w:t>Este produto encontra-se no status EOL (Fim da Vida Útil) e não será mais oferecido.</w:t>
      </w:r>
    </w:p>
    <w:p w:rsidR="00D511CC" w:rsidRPr="00CF3F67" w:rsidRDefault="00D511CC" w:rsidP="00D511CC">
      <w:pPr>
        <w:pStyle w:val="EndnoteText"/>
        <w:ind w:left="720"/>
        <w:rPr>
          <w:rFonts w:ascii="Tahoma" w:hAnsi="Tahoma" w:cs="Tahoma"/>
          <w:sz w:val="18"/>
          <w:szCs w:val="18"/>
        </w:rPr>
      </w:pPr>
    </w:p>
    <w:p w:rsidR="00FF4CAB" w:rsidRPr="000A1C8E" w:rsidRDefault="00FF4CAB" w:rsidP="00D511CC">
      <w:pPr>
        <w:pStyle w:val="FootnoteBulletLevel1"/>
        <w:tabs>
          <w:tab w:val="clear" w:pos="900"/>
        </w:tabs>
        <w:spacing w:before="0" w:after="60"/>
        <w:ind w:left="720" w:firstLine="0"/>
        <w:rPr>
          <w:rFonts w:ascii="Tahoma" w:hAnsi="Tahoma" w:cs="Tahoma"/>
        </w:rPr>
      </w:pPr>
      <w:r w:rsidRPr="000A1C8E">
        <w:rPr>
          <w:rFonts w:ascii="Tahoma" w:hAnsi="Tahoma" w:cs="Tahoma"/>
          <w:b/>
          <w:sz w:val="18"/>
        </w:rPr>
        <w:t>Detalhes da Outorga de Licença Transicional Única do System Center 2012</w:t>
      </w:r>
    </w:p>
    <w:p w:rsidR="00FF4CAB" w:rsidRPr="000A1C8E" w:rsidRDefault="00FF4CAB" w:rsidP="00D511CC">
      <w:pPr>
        <w:ind w:left="720"/>
        <w:rPr>
          <w:rFonts w:cs="Tahoma"/>
        </w:rPr>
      </w:pPr>
      <w:r w:rsidRPr="000A1C8E">
        <w:rPr>
          <w:rFonts w:cs="Tahoma"/>
        </w:rPr>
        <w:t>Consulte a nota do produto nas ofertas do System Center 2012 para obter detalhes sobre as outorgas de licença transicionais.</w:t>
      </w:r>
    </w:p>
    <w:p w:rsidR="00FF4CAB" w:rsidRPr="000A1C8E" w:rsidRDefault="00FF4CAB" w:rsidP="00D511CC">
      <w:pPr>
        <w:ind w:left="720"/>
        <w:rPr>
          <w:rFonts w:cs="Tahoma"/>
        </w:rPr>
      </w:pPr>
    </w:p>
    <w:p w:rsidR="00023FE7" w:rsidRPr="000A1C8E" w:rsidRDefault="00023FE7" w:rsidP="00D511CC">
      <w:pPr>
        <w:ind w:left="720"/>
        <w:rPr>
          <w:rFonts w:cs="Tahoma"/>
        </w:rPr>
      </w:pPr>
      <w:r w:rsidRPr="000A1C8E">
        <w:rPr>
          <w:rFonts w:cs="Tahoma"/>
          <w:szCs w:val="20"/>
        </w:rPr>
        <w:t xml:space="preserve">O System Center Server Management Suite Enterprise é </w:t>
      </w:r>
      <w:r w:rsidRPr="000A1C8E">
        <w:rPr>
          <w:rFonts w:cs="Tahoma"/>
          <w:color w:val="000000"/>
          <w:szCs w:val="20"/>
        </w:rPr>
        <w:t>independente da versão e os direitos de uso de produto são determinados pelo status da cobertura do Software Assurance para o System Center Server Management Suite Enterprise.</w:t>
      </w:r>
      <w:r w:rsidR="00DC6D8B" w:rsidRPr="000A1C8E">
        <w:rPr>
          <w:rFonts w:cs="Tahoma"/>
          <w:color w:val="000000"/>
          <w:szCs w:val="20"/>
        </w:rPr>
        <w:t xml:space="preserve"> </w:t>
      </w:r>
      <w:r w:rsidRPr="000A1C8E">
        <w:rPr>
          <w:rFonts w:cs="Tahoma"/>
          <w:color w:val="000000"/>
          <w:szCs w:val="20"/>
        </w:rPr>
        <w:t>Se a cobertura for interrompida, os direitos de acesso sob as licenças perpétuas serão determinados com base nos direitos de uso de produto em vigor antes da interrupção.</w:t>
      </w:r>
      <w:r w:rsidR="00DC6D8B" w:rsidRPr="000A1C8E">
        <w:rPr>
          <w:rFonts w:cs="Tahoma"/>
          <w:color w:val="000000"/>
          <w:szCs w:val="20"/>
        </w:rPr>
        <w:t xml:space="preserve"> </w:t>
      </w:r>
    </w:p>
    <w:p w:rsidR="00E72B93" w:rsidRPr="000A1C8E" w:rsidRDefault="00E72B93" w:rsidP="00D511CC">
      <w:pPr>
        <w:ind w:left="720"/>
        <w:rPr>
          <w:rFonts w:cs="Tahoma"/>
        </w:rPr>
      </w:pPr>
    </w:p>
    <w:p w:rsidR="005C164D" w:rsidRPr="000A1C8E" w:rsidRDefault="005C164D" w:rsidP="000274CC">
      <w:pPr>
        <w:ind w:left="720"/>
        <w:jc w:val="both"/>
        <w:rPr>
          <w:rFonts w:cs="Tahoma"/>
        </w:rPr>
      </w:pPr>
      <w:r w:rsidRPr="000A1C8E">
        <w:rPr>
          <w:rFonts w:cs="Tahoma"/>
          <w:color w:val="000000"/>
          <w:szCs w:val="18"/>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w:t>
      </w:r>
      <w:r w:rsidR="000274CC" w:rsidRPr="000A1C8E">
        <w:rPr>
          <w:rFonts w:cs="Tahoma"/>
          <w:color w:val="000000"/>
          <w:szCs w:val="18"/>
        </w:rPr>
        <w:t> </w:t>
      </w:r>
      <w:r w:rsidRPr="000A1C8E">
        <w:rPr>
          <w:rFonts w:cs="Tahoma"/>
          <w:color w:val="000000"/>
          <w:szCs w:val="18"/>
        </w:rPr>
        <w:t>uso.</w:t>
      </w:r>
    </w:p>
    <w:p w:rsidR="00023FE7" w:rsidRPr="000A1C8E" w:rsidRDefault="00023FE7" w:rsidP="00D511CC">
      <w:pPr>
        <w:ind w:left="720"/>
        <w:rPr>
          <w:rFonts w:cs="Tahoma"/>
        </w:rPr>
      </w:pPr>
    </w:p>
    <w:p w:rsidR="004323B9" w:rsidRPr="000A1C8E" w:rsidRDefault="00D511CC" w:rsidP="00D511CC">
      <w:pPr>
        <w:spacing w:after="60"/>
        <w:ind w:left="720"/>
        <w:rPr>
          <w:rFonts w:cs="Tahoma"/>
        </w:rPr>
      </w:pPr>
      <w:r w:rsidRPr="000A1C8E">
        <w:rPr>
          <w:rFonts w:cs="Tahoma"/>
          <w:b/>
          <w:szCs w:val="20"/>
        </w:rPr>
        <w:t>Outorga de Licença</w:t>
      </w:r>
    </w:p>
    <w:p w:rsidR="004323B9" w:rsidRPr="00CF3F67" w:rsidRDefault="004323B9" w:rsidP="00D511CC">
      <w:pPr>
        <w:pStyle w:val="FootnoteBulletLevel1"/>
        <w:tabs>
          <w:tab w:val="left" w:pos="900"/>
        </w:tabs>
        <w:spacing w:before="0" w:after="0"/>
        <w:ind w:left="720" w:firstLine="0"/>
        <w:rPr>
          <w:rFonts w:ascii="Tahoma" w:hAnsi="Tahoma" w:cs="Tahoma"/>
          <w:sz w:val="18"/>
          <w:szCs w:val="18"/>
        </w:rPr>
      </w:pPr>
      <w:r w:rsidRPr="00CF3F67">
        <w:rPr>
          <w:rFonts w:ascii="Tahoma" w:hAnsi="Tahoma" w:cs="Tahoma"/>
          <w:sz w:val="18"/>
          <w:szCs w:val="18"/>
        </w:rPr>
        <w:t>Outorga de Licença Única do System Center Server Management Suite Datacenter (SMSD) para Titulares de Licenças do System Center Server Management Suite Enterprise (SMSE).</w:t>
      </w:r>
    </w:p>
    <w:p w:rsidR="000A18AA" w:rsidRPr="00CF3F67" w:rsidRDefault="000A18AA" w:rsidP="00D511CC">
      <w:pPr>
        <w:pStyle w:val="FootnoteBulletLevel1"/>
        <w:tabs>
          <w:tab w:val="left" w:pos="900"/>
        </w:tabs>
        <w:spacing w:before="0" w:after="0"/>
        <w:ind w:left="720" w:firstLine="0"/>
        <w:rPr>
          <w:rFonts w:ascii="Tahoma" w:hAnsi="Tahoma" w:cs="Tahoma"/>
          <w:sz w:val="18"/>
          <w:szCs w:val="18"/>
        </w:rPr>
      </w:pPr>
    </w:p>
    <w:p w:rsidR="004323B9" w:rsidRPr="00CF3F67"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CF3F67">
        <w:rPr>
          <w:rFonts w:ascii="Tahoma" w:hAnsi="Tahoma" w:cs="Tahoma"/>
          <w:sz w:val="18"/>
          <w:szCs w:val="18"/>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 de julho de 2009 os seguintes itens</w:t>
      </w:r>
      <w:r w:rsidRPr="00CF3F67">
        <w:rPr>
          <w:rFonts w:ascii="Tahoma" w:hAnsi="Tahoma" w:cs="Tahoma"/>
          <w:color w:val="000000"/>
          <w:sz w:val="18"/>
          <w:szCs w:val="18"/>
        </w:rPr>
        <w:t>:</w:t>
      </w:r>
    </w:p>
    <w:p w:rsidR="000A18AA" w:rsidRPr="00CF3F67"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0A1C8E" w:rsidRDefault="004323B9" w:rsidP="00D511CC">
      <w:pPr>
        <w:numPr>
          <w:ilvl w:val="0"/>
          <w:numId w:val="3"/>
        </w:numPr>
        <w:ind w:left="1440"/>
        <w:rPr>
          <w:rFonts w:cs="Tahoma"/>
        </w:rPr>
      </w:pPr>
      <w:r w:rsidRPr="000A1C8E">
        <w:rPr>
          <w:rFonts w:cs="Tahoma"/>
          <w:color w:val="000000"/>
          <w:szCs w:val="20"/>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rsidR="000A18AA" w:rsidRPr="000A1C8E" w:rsidRDefault="000A18AA" w:rsidP="000A18AA">
      <w:pPr>
        <w:rPr>
          <w:rFonts w:cs="Tahoma"/>
        </w:rPr>
      </w:pPr>
    </w:p>
    <w:p w:rsidR="004323B9" w:rsidRPr="00CF3F67" w:rsidRDefault="004323B9" w:rsidP="00D511CC">
      <w:pPr>
        <w:pStyle w:val="FootnoteBulletLevel1"/>
        <w:tabs>
          <w:tab w:val="clear" w:pos="900"/>
        </w:tabs>
        <w:spacing w:before="0" w:after="0"/>
        <w:ind w:left="720" w:firstLine="0"/>
        <w:rPr>
          <w:rFonts w:ascii="Tahoma" w:hAnsi="Tahoma" w:cs="Tahoma"/>
          <w:sz w:val="18"/>
          <w:szCs w:val="18"/>
        </w:rPr>
      </w:pPr>
      <w:r w:rsidRPr="00CF3F67">
        <w:rPr>
          <w:rFonts w:ascii="Tahoma" w:hAnsi="Tahoma" w:cs="Tahoma"/>
          <w:sz w:val="18"/>
          <w:szCs w:val="18"/>
        </w:rPr>
        <w:t>Os direitos de gerenciamento associados às licenças gratuitas do SMSD serão outorgados no lugar dos direitos de gerenciamento associados às licenças do SMSE qualificadas.</w:t>
      </w:r>
      <w:r w:rsidR="00DC6D8B" w:rsidRPr="00CF3F67">
        <w:rPr>
          <w:rFonts w:ascii="Tahoma" w:hAnsi="Tahoma" w:cs="Tahoma"/>
          <w:sz w:val="18"/>
          <w:szCs w:val="18"/>
        </w:rPr>
        <w:t xml:space="preserve"> </w:t>
      </w:r>
      <w:r w:rsidRPr="00CF3F67">
        <w:rPr>
          <w:rFonts w:ascii="Tahoma" w:hAnsi="Tahoma" w:cs="Tahoma"/>
          <w:sz w:val="18"/>
          <w:szCs w:val="18"/>
        </w:rPr>
        <w:t>Com a cessão das licenças do SMSD outorgadas, o cliente perderá os direitos de gerenciamento sob a licença do SMSE correspondente.</w:t>
      </w:r>
    </w:p>
    <w:p w:rsidR="004323B9" w:rsidRPr="00CF3F67" w:rsidRDefault="004323B9" w:rsidP="00D511CC">
      <w:pPr>
        <w:pStyle w:val="FootnoteBulletLevel1"/>
        <w:tabs>
          <w:tab w:val="clear" w:pos="900"/>
        </w:tabs>
        <w:spacing w:before="0" w:after="0"/>
        <w:ind w:left="720" w:firstLine="0"/>
        <w:rPr>
          <w:rFonts w:ascii="Tahoma" w:hAnsi="Tahoma" w:cs="Tahoma"/>
          <w:sz w:val="18"/>
          <w:szCs w:val="18"/>
        </w:rPr>
      </w:pPr>
      <w:r w:rsidRPr="00CF3F67">
        <w:rPr>
          <w:rFonts w:ascii="Tahoma" w:hAnsi="Tahoma" w:cs="Tahoma"/>
          <w:sz w:val="18"/>
          <w:szCs w:val="18"/>
        </w:rPr>
        <w:t>Quaisquer licenças outorgadas sob esta oferta estarão sujeitas à seguinte limitação:</w:t>
      </w:r>
      <w:r w:rsidRPr="00CF3F67">
        <w:rPr>
          <w:rFonts w:ascii="Tahoma" w:hAnsi="Tahoma" w:cs="Tahoma"/>
          <w:color w:val="000000"/>
          <w:sz w:val="18"/>
          <w:szCs w:val="18"/>
        </w:rPr>
        <w:t xml:space="preserve"> cada conjunto de licenças do SMSD outorgadas deverá ser cedido a um único dispositivo</w:t>
      </w:r>
      <w:r w:rsidRPr="00CF3F67">
        <w:rPr>
          <w:rFonts w:ascii="Tahoma" w:hAnsi="Tahoma" w:cs="Tahoma"/>
          <w:sz w:val="18"/>
          <w:szCs w:val="18"/>
        </w:rPr>
        <w:t>.</w:t>
      </w:r>
    </w:p>
    <w:p w:rsidR="000A18AA" w:rsidRPr="00CF3F67" w:rsidRDefault="000A18AA" w:rsidP="00D511CC">
      <w:pPr>
        <w:pStyle w:val="FootnoteBulletLevel1"/>
        <w:tabs>
          <w:tab w:val="clear" w:pos="900"/>
        </w:tabs>
        <w:spacing w:before="0" w:after="0"/>
        <w:ind w:left="720" w:firstLine="0"/>
        <w:rPr>
          <w:rFonts w:ascii="Tahoma" w:hAnsi="Tahoma" w:cs="Tahoma"/>
          <w:sz w:val="18"/>
          <w:szCs w:val="18"/>
        </w:rPr>
      </w:pPr>
    </w:p>
    <w:p w:rsidR="00CF7343" w:rsidRPr="00CF3F67" w:rsidRDefault="004323B9" w:rsidP="000A18AA">
      <w:pPr>
        <w:pStyle w:val="FootnoteBulletLevel1"/>
        <w:tabs>
          <w:tab w:val="clear" w:pos="900"/>
        </w:tabs>
        <w:spacing w:before="0" w:after="60"/>
        <w:ind w:left="720" w:firstLine="0"/>
        <w:rPr>
          <w:rFonts w:ascii="Tahoma" w:hAnsi="Tahoma" w:cs="Tahoma"/>
          <w:sz w:val="18"/>
          <w:szCs w:val="18"/>
        </w:rPr>
      </w:pPr>
      <w:r w:rsidRPr="00CF3F67">
        <w:rPr>
          <w:rFonts w:ascii="Tahoma" w:hAnsi="Tahoma" w:cs="Tahoma"/>
          <w:b/>
          <w:color w:val="000000"/>
          <w:sz w:val="18"/>
          <w:szCs w:val="18"/>
        </w:rPr>
        <w:t>Opções na renovação do Software Assurance</w:t>
      </w:r>
      <w:r w:rsidR="00DC6D8B" w:rsidRPr="00CF3F67">
        <w:rPr>
          <w:rFonts w:ascii="Tahoma" w:hAnsi="Tahoma" w:cs="Tahoma"/>
          <w:b/>
          <w:color w:val="000000"/>
          <w:sz w:val="18"/>
          <w:szCs w:val="18"/>
        </w:rPr>
        <w:t xml:space="preserve"> </w:t>
      </w:r>
    </w:p>
    <w:p w:rsidR="004323B9" w:rsidRPr="00CF3F67" w:rsidRDefault="004323B9" w:rsidP="00D511CC">
      <w:pPr>
        <w:pStyle w:val="FootnoteBulletLevel1"/>
        <w:tabs>
          <w:tab w:val="clear" w:pos="900"/>
        </w:tabs>
        <w:spacing w:before="0" w:after="0"/>
        <w:ind w:left="720" w:firstLine="0"/>
        <w:rPr>
          <w:rFonts w:ascii="Tahoma" w:hAnsi="Tahoma" w:cs="Tahoma"/>
          <w:sz w:val="18"/>
          <w:szCs w:val="18"/>
        </w:rPr>
      </w:pPr>
      <w:r w:rsidRPr="00CF3F67">
        <w:rPr>
          <w:rFonts w:ascii="Tahoma" w:hAnsi="Tahoma" w:cs="Tahoma"/>
          <w:color w:val="000000"/>
          <w:sz w:val="18"/>
          <w:szCs w:val="18"/>
        </w:rPr>
        <w:t xml:space="preserve">Quaisquer licenças outorgadas sob esta oferta incluirão uma cobertura do Software Assurance que se encerrará quando a cobertura sobre as licenças qualificadas correspondentes se encerrar. </w:t>
      </w:r>
      <w:r w:rsidRPr="00CF3F67">
        <w:rPr>
          <w:rFonts w:ascii="Tahoma" w:hAnsi="Tahoma" w:cs="Tahoma"/>
          <w:sz w:val="18"/>
          <w:szCs w:val="18"/>
        </w:rPr>
        <w:t>Ao término da cobertura do Software Assurance, os clientes poderão renovar o Software Assurance de acordo com uma das seguintes opções:</w:t>
      </w:r>
    </w:p>
    <w:p w:rsidR="000A18AA" w:rsidRPr="00CF3F67" w:rsidRDefault="000A18AA" w:rsidP="00D511CC">
      <w:pPr>
        <w:pStyle w:val="FootnoteBulletLevel1"/>
        <w:tabs>
          <w:tab w:val="clear" w:pos="900"/>
        </w:tabs>
        <w:spacing w:before="0" w:after="0"/>
        <w:ind w:left="720" w:firstLine="0"/>
        <w:rPr>
          <w:rFonts w:ascii="Tahoma" w:hAnsi="Tahoma" w:cs="Tahoma"/>
          <w:sz w:val="18"/>
          <w:szCs w:val="18"/>
        </w:rPr>
      </w:pPr>
    </w:p>
    <w:p w:rsidR="004323B9" w:rsidRPr="00CF3F67" w:rsidRDefault="004323B9" w:rsidP="000274CC">
      <w:pPr>
        <w:pStyle w:val="FootnoteBulletLevel1"/>
        <w:numPr>
          <w:ilvl w:val="0"/>
          <w:numId w:val="13"/>
        </w:numPr>
        <w:tabs>
          <w:tab w:val="left" w:pos="720"/>
        </w:tabs>
        <w:spacing w:before="0" w:after="60"/>
        <w:ind w:left="1440"/>
        <w:rPr>
          <w:rFonts w:ascii="Tahoma" w:hAnsi="Tahoma" w:cs="Tahoma"/>
          <w:sz w:val="18"/>
          <w:szCs w:val="18"/>
        </w:rPr>
      </w:pPr>
      <w:r w:rsidRPr="00CF3F67">
        <w:rPr>
          <w:rFonts w:ascii="Tahoma" w:hAnsi="Tahoma" w:cs="Tahoma"/>
          <w:sz w:val="18"/>
          <w:szCs w:val="18"/>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0274CC" w:rsidRPr="00CF3F67">
        <w:rPr>
          <w:rFonts w:ascii="Tahoma" w:hAnsi="Tahoma" w:cs="Tahoma"/>
          <w:sz w:val="18"/>
          <w:szCs w:val="18"/>
        </w:rPr>
        <w:t> </w:t>
      </w:r>
      <w:r w:rsidRPr="00CF3F67">
        <w:rPr>
          <w:rFonts w:ascii="Tahoma" w:hAnsi="Tahoma" w:cs="Tahoma"/>
          <w:sz w:val="18"/>
          <w:szCs w:val="18"/>
        </w:rPr>
        <w:t>cliente perderá os direitos às quatro licenças gratuitas do SMSD.</w:t>
      </w:r>
    </w:p>
    <w:p w:rsidR="004323B9" w:rsidRPr="00CF3F67" w:rsidRDefault="004323B9" w:rsidP="000A18AA">
      <w:pPr>
        <w:pStyle w:val="FootnoteBulletLevel1"/>
        <w:numPr>
          <w:ilvl w:val="0"/>
          <w:numId w:val="14"/>
        </w:numPr>
        <w:tabs>
          <w:tab w:val="left" w:pos="720"/>
        </w:tabs>
        <w:spacing w:before="0" w:after="60"/>
        <w:ind w:left="1440"/>
        <w:rPr>
          <w:rFonts w:ascii="Tahoma" w:hAnsi="Tahoma" w:cs="Tahoma"/>
          <w:sz w:val="18"/>
          <w:szCs w:val="18"/>
        </w:rPr>
      </w:pPr>
      <w:r w:rsidRPr="00CF3F67">
        <w:rPr>
          <w:rFonts w:ascii="Tahoma" w:hAnsi="Tahoma" w:cs="Tahoma"/>
          <w:sz w:val="18"/>
          <w:szCs w:val="18"/>
        </w:rPr>
        <w:t>Os clientes poderão renovar a cobertura para as licenças gratuitas do SMSD:</w:t>
      </w:r>
    </w:p>
    <w:p w:rsidR="004323B9" w:rsidRPr="00CF3F67"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CF3F67">
        <w:rPr>
          <w:rFonts w:ascii="Tahoma" w:hAnsi="Tahoma" w:cs="Tahoma"/>
          <w:sz w:val="18"/>
          <w:szCs w:val="18"/>
        </w:rPr>
        <w:t>Os clientes poderão renovar a cobertura para todas as licenças do SMSD do conjunto de quatro licenças gratuitas do SMSD outorgadas sob esta oferta. Nesta opção, o requisito para alocar o conjunto de quatro licenças a um único dispositivo será dispensado.</w:t>
      </w:r>
    </w:p>
    <w:p w:rsidR="004323B9" w:rsidRPr="000A1C8E" w:rsidRDefault="004323B9" w:rsidP="000A18AA">
      <w:pPr>
        <w:pStyle w:val="FootnoteBulletLevel1"/>
        <w:numPr>
          <w:ilvl w:val="2"/>
          <w:numId w:val="15"/>
        </w:numPr>
        <w:tabs>
          <w:tab w:val="left" w:pos="720"/>
        </w:tabs>
        <w:spacing w:before="0" w:after="60"/>
        <w:ind w:left="1980"/>
        <w:rPr>
          <w:rFonts w:ascii="Tahoma" w:hAnsi="Tahoma" w:cs="Tahoma"/>
        </w:rPr>
      </w:pPr>
      <w:r w:rsidRPr="000A1C8E">
        <w:rPr>
          <w:rFonts w:ascii="Tahoma" w:hAnsi="Tahoma" w:cs="Tahoma"/>
          <w:sz w:val="18"/>
        </w:rPr>
        <w:t xml:space="preserve">Os clientes que renovarem o Software Assurance antes de 1° de julho de 2011 poderão renovar a cobertura para duas licenças do conjunto de quatro licenças gratuitas do SMSD </w:t>
      </w:r>
      <w:r w:rsidRPr="000A1C8E">
        <w:rPr>
          <w:rFonts w:ascii="Tahoma" w:hAnsi="Tahoma" w:cs="Tahoma"/>
          <w:sz w:val="18"/>
        </w:rPr>
        <w:lastRenderedPageBreak/>
        <w:t>outorgadas sob esta oferta. Se eles fizerem isso, terão sua cobertura considerada renovada para as quatro licenças do SMSD do mesmo conjunto.</w:t>
      </w:r>
      <w:r w:rsidR="00DC6D8B" w:rsidRPr="000A1C8E">
        <w:rPr>
          <w:rFonts w:ascii="Tahoma" w:hAnsi="Tahoma" w:cs="Tahoma"/>
          <w:sz w:val="18"/>
        </w:rPr>
        <w:t xml:space="preserve"> </w:t>
      </w:r>
      <w:r w:rsidRPr="000A1C8E">
        <w:rPr>
          <w:rFonts w:ascii="Tahoma" w:hAnsi="Tahoma" w:cs="Tahoma"/>
          <w:sz w:val="18"/>
        </w:rPr>
        <w:t>Nesta opção, o requisito para alocar o conjunto de quatro licenças a um único dispositivo continuará a ser aplicável na ocasião da renovação.</w:t>
      </w:r>
      <w:r w:rsidR="00DC6D8B" w:rsidRPr="000A1C8E">
        <w:rPr>
          <w:rFonts w:ascii="Tahoma" w:hAnsi="Tahoma" w:cs="Tahoma"/>
          <w:sz w:val="18"/>
        </w:rPr>
        <w:t xml:space="preserve"> </w:t>
      </w:r>
      <w:r w:rsidRPr="000A1C8E">
        <w:rPr>
          <w:rFonts w:ascii="Tahoma" w:hAnsi="Tahoma" w:cs="Tahoma"/>
          <w:sz w:val="18"/>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 SMSD a um único dispositivo só será dispensado nessa renovação subsequente se a cobertura para todas as quatro licenças do SMSD for renovada.</w:t>
      </w:r>
    </w:p>
    <w:p w:rsidR="00D63733" w:rsidRPr="00CF3F67" w:rsidRDefault="00D63733" w:rsidP="00D511CC">
      <w:pPr>
        <w:pStyle w:val="FootnoteBulletLevel1"/>
        <w:tabs>
          <w:tab w:val="clear" w:pos="900"/>
          <w:tab w:val="left" w:pos="720"/>
        </w:tabs>
        <w:spacing w:before="0" w:after="0"/>
        <w:ind w:firstLine="0"/>
        <w:rPr>
          <w:rFonts w:ascii="Tahoma" w:hAnsi="Tahoma" w:cs="Tahoma"/>
          <w:sz w:val="18"/>
          <w:szCs w:val="18"/>
        </w:rPr>
      </w:pPr>
    </w:p>
    <w:p w:rsidR="00CF7343" w:rsidRPr="00CF3F67" w:rsidRDefault="004323B9" w:rsidP="000A18AA">
      <w:pPr>
        <w:pStyle w:val="FootnoteBulletLevel1"/>
        <w:tabs>
          <w:tab w:val="clear" w:pos="900"/>
          <w:tab w:val="left" w:pos="720"/>
        </w:tabs>
        <w:spacing w:before="0" w:after="60"/>
        <w:ind w:left="720" w:firstLine="0"/>
        <w:rPr>
          <w:rFonts w:ascii="Tahoma" w:hAnsi="Tahoma" w:cs="Tahoma"/>
          <w:sz w:val="18"/>
          <w:szCs w:val="18"/>
        </w:rPr>
      </w:pPr>
      <w:r w:rsidRPr="00CF3F67">
        <w:rPr>
          <w:rFonts w:ascii="Tahoma" w:hAnsi="Tahoma" w:cs="Tahoma"/>
          <w:b/>
          <w:sz w:val="18"/>
          <w:szCs w:val="18"/>
        </w:rPr>
        <w:t>Remoção da limitação de que c</w:t>
      </w:r>
      <w:r w:rsidRPr="00CF3F67">
        <w:rPr>
          <w:rFonts w:ascii="Tahoma" w:hAnsi="Tahoma" w:cs="Tahoma"/>
          <w:b/>
          <w:color w:val="000000"/>
          <w:sz w:val="18"/>
          <w:szCs w:val="18"/>
        </w:rPr>
        <w:t>ada conjunto de licenças do SMSD outorgadas deverá ser alocado a um único dispositivo</w:t>
      </w:r>
    </w:p>
    <w:p w:rsidR="004323B9" w:rsidRPr="00CF3F67"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CF3F67">
        <w:rPr>
          <w:rFonts w:ascii="Tahoma" w:hAnsi="Tahoma" w:cs="Tahoma"/>
          <w:sz w:val="18"/>
          <w:szCs w:val="18"/>
        </w:rPr>
        <w:t xml:space="preserve">A qualquer momento antes da primeira renovação do Software Assurance após esta outorga, os clientes poderão remover o requisito de que </w:t>
      </w:r>
      <w:r w:rsidRPr="00CF3F67">
        <w:rPr>
          <w:rFonts w:ascii="Tahoma" w:hAnsi="Tahoma" w:cs="Tahoma"/>
          <w:color w:val="000000"/>
          <w:sz w:val="18"/>
          <w:szCs w:val="18"/>
        </w:rPr>
        <w:t>cada conjunto de licenças do SMSD outorgadas deverá ser alocado a um único dispositivo. Para isso, deverão</w:t>
      </w:r>
      <w:r w:rsidRPr="00CF3F67">
        <w:rPr>
          <w:rFonts w:ascii="Tahoma" w:hAnsi="Tahoma" w:cs="Tahoma"/>
          <w:sz w:val="18"/>
          <w:szCs w:val="18"/>
        </w:rPr>
        <w:t xml:space="preserve"> comprar a cobertura do Software Assurance para duas licenças do SMSD de um dado conjunto de quatro licenças gratuitas do SMSD.</w:t>
      </w:r>
      <w:r w:rsidR="00DC6D8B" w:rsidRPr="00CF3F67">
        <w:rPr>
          <w:rFonts w:ascii="Tahoma" w:hAnsi="Tahoma" w:cs="Tahoma"/>
          <w:sz w:val="18"/>
          <w:szCs w:val="18"/>
        </w:rPr>
        <w:t xml:space="preserve"> </w:t>
      </w:r>
    </w:p>
    <w:p w:rsidR="000A18AA" w:rsidRPr="00CF3F67"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CF3F67"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CF3F67">
        <w:rPr>
          <w:rFonts w:ascii="Tahoma" w:hAnsi="Tahoma" w:cs="Tahoma"/>
          <w:sz w:val="18"/>
          <w:szCs w:val="18"/>
        </w:rPr>
        <w:t>O direito de uso do software pelos clientes sob as licenças gratuitas do SMSD é comprovado por esta nota de condição do produto e por evidências das licenças qualificadas correspondentes.</w:t>
      </w:r>
      <w:r w:rsidR="00DC6D8B" w:rsidRPr="00CF3F67">
        <w:rPr>
          <w:rFonts w:ascii="Tahoma" w:hAnsi="Tahoma" w:cs="Tahoma"/>
          <w:sz w:val="18"/>
          <w:szCs w:val="18"/>
        </w:rPr>
        <w:t xml:space="preserve"> </w:t>
      </w:r>
      <w:r w:rsidRPr="00CF3F67">
        <w:rPr>
          <w:rFonts w:ascii="Tahoma" w:hAnsi="Tahoma" w:cs="Tahoma"/>
          <w:sz w:val="18"/>
          <w:szCs w:val="18"/>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rsidR="000A18AA" w:rsidRPr="00CF3F67"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F23A1B" w:rsidRPr="00CF3F67" w:rsidRDefault="004323B9" w:rsidP="000274CC">
      <w:pPr>
        <w:pStyle w:val="FootnoteBulletLevel1"/>
        <w:tabs>
          <w:tab w:val="clear" w:pos="900"/>
          <w:tab w:val="left" w:pos="720"/>
        </w:tabs>
        <w:spacing w:before="0" w:after="0"/>
        <w:ind w:left="720" w:firstLine="0"/>
        <w:rPr>
          <w:rFonts w:ascii="Tahoma" w:hAnsi="Tahoma" w:cs="Tahoma"/>
          <w:sz w:val="18"/>
          <w:szCs w:val="18"/>
        </w:rPr>
      </w:pPr>
      <w:r w:rsidRPr="00CF3F67">
        <w:rPr>
          <w:rFonts w:ascii="Tahoma" w:hAnsi="Tahoma" w:cs="Tahoma"/>
          <w:sz w:val="18"/>
          <w:szCs w:val="18"/>
        </w:rPr>
        <w:t>*As alterações no licenciamento do SMSE são efetivas para o System Center Operations Manager 2007 R2 e</w:t>
      </w:r>
      <w:r w:rsidR="000274CC" w:rsidRPr="00CF3F67">
        <w:rPr>
          <w:rFonts w:ascii="Tahoma" w:hAnsi="Tahoma" w:cs="Tahoma"/>
          <w:sz w:val="18"/>
          <w:szCs w:val="18"/>
        </w:rPr>
        <w:t> </w:t>
      </w:r>
      <w:r w:rsidRPr="00CF3F67">
        <w:rPr>
          <w:rFonts w:ascii="Tahoma" w:hAnsi="Tahoma" w:cs="Tahoma"/>
          <w:sz w:val="18"/>
          <w:szCs w:val="18"/>
        </w:rPr>
        <w:t>para novos lançamentos dos outros produtos incluídos no System Center Server Management Suite Enterprise (por exemplo, o System Center Virtual Machine Manager 2008 R2).</w:t>
      </w:r>
    </w:p>
    <w:p w:rsidR="000A18AA" w:rsidRPr="00CF3F67" w:rsidRDefault="000A18AA" w:rsidP="000A18AA">
      <w:pPr>
        <w:pStyle w:val="FootnoteBulletLevel1"/>
        <w:tabs>
          <w:tab w:val="clear" w:pos="900"/>
          <w:tab w:val="left" w:pos="720"/>
        </w:tabs>
        <w:spacing w:before="0" w:after="0"/>
        <w:rPr>
          <w:rFonts w:ascii="Tahoma" w:hAnsi="Tahoma" w:cs="Tahoma"/>
          <w:sz w:val="18"/>
          <w:szCs w:val="18"/>
        </w:rPr>
      </w:pPr>
    </w:p>
    <w:p w:rsidR="000A18AA" w:rsidRPr="00CF3F67" w:rsidRDefault="000A18AA" w:rsidP="000A18AA">
      <w:pPr>
        <w:pStyle w:val="FootnoteBulletLevel1"/>
        <w:tabs>
          <w:tab w:val="clear" w:pos="900"/>
          <w:tab w:val="left" w:pos="720"/>
        </w:tabs>
        <w:spacing w:before="0" w:after="0"/>
        <w:rPr>
          <w:rFonts w:ascii="Tahoma" w:hAnsi="Tahoma" w:cs="Tahoma"/>
          <w:sz w:val="18"/>
          <w:szCs w:val="18"/>
        </w:rPr>
      </w:pPr>
    </w:p>
    <w:p w:rsidR="00F411FE" w:rsidRPr="000A1C8E" w:rsidRDefault="00A560B6" w:rsidP="0097015A">
      <w:pPr>
        <w:pStyle w:val="Heading3"/>
        <w:rPr>
          <w:rFonts w:ascii="Tahoma" w:hAnsi="Tahoma" w:cs="Tahoma"/>
        </w:rPr>
      </w:pPr>
      <w:bookmarkStart w:id="1554" w:name="_86_System_Center"/>
      <w:bookmarkStart w:id="1555" w:name="_94_System_Center"/>
      <w:bookmarkStart w:id="1556" w:name="_Toc336338355"/>
      <w:bookmarkStart w:id="1557" w:name="_Toc361829438"/>
      <w:bookmarkStart w:id="1558" w:name="Srv_90SysCtrSvrMgmtSuiteDatacenter"/>
      <w:bookmarkEnd w:id="1554"/>
      <w:bookmarkEnd w:id="1555"/>
      <w:r w:rsidRPr="000A1C8E">
        <w:rPr>
          <w:rFonts w:ascii="Tahoma" w:hAnsi="Tahoma" w:cs="Tahoma"/>
          <w:caps/>
          <w:color w:val="FF7415"/>
          <w:sz w:val="22"/>
          <w:szCs w:val="22"/>
          <w:vertAlign w:val="superscript"/>
        </w:rPr>
        <w:t xml:space="preserve">95 </w:t>
      </w:r>
      <w:r w:rsidRPr="000A1C8E">
        <w:rPr>
          <w:rFonts w:ascii="Tahoma" w:hAnsi="Tahoma" w:cs="Tahoma"/>
          <w:color w:val="FF7415"/>
          <w:sz w:val="22"/>
          <w:szCs w:val="22"/>
        </w:rPr>
        <w:t>System Center Server Management Suite Datacenter</w:t>
      </w:r>
      <w:bookmarkEnd w:id="1556"/>
      <w:bookmarkEnd w:id="1557"/>
    </w:p>
    <w:bookmarkEnd w:id="1558"/>
    <w:p w:rsidR="00F411FE" w:rsidRPr="000A1C8E" w:rsidRDefault="00F411FE" w:rsidP="00F411FE">
      <w:pPr>
        <w:ind w:left="360"/>
        <w:rPr>
          <w:rFonts w:cs="Tahoma"/>
        </w:rPr>
      </w:pPr>
    </w:p>
    <w:p w:rsidR="00FF4CAB" w:rsidRPr="000A1C8E" w:rsidRDefault="00FF4CAB" w:rsidP="000A18AA">
      <w:pPr>
        <w:pStyle w:val="EndnoteText"/>
        <w:ind w:left="720"/>
        <w:rPr>
          <w:rFonts w:ascii="Tahoma" w:hAnsi="Tahoma" w:cs="Tahoma"/>
        </w:rPr>
      </w:pPr>
      <w:r w:rsidRPr="000A1C8E">
        <w:rPr>
          <w:rFonts w:ascii="Tahoma" w:hAnsi="Tahoma" w:cs="Tahoma"/>
          <w:color w:val="000000"/>
          <w:sz w:val="18"/>
        </w:rPr>
        <w:t xml:space="preserve">Este produto encontra-se no status EOL (Fim da Vida Útil) e não será mais oferecido. </w:t>
      </w:r>
    </w:p>
    <w:p w:rsidR="004F0CAE" w:rsidRPr="00CF3F67" w:rsidRDefault="004F0CAE" w:rsidP="000A18AA">
      <w:pPr>
        <w:pStyle w:val="EndnoteText"/>
        <w:ind w:left="720"/>
        <w:rPr>
          <w:rFonts w:ascii="Tahoma" w:hAnsi="Tahoma" w:cs="Tahoma"/>
          <w:sz w:val="18"/>
          <w:szCs w:val="18"/>
        </w:rPr>
      </w:pPr>
    </w:p>
    <w:p w:rsidR="00FF4CAB" w:rsidRPr="000A1C8E" w:rsidRDefault="00FF4CAB" w:rsidP="004F0CAE">
      <w:pPr>
        <w:pStyle w:val="FootnoteBulletLevel1"/>
        <w:tabs>
          <w:tab w:val="clear" w:pos="900"/>
        </w:tabs>
        <w:spacing w:before="0" w:after="60"/>
        <w:ind w:left="720" w:firstLine="0"/>
        <w:rPr>
          <w:rFonts w:ascii="Tahoma" w:hAnsi="Tahoma" w:cs="Tahoma"/>
        </w:rPr>
      </w:pPr>
      <w:r w:rsidRPr="000A1C8E">
        <w:rPr>
          <w:rFonts w:ascii="Tahoma" w:hAnsi="Tahoma" w:cs="Tahoma"/>
          <w:b/>
          <w:sz w:val="18"/>
        </w:rPr>
        <w:t>Detalhes da Outorga de Licença Transicional Única do System Center 2012</w:t>
      </w:r>
    </w:p>
    <w:p w:rsidR="00FF4CAB" w:rsidRPr="000A1C8E" w:rsidRDefault="00FF4CAB" w:rsidP="000A18AA">
      <w:pPr>
        <w:ind w:left="720"/>
        <w:rPr>
          <w:rFonts w:cs="Tahoma"/>
        </w:rPr>
      </w:pPr>
      <w:r w:rsidRPr="000A1C8E">
        <w:rPr>
          <w:rFonts w:cs="Tahoma"/>
        </w:rPr>
        <w:t>Consulte a nota do produto nas ofertas do System Center 2012 para obter detalhes sobre as outorgas de licença transicionais.</w:t>
      </w:r>
    </w:p>
    <w:p w:rsidR="00FF4CAB" w:rsidRPr="000A1C8E" w:rsidRDefault="00FF4CAB" w:rsidP="000A18AA">
      <w:pPr>
        <w:ind w:left="720"/>
        <w:rPr>
          <w:rFonts w:cs="Tahoma"/>
        </w:rPr>
      </w:pPr>
    </w:p>
    <w:p w:rsidR="00F411FE" w:rsidRPr="000A1C8E" w:rsidRDefault="00F411FE" w:rsidP="000A18AA">
      <w:pPr>
        <w:ind w:left="720"/>
        <w:rPr>
          <w:rFonts w:cs="Tahoma"/>
        </w:rPr>
      </w:pPr>
      <w:r w:rsidRPr="000A1C8E">
        <w:rPr>
          <w:rFonts w:cs="Tahoma"/>
          <w:szCs w:val="20"/>
        </w:rPr>
        <w:t>O System Center Server Management Suite Datacenter é independente da versão e os direitos de uso de produto são determinados pelo status da cobertura do Software Assurance para o System Center Server Management Suite Datacenter.</w:t>
      </w:r>
      <w:r w:rsidR="00DC6D8B" w:rsidRPr="000A1C8E">
        <w:rPr>
          <w:rFonts w:cs="Tahoma"/>
          <w:szCs w:val="20"/>
        </w:rPr>
        <w:t xml:space="preserve"> </w:t>
      </w:r>
      <w:r w:rsidRPr="000A1C8E">
        <w:rPr>
          <w:rFonts w:cs="Tahoma"/>
          <w:szCs w:val="20"/>
        </w:rPr>
        <w:t>Se a cobertura for interrompida, os direitos de acesso sob as licenças perpétuas serão determinados com base nos direitos de uso de produto em vigor antes da interrupção.</w:t>
      </w:r>
      <w:r w:rsidR="00DC6D8B" w:rsidRPr="000A1C8E">
        <w:rPr>
          <w:rFonts w:cs="Tahoma"/>
          <w:szCs w:val="20"/>
        </w:rPr>
        <w:t xml:space="preserve"> </w:t>
      </w:r>
    </w:p>
    <w:p w:rsidR="00E72B93" w:rsidRPr="000A1C8E" w:rsidRDefault="00E72B93" w:rsidP="000A18AA">
      <w:pPr>
        <w:ind w:left="720"/>
        <w:rPr>
          <w:rFonts w:cs="Tahoma"/>
        </w:rPr>
      </w:pPr>
    </w:p>
    <w:p w:rsidR="00143CF6" w:rsidRPr="000A1C8E" w:rsidRDefault="005C164D" w:rsidP="003165D6">
      <w:pPr>
        <w:ind w:left="720"/>
        <w:rPr>
          <w:rFonts w:cs="Tahoma"/>
          <w:spacing w:val="-2"/>
        </w:rPr>
      </w:pPr>
      <w:r w:rsidRPr="000A1C8E">
        <w:rPr>
          <w:rFonts w:cs="Tahoma"/>
          <w:color w:val="000000"/>
          <w:spacing w:val="-2"/>
          <w:szCs w:val="18"/>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bookmarkStart w:id="1559" w:name="_90_System_Center"/>
      <w:bookmarkEnd w:id="1559"/>
    </w:p>
    <w:p w:rsidR="00FF4CAB" w:rsidRPr="000A1C8E" w:rsidRDefault="00FF4CAB" w:rsidP="004F0CAE">
      <w:pPr>
        <w:rPr>
          <w:rFonts w:cs="Tahoma"/>
        </w:rPr>
      </w:pPr>
      <w:bookmarkStart w:id="1560" w:name="Srv_92TechNetPlusSingleUser"/>
    </w:p>
    <w:p w:rsidR="000274CC" w:rsidRPr="000A1C8E" w:rsidRDefault="000274CC" w:rsidP="004F0CAE">
      <w:pPr>
        <w:rPr>
          <w:rFonts w:cs="Tahoma"/>
        </w:rPr>
      </w:pPr>
    </w:p>
    <w:p w:rsidR="000274CC" w:rsidRPr="000A1C8E" w:rsidRDefault="000274CC" w:rsidP="004F0CAE">
      <w:pPr>
        <w:rPr>
          <w:rFonts w:cs="Tahoma"/>
        </w:rPr>
      </w:pPr>
    </w:p>
    <w:p w:rsidR="00FF4CAB" w:rsidRPr="000A1C8E" w:rsidRDefault="00FF4CAB" w:rsidP="004F0CAE">
      <w:pPr>
        <w:rPr>
          <w:rFonts w:cs="Tahoma"/>
        </w:rPr>
      </w:pPr>
    </w:p>
    <w:p w:rsidR="000274CC" w:rsidRPr="000A1C8E" w:rsidRDefault="000274CC" w:rsidP="004F0CAE">
      <w:pPr>
        <w:rPr>
          <w:rFonts w:cs="Tahoma"/>
        </w:rPr>
      </w:pPr>
    </w:p>
    <w:p w:rsidR="00FF4CAB" w:rsidRPr="000A1C8E" w:rsidRDefault="00A560B6" w:rsidP="00EF5E27">
      <w:pPr>
        <w:pStyle w:val="Heading3"/>
        <w:ind w:left="245" w:hanging="245"/>
        <w:rPr>
          <w:rFonts w:ascii="Tahoma" w:hAnsi="Tahoma" w:cs="Tahoma"/>
        </w:rPr>
      </w:pPr>
      <w:bookmarkStart w:id="1561" w:name="_87_System_Center"/>
      <w:bookmarkStart w:id="1562" w:name="_Toc336338357"/>
      <w:bookmarkStart w:id="1563" w:name="_Toc361829439"/>
      <w:bookmarkStart w:id="1564" w:name="Srv_100SysCenterVMM2008R2"/>
      <w:bookmarkEnd w:id="1561"/>
      <w:r w:rsidRPr="000A1C8E">
        <w:rPr>
          <w:rFonts w:ascii="Tahoma" w:hAnsi="Tahoma" w:cs="Tahoma"/>
          <w:caps/>
          <w:color w:val="FF6F0D"/>
          <w:sz w:val="22"/>
          <w:szCs w:val="22"/>
          <w:vertAlign w:val="superscript"/>
        </w:rPr>
        <w:t>96</w:t>
      </w:r>
      <w:r w:rsidRPr="000A1C8E">
        <w:rPr>
          <w:rFonts w:ascii="Tahoma" w:hAnsi="Tahoma" w:cs="Tahoma"/>
          <w:color w:val="FF6F0D"/>
          <w:sz w:val="22"/>
          <w:szCs w:val="22"/>
        </w:rPr>
        <w:t xml:space="preserve"> System Center Virtual Machine Manager 2008 R2 – Licenças de Gerenciamento de Cliente e Servidor</w:t>
      </w:r>
      <w:bookmarkEnd w:id="1562"/>
      <w:bookmarkEnd w:id="1563"/>
    </w:p>
    <w:bookmarkEnd w:id="1564"/>
    <w:p w:rsidR="00FF4CAB" w:rsidRPr="000A1C8E" w:rsidRDefault="00FF4CAB" w:rsidP="004F0CAE">
      <w:pPr>
        <w:rPr>
          <w:rFonts w:cs="Tahoma"/>
        </w:rPr>
      </w:pPr>
    </w:p>
    <w:p w:rsidR="00FF4CAB" w:rsidRPr="000A1C8E" w:rsidRDefault="00FF4CAB" w:rsidP="004F0CAE">
      <w:pPr>
        <w:ind w:left="720"/>
        <w:rPr>
          <w:rFonts w:cs="Tahoma"/>
        </w:rPr>
      </w:pPr>
      <w:r w:rsidRPr="000A1C8E">
        <w:rPr>
          <w:rFonts w:cs="Tahoma"/>
        </w:rPr>
        <w:t>Estes produtos encontram-se no status EOL (Fim da Vida Útil) e não serão mais oferecidos.</w:t>
      </w:r>
    </w:p>
    <w:p w:rsidR="004F0CAE" w:rsidRPr="000A1C8E" w:rsidRDefault="004F0CAE" w:rsidP="004F0CAE">
      <w:pPr>
        <w:ind w:left="720"/>
        <w:rPr>
          <w:rFonts w:cs="Tahoma"/>
        </w:rPr>
      </w:pPr>
    </w:p>
    <w:p w:rsidR="00FF4CAB" w:rsidRPr="000A1C8E" w:rsidRDefault="00FF4CAB" w:rsidP="004F0CAE">
      <w:pPr>
        <w:adjustRightInd w:val="0"/>
        <w:spacing w:after="60"/>
        <w:ind w:left="720"/>
        <w:textAlignment w:val="baseline"/>
        <w:rPr>
          <w:rFonts w:cs="Tahoma"/>
        </w:rPr>
      </w:pPr>
      <w:r w:rsidRPr="000A1C8E">
        <w:rPr>
          <w:rFonts w:cs="Tahoma"/>
          <w:b/>
          <w:szCs w:val="20"/>
        </w:rPr>
        <w:t>Detalhes da Outorga de Licença Transicional Única do System Center 2012</w:t>
      </w:r>
    </w:p>
    <w:p w:rsidR="00586FCE" w:rsidRPr="000A1C8E" w:rsidRDefault="00FF4CAB" w:rsidP="004F0CAE">
      <w:pPr>
        <w:ind w:left="720"/>
        <w:rPr>
          <w:rFonts w:cs="Tahoma"/>
        </w:rPr>
      </w:pPr>
      <w:r w:rsidRPr="000A1C8E">
        <w:rPr>
          <w:rFonts w:cs="Tahoma"/>
        </w:rPr>
        <w:t>Consulte a nota do produto nas ofertas do System Center 2012 para obter detalhes sobre as outorgas de licença</w:t>
      </w:r>
      <w:bookmarkStart w:id="1565" w:name="_Toc336338358"/>
      <w:bookmarkStart w:id="1566" w:name="Srv_101SystemCenter2012"/>
      <w:r w:rsidRPr="000A1C8E">
        <w:rPr>
          <w:rFonts w:cs="Tahoma"/>
        </w:rPr>
        <w:t xml:space="preserve"> transicionais.</w:t>
      </w:r>
    </w:p>
    <w:p w:rsidR="004F0CAE" w:rsidRPr="000A1C8E" w:rsidRDefault="004F0CAE" w:rsidP="004F0CAE">
      <w:pPr>
        <w:rPr>
          <w:rFonts w:cs="Tahoma"/>
        </w:rPr>
      </w:pPr>
    </w:p>
    <w:p w:rsidR="004F0CAE" w:rsidRPr="000A1C8E" w:rsidRDefault="004F0CAE" w:rsidP="004F0CAE">
      <w:pPr>
        <w:rPr>
          <w:rFonts w:cs="Tahoma"/>
        </w:rPr>
      </w:pPr>
    </w:p>
    <w:p w:rsidR="00FF4CAB" w:rsidRPr="000A1C8E" w:rsidRDefault="00A560B6" w:rsidP="00FF4CAB">
      <w:pPr>
        <w:pStyle w:val="Heading3"/>
        <w:rPr>
          <w:rFonts w:ascii="Tahoma" w:hAnsi="Tahoma" w:cs="Tahoma"/>
        </w:rPr>
      </w:pPr>
      <w:bookmarkStart w:id="1567" w:name="_91_89_System"/>
      <w:bookmarkStart w:id="1568" w:name="_96_System_Center"/>
      <w:bookmarkStart w:id="1569" w:name="_Toc361829440"/>
      <w:bookmarkEnd w:id="1567"/>
      <w:bookmarkEnd w:id="1568"/>
      <w:r w:rsidRPr="000A1C8E">
        <w:rPr>
          <w:rFonts w:ascii="Tahoma" w:hAnsi="Tahoma" w:cs="Tahoma"/>
          <w:caps/>
          <w:color w:val="FF6F0D"/>
          <w:sz w:val="22"/>
          <w:szCs w:val="22"/>
          <w:vertAlign w:val="superscript"/>
        </w:rPr>
        <w:t>97</w:t>
      </w:r>
      <w:r w:rsidRPr="000A1C8E">
        <w:rPr>
          <w:rFonts w:ascii="Tahoma" w:hAnsi="Tahoma" w:cs="Tahoma"/>
          <w:color w:val="FF6F0D"/>
          <w:sz w:val="22"/>
          <w:szCs w:val="22"/>
        </w:rPr>
        <w:t xml:space="preserve"> System Center 2012</w:t>
      </w:r>
      <w:bookmarkEnd w:id="1565"/>
      <w:bookmarkEnd w:id="1569"/>
    </w:p>
    <w:bookmarkEnd w:id="1566"/>
    <w:p w:rsidR="00FF4CAB" w:rsidRPr="000A1C8E" w:rsidRDefault="00FF4CAB" w:rsidP="004F0CAE">
      <w:pPr>
        <w:rPr>
          <w:rFonts w:cs="Tahoma"/>
        </w:rPr>
      </w:pPr>
    </w:p>
    <w:p w:rsidR="00FF4CAB" w:rsidRPr="000A1C8E" w:rsidRDefault="00FF4CAB" w:rsidP="004F0CAE">
      <w:pPr>
        <w:ind w:left="720"/>
        <w:rPr>
          <w:rFonts w:cs="Tahoma"/>
        </w:rPr>
      </w:pPr>
      <w:r w:rsidRPr="000A1C8E">
        <w:rPr>
          <w:rFonts w:cs="Tahoma"/>
          <w:color w:val="000000"/>
          <w:szCs w:val="24"/>
        </w:rPr>
        <w:t>As versões posteriores do System Center Data Protection Manager 2010, System Center Operations Manager 2008 R2, System Center Service Manager 2010 e System Center Virtual Machine Manager 2008 R2 não serão disponíveis.</w:t>
      </w:r>
      <w:r w:rsidR="00DC6D8B" w:rsidRPr="000A1C8E">
        <w:rPr>
          <w:rFonts w:cs="Tahoma"/>
          <w:color w:val="000000"/>
          <w:szCs w:val="24"/>
        </w:rPr>
        <w:t xml:space="preserve"> </w:t>
      </w:r>
      <w:r w:rsidRPr="000A1C8E">
        <w:rPr>
          <w:rFonts w:cs="Tahoma"/>
          <w:color w:val="000000"/>
          <w:szCs w:val="24"/>
        </w:rPr>
        <w:t>Da mesma forma, versões posteriores do System Center Configuration Manager 2007 R3 não estarão disponíveis sob licenças de software separadas ou licenças de gerenciamento de servidores. 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p>
    <w:p w:rsidR="00FF4CAB" w:rsidRPr="000A1C8E" w:rsidRDefault="00FF4CAB" w:rsidP="004F0CAE">
      <w:pPr>
        <w:ind w:left="900"/>
        <w:rPr>
          <w:rFonts w:cs="Tahoma"/>
        </w:rPr>
      </w:pPr>
      <w:r w:rsidRPr="000A1C8E">
        <w:rPr>
          <w:rFonts w:cs="Tahoma"/>
          <w:color w:val="000000"/>
          <w:szCs w:val="24"/>
        </w:rPr>
        <w:t xml:space="preserve"> </w:t>
      </w:r>
    </w:p>
    <w:p w:rsidR="00FF4CAB" w:rsidRPr="000A1C8E" w:rsidRDefault="00FF4CAB" w:rsidP="004F0CAE">
      <w:pPr>
        <w:ind w:left="900"/>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0A1C8E" w:rsidTr="00CF3F67">
        <w:tc>
          <w:tcPr>
            <w:tcW w:w="3960" w:type="dxa"/>
            <w:tcBorders>
              <w:top w:val="single" w:sz="4" w:space="0" w:color="000000"/>
              <w:bottom w:val="single" w:sz="6" w:space="0" w:color="000000"/>
            </w:tcBorders>
            <w:shd w:val="clear" w:color="auto" w:fill="FABF8F"/>
          </w:tcPr>
          <w:p w:rsidR="00FF4CAB" w:rsidRPr="000A1C8E" w:rsidRDefault="00FF4CAB" w:rsidP="00FF4CAB">
            <w:pPr>
              <w:jc w:val="center"/>
              <w:rPr>
                <w:rFonts w:cs="Tahoma"/>
                <w:b/>
                <w:color w:val="000000"/>
                <w:szCs w:val="20"/>
              </w:rPr>
            </w:pPr>
            <w:r w:rsidRPr="000A1C8E">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FF4CAB" w:rsidRPr="000A1C8E" w:rsidRDefault="00FF4CAB" w:rsidP="00FF4CAB">
            <w:pPr>
              <w:jc w:val="center"/>
              <w:rPr>
                <w:rFonts w:cs="Tahoma"/>
                <w:b/>
                <w:color w:val="000000"/>
                <w:szCs w:val="20"/>
              </w:rPr>
            </w:pPr>
            <w:r w:rsidRPr="000A1C8E">
              <w:rPr>
                <w:rFonts w:cs="Tahoma"/>
                <w:b/>
                <w:color w:val="000000"/>
                <w:szCs w:val="20"/>
              </w:rPr>
              <w:t>Licenças do System Center 2012:</w:t>
            </w:r>
          </w:p>
        </w:tc>
      </w:tr>
      <w:tr w:rsidR="00FF4CAB" w:rsidRPr="000A1C8E" w:rsidTr="00CF3F67">
        <w:tc>
          <w:tcPr>
            <w:tcW w:w="3960" w:type="dxa"/>
            <w:tcBorders>
              <w:top w:val="single" w:sz="6" w:space="0" w:color="000000"/>
            </w:tcBorders>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Client Management Suite (ML de Cliente) por OSE</w:t>
            </w:r>
          </w:p>
        </w:tc>
        <w:tc>
          <w:tcPr>
            <w:tcW w:w="4050" w:type="dxa"/>
            <w:tcBorders>
              <w:top w:val="single" w:sz="6" w:space="0" w:color="000000"/>
            </w:tcBorders>
            <w:shd w:val="clear" w:color="auto" w:fill="FFFFFF"/>
          </w:tcPr>
          <w:p w:rsidR="00FF4CAB" w:rsidRPr="000A1C8E" w:rsidRDefault="00FF4CAB" w:rsidP="00FF4CAB">
            <w:pPr>
              <w:rPr>
                <w:rFonts w:cs="Tahoma"/>
                <w:color w:val="000000"/>
                <w:szCs w:val="20"/>
              </w:rPr>
            </w:pPr>
            <w:r w:rsidRPr="000A1C8E">
              <w:rPr>
                <w:rFonts w:cs="Tahoma"/>
                <w:color w:val="000000"/>
                <w:szCs w:val="20"/>
              </w:rPr>
              <w:t>1 System Center 2012 Client Management Suite (ML de Cliente) por OSE</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Client Management Suite (ML de Cliente) por Usuário</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System Center 2012 Client Management Suite (ML de Cliente) por Usuário</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Configuration Manager 2007 R3</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do System Center Configuration Manager 2007 R3 (ML do Cliente) por OSE</w:t>
            </w:r>
          </w:p>
        </w:tc>
        <w:tc>
          <w:tcPr>
            <w:tcW w:w="4050" w:type="dxa"/>
            <w:shd w:val="clear" w:color="auto" w:fill="FFFFFF"/>
          </w:tcPr>
          <w:p w:rsidR="00FF4CAB" w:rsidRPr="000A1C8E" w:rsidRDefault="00FF4CAB" w:rsidP="001C30ED">
            <w:pPr>
              <w:rPr>
                <w:rFonts w:cs="Tahoma"/>
                <w:color w:val="000000"/>
                <w:szCs w:val="20"/>
              </w:rPr>
            </w:pPr>
            <w:r w:rsidRPr="000A1C8E">
              <w:rPr>
                <w:rFonts w:cs="Tahoma"/>
                <w:szCs w:val="20"/>
              </w:rPr>
              <w:t>1 Licença de Gerenciamento de Cliente do System Center 2012 Configuration Manager (ML</w:t>
            </w:r>
            <w:r w:rsidR="001C30ED" w:rsidRPr="000A1C8E">
              <w:rPr>
                <w:rFonts w:cs="Tahoma"/>
                <w:szCs w:val="20"/>
              </w:rPr>
              <w:t> </w:t>
            </w:r>
            <w:r w:rsidRPr="000A1C8E">
              <w:rPr>
                <w:rFonts w:cs="Tahoma"/>
                <w:szCs w:val="20"/>
              </w:rPr>
              <w:t>do Cliente) por OSE</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do System Center Configuration Manager 2007 R3 (ML de Cliente) por Usuário</w:t>
            </w:r>
          </w:p>
        </w:tc>
        <w:tc>
          <w:tcPr>
            <w:tcW w:w="4050" w:type="dxa"/>
            <w:shd w:val="clear" w:color="auto" w:fill="FFFFFF"/>
          </w:tcPr>
          <w:p w:rsidR="00FF4CAB" w:rsidRPr="000A1C8E" w:rsidRDefault="00FF4CAB" w:rsidP="001C30ED">
            <w:pPr>
              <w:rPr>
                <w:rFonts w:cs="Tahoma"/>
                <w:color w:val="000000"/>
                <w:szCs w:val="20"/>
              </w:rPr>
            </w:pPr>
            <w:r w:rsidRPr="000A1C8E">
              <w:rPr>
                <w:rFonts w:cs="Tahoma"/>
                <w:szCs w:val="20"/>
              </w:rPr>
              <w:t>1 Licença de Gerenciamento de Cliente do System Center 2012 Configuration Manager (ML</w:t>
            </w:r>
            <w:r w:rsidR="001C30ED" w:rsidRPr="000A1C8E">
              <w:rPr>
                <w:rFonts w:cs="Tahoma"/>
                <w:szCs w:val="20"/>
              </w:rPr>
              <w:t> </w:t>
            </w:r>
            <w:r w:rsidRPr="000A1C8E">
              <w:rPr>
                <w:rFonts w:cs="Tahoma"/>
                <w:szCs w:val="20"/>
              </w:rPr>
              <w:t>de Cliente) por Usuário</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(ML de Cliente) do System Center Configuration Manager 2007 R3 (Somente para Aluno)</w:t>
            </w:r>
            <w:r w:rsidRPr="000A1C8E">
              <w:rPr>
                <w:rFonts w:cs="Tahoma"/>
                <w:color w:val="000000"/>
                <w:szCs w:val="20"/>
                <w:vertAlign w:val="superscript"/>
              </w:rPr>
              <w:t>*</w:t>
            </w:r>
          </w:p>
        </w:tc>
        <w:tc>
          <w:tcPr>
            <w:tcW w:w="4050" w:type="dxa"/>
            <w:shd w:val="clear" w:color="auto" w:fill="FFFFFF"/>
          </w:tcPr>
          <w:p w:rsidR="00FF4CAB" w:rsidRPr="000A1C8E" w:rsidRDefault="00FF4CAB" w:rsidP="00FF4CAB">
            <w:pPr>
              <w:rPr>
                <w:rFonts w:cs="Tahoma"/>
                <w:color w:val="000000"/>
                <w:szCs w:val="20"/>
              </w:rPr>
            </w:pPr>
            <w:r w:rsidRPr="000A1C8E">
              <w:rPr>
                <w:rFonts w:cs="Tahoma"/>
                <w:szCs w:val="20"/>
              </w:rPr>
              <w:t>1 Licença de Gerenciamento de Cliente (ML de Cliente) do System Center 2012 Configuration Manager (Somente para Aluno)</w:t>
            </w:r>
            <w:r w:rsidRPr="000A1C8E">
              <w:rPr>
                <w:rFonts w:cs="Tahoma"/>
                <w:szCs w:val="20"/>
                <w:vertAlign w:val="superscript"/>
              </w:rPr>
              <w:t>*</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Servidor Enterprise do System Center Configuration Manager 2007 R3</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1C30ED">
            <w:pPr>
              <w:rPr>
                <w:rFonts w:cs="Tahoma"/>
                <w:color w:val="000000"/>
                <w:szCs w:val="20"/>
              </w:rPr>
            </w:pPr>
            <w:r w:rsidRPr="000A1C8E">
              <w:rPr>
                <w:rFonts w:cs="Tahoma"/>
                <w:color w:val="000000"/>
                <w:szCs w:val="20"/>
              </w:rPr>
              <w:t>Licença de Gerenciamento de Servidor Padrão</w:t>
            </w:r>
            <w:r w:rsidR="001C30ED" w:rsidRPr="000A1C8E">
              <w:rPr>
                <w:rFonts w:cs="Tahoma"/>
                <w:color w:val="000000"/>
                <w:szCs w:val="20"/>
              </w:rPr>
              <w:t> </w:t>
            </w:r>
            <w:r w:rsidRPr="000A1C8E">
              <w:rPr>
                <w:rFonts w:cs="Tahoma"/>
                <w:color w:val="000000"/>
                <w:szCs w:val="20"/>
              </w:rPr>
              <w:t xml:space="preserve">do System Center Configuration Manager 2007 R3 </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Configuration Manager 2007 R3 com Tecnologia SQL Server 2008</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do System Center Data Protection Manager 2010 por Usuário</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System Center 2012 Client Management Suite (ML de Cliente) por Usuário</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do System Center Data Protection Manager 2010 por OSE</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System Center 2012 Client Management Suite (ML de Cliente) por OSE</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Servidor Enterprise do System Center Data Protection Manager 2010</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6B21CE" w:rsidRPr="000A1C8E" w:rsidTr="002A73C3">
        <w:tc>
          <w:tcPr>
            <w:tcW w:w="3960" w:type="dxa"/>
            <w:tcBorders>
              <w:top w:val="single" w:sz="4" w:space="0" w:color="000000"/>
              <w:bottom w:val="single" w:sz="6" w:space="0" w:color="000000"/>
            </w:tcBorders>
            <w:shd w:val="clear" w:color="auto" w:fill="FABF8F"/>
          </w:tcPr>
          <w:p w:rsidR="006B21CE" w:rsidRPr="000A1C8E" w:rsidRDefault="006B21CE" w:rsidP="006B21CE">
            <w:pPr>
              <w:keepNext/>
              <w:keepLines/>
              <w:jc w:val="center"/>
              <w:rPr>
                <w:rFonts w:cs="Tahoma"/>
                <w:b/>
                <w:color w:val="000000"/>
                <w:szCs w:val="20"/>
              </w:rPr>
            </w:pPr>
            <w:r w:rsidRPr="000A1C8E">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6B21CE" w:rsidRPr="000A1C8E" w:rsidRDefault="006B21CE" w:rsidP="006B21CE">
            <w:pPr>
              <w:keepNext/>
              <w:keepLines/>
              <w:jc w:val="center"/>
              <w:rPr>
                <w:rFonts w:cs="Tahoma"/>
                <w:b/>
                <w:color w:val="000000"/>
                <w:szCs w:val="20"/>
              </w:rPr>
            </w:pPr>
            <w:r w:rsidRPr="000A1C8E">
              <w:rPr>
                <w:rFonts w:cs="Tahoma"/>
                <w:b/>
                <w:color w:val="000000"/>
                <w:szCs w:val="20"/>
              </w:rPr>
              <w:t>Licenças do System Center 2012:</w:t>
            </w:r>
          </w:p>
        </w:tc>
      </w:tr>
      <w:tr w:rsidR="00FF4CAB" w:rsidRPr="000A1C8E" w:rsidTr="00CF3F67">
        <w:tc>
          <w:tcPr>
            <w:tcW w:w="3960" w:type="dxa"/>
            <w:shd w:val="clear" w:color="auto" w:fill="FFFFFF"/>
          </w:tcPr>
          <w:p w:rsidR="00FF4CAB" w:rsidRPr="000A1C8E" w:rsidRDefault="00FF4CAB" w:rsidP="006B21CE">
            <w:pPr>
              <w:keepNext/>
              <w:keepLines/>
              <w:rPr>
                <w:rFonts w:cs="Tahoma"/>
                <w:color w:val="000000"/>
                <w:szCs w:val="20"/>
              </w:rPr>
            </w:pPr>
            <w:r w:rsidRPr="000A1C8E">
              <w:rPr>
                <w:rFonts w:cs="Tahoma"/>
                <w:color w:val="000000"/>
                <w:szCs w:val="20"/>
              </w:rPr>
              <w:t>Licença de Gerenciamento de Servidor Standard do System Center Data Protection Manager 2010</w:t>
            </w:r>
          </w:p>
        </w:tc>
        <w:tc>
          <w:tcPr>
            <w:tcW w:w="4050" w:type="dxa"/>
            <w:shd w:val="clear" w:color="auto" w:fill="FFFFFF"/>
          </w:tcPr>
          <w:p w:rsidR="00FF4CAB" w:rsidRPr="000A1C8E" w:rsidRDefault="00FF4CAB" w:rsidP="006B21CE">
            <w:pPr>
              <w:keepNext/>
              <w:keepLines/>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Operations Manager 2007 R2</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lastRenderedPageBreak/>
              <w:t>System Center Operations Manager 2007 R2 com Tecnologia SQL Server 2008</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Servidor Standard do System Center Operations Manager 2007 R2</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Servidor Enterprise do System Center Operations Manager 2007 R2</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do System Center Operations Manager 2007 R2 por OSE</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System Center 2012 Client Management Suite (ML de Cliente) por OSE</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do System Center Operations Manager 2007 R2 por Usuário</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System Center 2012 Client Management Suite (ML de Cliente) por Usuário</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Server Management Suite Enterprise</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2 Licenças de Gerenciamento do System Center 2012 Standard Server (MLs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Server Management Suite Datacenter</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Datacenter Server (ML de Servidor) para cada 2 licenças qualificadas do System Center Server Management Suite Datacenter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Service Manager 2010</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System Center Service Manager 2010 com Tecnologia SQL Server 2008</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(ML de Cliente) do System Center Service Manager 2010 por OSE</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System Center 2012 Client Management Suite (ML de Cliente) por OSE</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(ML de Cliente) do System Center Service Manager 2010 por Usuário</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System Center 2012 Client Management Suite (ML de Cliente) por Usuário</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 xml:space="preserve">Licença de Gerenciamento de Servidor do System Center Service Manager 2010 (ML do Servidor) </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Standard Server (ML de Servidor)</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do System Center Virtual Machine Manager 2008 R2 por OSE</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de Cliente do System Center Configuration Manager (ML do Cliente) por OSE</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Cliente do System Center Virtual Machine Manager 2008 R2 por Usuário</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de Cliente do System Center Configuration Manager (ML de Cliente) por Usuário</w:t>
            </w:r>
          </w:p>
        </w:tc>
      </w:tr>
      <w:tr w:rsidR="00FF4CAB" w:rsidRPr="000A1C8E" w:rsidTr="00CF3F67">
        <w:tc>
          <w:tcPr>
            <w:tcW w:w="3960" w:type="dxa"/>
            <w:shd w:val="clear" w:color="auto" w:fill="FFFFFF"/>
          </w:tcPr>
          <w:p w:rsidR="00FF4CAB" w:rsidRPr="000A1C8E" w:rsidRDefault="00FF4CAB" w:rsidP="00FF4CAB">
            <w:pPr>
              <w:rPr>
                <w:rFonts w:cs="Tahoma"/>
                <w:color w:val="000000"/>
                <w:szCs w:val="20"/>
              </w:rPr>
            </w:pPr>
            <w:r w:rsidRPr="000A1C8E">
              <w:rPr>
                <w:rFonts w:cs="Tahoma"/>
                <w:color w:val="000000"/>
                <w:szCs w:val="20"/>
              </w:rPr>
              <w:t>Licença de Gerenciamento de Servidor Enterprise do System Center Virtual Machine Manager 2008 R2</w:t>
            </w:r>
          </w:p>
        </w:tc>
        <w:tc>
          <w:tcPr>
            <w:tcW w:w="4050" w:type="dxa"/>
            <w:shd w:val="clear" w:color="auto" w:fill="FFFFFF"/>
          </w:tcPr>
          <w:p w:rsidR="00FF4CAB" w:rsidRPr="000A1C8E" w:rsidRDefault="00FF4CAB" w:rsidP="00FF4CAB">
            <w:pPr>
              <w:rPr>
                <w:rFonts w:cs="Tahoma"/>
                <w:color w:val="000000"/>
                <w:szCs w:val="20"/>
              </w:rPr>
            </w:pPr>
            <w:r w:rsidRPr="000A1C8E">
              <w:rPr>
                <w:rFonts w:cs="Tahoma"/>
                <w:color w:val="000000"/>
                <w:szCs w:val="20"/>
              </w:rPr>
              <w:t>1 Licença de Gerenciamento do System Center 2012 Datacenter Server (ML de Servidor)</w:t>
            </w:r>
          </w:p>
        </w:tc>
      </w:tr>
    </w:tbl>
    <w:p w:rsidR="00FF4CAB" w:rsidRPr="000A1C8E" w:rsidRDefault="00FF4CAB" w:rsidP="00376D4B">
      <w:pPr>
        <w:ind w:left="720"/>
        <w:rPr>
          <w:rFonts w:cs="Tahoma"/>
        </w:rPr>
      </w:pPr>
      <w:r w:rsidRPr="000A1C8E">
        <w:rPr>
          <w:rFonts w:cs="Tahoma"/>
          <w:i/>
          <w:color w:val="000000"/>
          <w:sz w:val="16"/>
          <w:szCs w:val="24"/>
          <w:vertAlign w:val="superscript"/>
        </w:rPr>
        <w:t>*</w:t>
      </w:r>
      <w:r w:rsidRPr="000A1C8E">
        <w:rPr>
          <w:rFonts w:cs="Tahoma"/>
          <w:i/>
          <w:szCs w:val="20"/>
        </w:rPr>
        <w:t xml:space="preserve"> </w:t>
      </w:r>
      <w:r w:rsidRPr="000A1C8E">
        <w:rPr>
          <w:rFonts w:cs="Tahoma"/>
          <w:i/>
          <w:color w:val="000000"/>
          <w:sz w:val="16"/>
          <w:szCs w:val="24"/>
        </w:rPr>
        <w:t>As MLs de Cliente Somente para Aluno estão disponíveis a PCs de propriedade de um aluno ou de uma instituição licenciados dedicados a um aluno individual somente e não se destinam ao uso em laboratórios ou salas de aula</w:t>
      </w:r>
    </w:p>
    <w:p w:rsidR="00FF4CAB" w:rsidRPr="000A1C8E" w:rsidRDefault="00FF4CAB" w:rsidP="00376D4B">
      <w:pPr>
        <w:ind w:left="720"/>
        <w:rPr>
          <w:rFonts w:cs="Tahoma"/>
        </w:rPr>
      </w:pPr>
    </w:p>
    <w:p w:rsidR="00FF4CAB" w:rsidRPr="000A1C8E" w:rsidRDefault="00FF4CAB" w:rsidP="00376D4B">
      <w:pPr>
        <w:ind w:left="720"/>
        <w:rPr>
          <w:rFonts w:cs="Tahoma"/>
        </w:rPr>
      </w:pPr>
      <w:r w:rsidRPr="000A1C8E">
        <w:rPr>
          <w:rFonts w:cs="Tahoma"/>
          <w:color w:val="000000"/>
          <w:szCs w:val="24"/>
        </w:rPr>
        <w:t xml:space="preserve">Todas as licenças concedidas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rsidR="00FF4CAB" w:rsidRPr="000A1C8E" w:rsidRDefault="00FF4CAB" w:rsidP="00376D4B">
      <w:pPr>
        <w:ind w:left="720"/>
        <w:rPr>
          <w:rFonts w:cs="Tahoma"/>
        </w:rPr>
      </w:pPr>
    </w:p>
    <w:p w:rsidR="001C30ED" w:rsidRPr="000A1C8E" w:rsidRDefault="001C30ED" w:rsidP="00376D4B">
      <w:pPr>
        <w:ind w:left="720"/>
        <w:rPr>
          <w:rFonts w:cs="Tahoma"/>
        </w:rPr>
      </w:pPr>
    </w:p>
    <w:p w:rsidR="001C30ED" w:rsidRDefault="001C30ED" w:rsidP="00376D4B">
      <w:pPr>
        <w:ind w:left="720"/>
        <w:rPr>
          <w:rFonts w:cs="Tahoma"/>
        </w:rPr>
      </w:pPr>
    </w:p>
    <w:p w:rsidR="00CF3F67" w:rsidRPr="000A1C8E" w:rsidRDefault="00CF3F67" w:rsidP="00376D4B">
      <w:pPr>
        <w:ind w:left="720"/>
        <w:rPr>
          <w:rFonts w:cs="Tahoma"/>
        </w:rPr>
      </w:pPr>
    </w:p>
    <w:p w:rsidR="00FF4CAB" w:rsidRPr="000A1C8E" w:rsidRDefault="00FF4CAB" w:rsidP="00376D4B">
      <w:pPr>
        <w:ind w:left="720"/>
        <w:rPr>
          <w:rFonts w:cs="Tahoma"/>
        </w:rPr>
      </w:pPr>
      <w:r w:rsidRPr="000A1C8E">
        <w:rPr>
          <w:rFonts w:cs="Tahoma"/>
          <w:color w:val="000000"/>
          <w:szCs w:val="24"/>
        </w:rPr>
        <w:t xml:space="preserve">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qualificadas e esta Nota do Produto evidenciarão o direito do cliente de usar o System Center 2012 sob os termos desta oferta. O cliente não terá mais o direito de usar o software sob licenças qualificadas atribuídas </w:t>
      </w:r>
      <w:r w:rsidRPr="000A1C8E">
        <w:rPr>
          <w:rFonts w:cs="Tahoma"/>
          <w:color w:val="000000"/>
          <w:szCs w:val="24"/>
        </w:rPr>
        <w:lastRenderedPageBreak/>
        <w:t>ao servidor mediante sua atualização para o System Center 2012. Os clientes não poderão transferir as licenças concedidas sob esta oferta separadamente das licenças qualificadas correspondentes.</w:t>
      </w:r>
    </w:p>
    <w:p w:rsidR="00FF4CAB" w:rsidRPr="000A1C8E" w:rsidRDefault="00FF4CAB" w:rsidP="00376D4B">
      <w:pPr>
        <w:ind w:left="720"/>
        <w:rPr>
          <w:rFonts w:cs="Tahoma"/>
        </w:rPr>
      </w:pPr>
    </w:p>
    <w:p w:rsidR="00924690" w:rsidRPr="000A1C8E" w:rsidRDefault="00924690" w:rsidP="00924690">
      <w:pPr>
        <w:spacing w:after="60"/>
        <w:ind w:left="720"/>
        <w:rPr>
          <w:rFonts w:cs="Tahoma"/>
        </w:rPr>
      </w:pPr>
      <w:r w:rsidRPr="000A1C8E">
        <w:rPr>
          <w:rFonts w:eastAsia="Calibri" w:cs="Tahoma"/>
          <w:b/>
          <w:color w:val="000000"/>
          <w:szCs w:val="18"/>
        </w:rPr>
        <w:t>Para Clientes Enterprise</w:t>
      </w:r>
    </w:p>
    <w:p w:rsidR="00A3706D" w:rsidRPr="000A1C8E" w:rsidRDefault="00A3706D" w:rsidP="00376D4B">
      <w:pPr>
        <w:ind w:left="720"/>
        <w:rPr>
          <w:rFonts w:cs="Tahoma"/>
        </w:rPr>
      </w:pPr>
      <w:r w:rsidRPr="000A1C8E">
        <w:rPr>
          <w:rFonts w:eastAsia="Calibri" w:cs="Tahoma"/>
          <w:color w:val="000000"/>
          <w:szCs w:val="18"/>
        </w:rPr>
        <w:t>As licenças</w:t>
      </w:r>
      <w:r w:rsidRPr="000A1C8E">
        <w:rPr>
          <w:rFonts w:eastAsia="Calibri" w:cs="Tahoma"/>
          <w:b/>
          <w:bCs/>
          <w:color w:val="000000"/>
          <w:szCs w:val="18"/>
          <w:vertAlign w:val="superscript"/>
        </w:rPr>
        <w:t xml:space="preserve">* </w:t>
      </w:r>
      <w:r w:rsidRPr="000A1C8E">
        <w:rPr>
          <w:rFonts w:eastAsia="Calibri" w:cs="Tahoma"/>
          <w:color w:val="000000"/>
          <w:szCs w:val="18"/>
        </w:rPr>
        <w:t>adquiridas em ou antes do primeiro aniversário de uma data de início de vigência do registro do cliente depois de 17 de janeiro de 2012 como parta qualificação de um processo anual de adequação (“true-up”) de um cliente para a outorga de licença descrita acima.</w:t>
      </w:r>
      <w:r w:rsidR="00DC6D8B" w:rsidRPr="000A1C8E">
        <w:rPr>
          <w:rFonts w:eastAsia="Calibri" w:cs="Tahoma"/>
          <w:color w:val="000000"/>
          <w:szCs w:val="18"/>
        </w:rPr>
        <w:t xml:space="preserve"> </w:t>
      </w:r>
      <w:r w:rsidRPr="000A1C8E">
        <w:rPr>
          <w:rFonts w:eastAsia="Calibri" w:cs="Tahoma"/>
          <w:color w:val="000000"/>
          <w:szCs w:val="18"/>
        </w:rPr>
        <w:t xml:space="preserve">As Licenças adquiridas após esta data não estão qualificadas para uma outorga de licenças do System Center 2012 para essa oferta. </w:t>
      </w:r>
    </w:p>
    <w:p w:rsidR="00924690" w:rsidRPr="000A1C8E" w:rsidRDefault="00924690" w:rsidP="00376D4B">
      <w:pPr>
        <w:ind w:left="720"/>
        <w:rPr>
          <w:rFonts w:cs="Tahoma"/>
        </w:rPr>
      </w:pPr>
    </w:p>
    <w:p w:rsidR="00A3706D" w:rsidRPr="000A1C8E" w:rsidRDefault="00A3706D" w:rsidP="00376D4B">
      <w:pPr>
        <w:ind w:left="720"/>
        <w:rPr>
          <w:rFonts w:cs="Tahoma"/>
        </w:rPr>
      </w:pPr>
      <w:r w:rsidRPr="000A1C8E">
        <w:rPr>
          <w:rFonts w:eastAsia="Calibri" w:cs="Tahoma"/>
          <w:b/>
          <w:bCs/>
          <w:color w:val="000000"/>
          <w:szCs w:val="18"/>
          <w:vertAlign w:val="superscript"/>
        </w:rPr>
        <w:t>*</w:t>
      </w:r>
      <w:r w:rsidRPr="000A1C8E">
        <w:rPr>
          <w:rFonts w:eastAsia="Calibri" w:cs="Tahoma"/>
          <w:color w:val="000000"/>
          <w:szCs w:val="18"/>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rsidR="00FF4CAB" w:rsidRPr="000A1C8E" w:rsidRDefault="00FF4CAB" w:rsidP="00376D4B">
      <w:pPr>
        <w:ind w:left="720"/>
        <w:rPr>
          <w:rFonts w:cs="Tahoma"/>
        </w:rPr>
      </w:pPr>
    </w:p>
    <w:p w:rsidR="00924690" w:rsidRPr="000A1C8E" w:rsidRDefault="00FF4CAB" w:rsidP="00CF3F67">
      <w:pPr>
        <w:spacing w:after="60"/>
        <w:ind w:left="720"/>
        <w:rPr>
          <w:rFonts w:cs="Tahoma"/>
        </w:rPr>
      </w:pPr>
      <w:r w:rsidRPr="000A1C8E">
        <w:rPr>
          <w:rFonts w:eastAsia="Calibri" w:cs="Tahoma"/>
          <w:b/>
          <w:color w:val="000000"/>
          <w:szCs w:val="18"/>
        </w:rPr>
        <w:t>Para Enterprise Subscription, Campus e School (incluindo Enrollment for Education Solutions) e</w:t>
      </w:r>
      <w:r w:rsidR="00CF3F67">
        <w:rPr>
          <w:rFonts w:eastAsia="Calibri" w:cs="Tahoma"/>
          <w:b/>
          <w:color w:val="000000"/>
          <w:szCs w:val="18"/>
        </w:rPr>
        <w:t> </w:t>
      </w:r>
      <w:r w:rsidRPr="000A1C8E">
        <w:rPr>
          <w:rFonts w:eastAsia="Calibri" w:cs="Tahoma"/>
          <w:b/>
          <w:color w:val="000000"/>
          <w:szCs w:val="18"/>
        </w:rPr>
        <w:t>Clientes Open Value Subscription</w:t>
      </w:r>
    </w:p>
    <w:p w:rsidR="00FF4CAB" w:rsidRPr="000A1C8E" w:rsidRDefault="00FF4CAB" w:rsidP="00376D4B">
      <w:pPr>
        <w:ind w:left="720"/>
        <w:rPr>
          <w:rFonts w:cs="Tahoma"/>
        </w:rPr>
      </w:pPr>
      <w:r w:rsidRPr="000A1C8E">
        <w:rPr>
          <w:rFonts w:cs="Tahoma"/>
          <w:bCs/>
          <w:color w:val="000000"/>
          <w:szCs w:val="18"/>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DC6D8B" w:rsidRPr="000A1C8E">
        <w:rPr>
          <w:rFonts w:cs="Tahoma"/>
          <w:bCs/>
          <w:color w:val="000000"/>
          <w:szCs w:val="18"/>
        </w:rPr>
        <w:t xml:space="preserve"> </w:t>
      </w:r>
      <w:r w:rsidRPr="000A1C8E">
        <w:rPr>
          <w:rFonts w:cs="Tahoma"/>
          <w:bCs/>
          <w:color w:val="000000"/>
          <w:szCs w:val="18"/>
        </w:rPr>
        <w:t>Os clientes que optam por licenças de compra possuem duas opções.</w:t>
      </w:r>
      <w:r w:rsidR="00DC6D8B" w:rsidRPr="000A1C8E">
        <w:rPr>
          <w:rFonts w:cs="Tahoma"/>
          <w:bCs/>
          <w:color w:val="000000"/>
          <w:szCs w:val="18"/>
        </w:rPr>
        <w:t xml:space="preserve"> </w:t>
      </w:r>
    </w:p>
    <w:p w:rsidR="00FF4CAB" w:rsidRPr="000A1C8E" w:rsidRDefault="00FF4CAB" w:rsidP="00376D4B">
      <w:pPr>
        <w:ind w:left="720"/>
        <w:rPr>
          <w:rFonts w:cs="Tahoma"/>
        </w:rPr>
      </w:pPr>
    </w:p>
    <w:p w:rsidR="00FF4CAB" w:rsidRPr="000A1C8E" w:rsidRDefault="00FF4CAB" w:rsidP="00376D4B">
      <w:pPr>
        <w:ind w:left="720"/>
        <w:rPr>
          <w:rFonts w:cs="Tahoma"/>
        </w:rPr>
      </w:pPr>
      <w:r w:rsidRPr="000A1C8E">
        <w:rPr>
          <w:rFonts w:cs="Tahoma"/>
          <w:bCs/>
          <w:color w:val="000000"/>
          <w:szCs w:val="18"/>
        </w:rPr>
        <w:t>Opção 1:</w:t>
      </w:r>
      <w:r w:rsidR="00DC6D8B" w:rsidRPr="000A1C8E">
        <w:rPr>
          <w:rFonts w:cs="Tahoma"/>
          <w:bCs/>
          <w:color w:val="000000"/>
          <w:szCs w:val="18"/>
        </w:rPr>
        <w:t xml:space="preserve"> </w:t>
      </w:r>
      <w:r w:rsidRPr="000A1C8E">
        <w:rPr>
          <w:rFonts w:cs="Tahoma"/>
          <w:bCs/>
          <w:color w:val="000000"/>
          <w:szCs w:val="18"/>
        </w:rPr>
        <w:t>adquirir licenças para produtos do System Center correspondendo às licenças qualificadas do cliente.</w:t>
      </w:r>
      <w:r w:rsidR="00DC6D8B" w:rsidRPr="000A1C8E">
        <w:rPr>
          <w:rFonts w:cs="Tahoma"/>
          <w:bCs/>
          <w:color w:val="000000"/>
          <w:szCs w:val="18"/>
        </w:rPr>
        <w:t xml:space="preserve"> </w:t>
      </w:r>
      <w:r w:rsidRPr="000A1C8E">
        <w:rPr>
          <w:rFonts w:cs="Tahoma"/>
          <w:bCs/>
          <w:color w:val="000000"/>
          <w:szCs w:val="18"/>
        </w:rPr>
        <w:t>Nesta opção, o cliente não estará mais qualificado para adicionar o Software Assurance à licença ou usar o System Center 2012 ou qualquer versão posterior do software System Center.</w:t>
      </w:r>
    </w:p>
    <w:p w:rsidR="00FF4CAB" w:rsidRPr="000A1C8E" w:rsidRDefault="00FF4CAB" w:rsidP="00376D4B">
      <w:pPr>
        <w:ind w:left="720"/>
        <w:rPr>
          <w:rFonts w:cs="Tahoma"/>
        </w:rPr>
      </w:pPr>
    </w:p>
    <w:p w:rsidR="00FF4CAB" w:rsidRPr="000A1C8E" w:rsidRDefault="00FF4CAB" w:rsidP="00376D4B">
      <w:pPr>
        <w:ind w:left="720"/>
        <w:rPr>
          <w:rFonts w:cs="Tahoma"/>
        </w:rPr>
      </w:pPr>
      <w:r w:rsidRPr="000A1C8E">
        <w:rPr>
          <w:rFonts w:cs="Tahoma"/>
          <w:bCs/>
          <w:color w:val="000000"/>
          <w:szCs w:val="18"/>
        </w:rPr>
        <w:t>Opção 2:</w:t>
      </w:r>
      <w:r w:rsidR="00DC6D8B" w:rsidRPr="000A1C8E">
        <w:rPr>
          <w:rFonts w:cs="Tahoma"/>
          <w:bCs/>
          <w:color w:val="000000"/>
          <w:szCs w:val="18"/>
        </w:rPr>
        <w:t xml:space="preserve"> </w:t>
      </w:r>
      <w:r w:rsidRPr="000A1C8E">
        <w:rPr>
          <w:rFonts w:cs="Tahoma"/>
          <w:bCs/>
          <w:color w:val="000000"/>
          <w:szCs w:val="18"/>
        </w:rPr>
        <w:t>adquirir licenças do System Center 2012 correspondendo às licenças qualificadas do cliente.</w:t>
      </w:r>
      <w:r w:rsidR="00DC6D8B" w:rsidRPr="000A1C8E">
        <w:rPr>
          <w:rFonts w:cs="Tahoma"/>
          <w:bCs/>
          <w:color w:val="000000"/>
          <w:szCs w:val="18"/>
        </w:rPr>
        <w:t xml:space="preserve"> </w:t>
      </w:r>
      <w:r w:rsidRPr="000A1C8E">
        <w:rPr>
          <w:rFonts w:cs="Tahoma"/>
          <w:bCs/>
          <w:color w:val="000000"/>
          <w:szCs w:val="18"/>
        </w:rPr>
        <w:t>Nesta opção, o cliente estará qualificado para adicionar Software Assurance.</w:t>
      </w:r>
    </w:p>
    <w:p w:rsidR="00FF4CAB" w:rsidRPr="000A1C8E" w:rsidRDefault="00FF4CAB" w:rsidP="00376D4B">
      <w:pPr>
        <w:ind w:left="720"/>
        <w:rPr>
          <w:rFonts w:cs="Tahoma"/>
        </w:rPr>
      </w:pPr>
    </w:p>
    <w:p w:rsidR="00924690" w:rsidRPr="000A1C8E" w:rsidRDefault="00FF4CAB" w:rsidP="00924690">
      <w:pPr>
        <w:spacing w:after="60"/>
        <w:ind w:left="720"/>
        <w:rPr>
          <w:rFonts w:cs="Tahoma"/>
        </w:rPr>
      </w:pPr>
      <w:r w:rsidRPr="000A1C8E">
        <w:rPr>
          <w:rFonts w:eastAsia="Calibri" w:cs="Tahoma"/>
          <w:b/>
          <w:color w:val="000000"/>
          <w:szCs w:val="18"/>
        </w:rPr>
        <w:t>Outorga de Licença Alternativa Padrão do System Center 2012 para Clientes com Servidores com Mais de Dois Processadores</w:t>
      </w:r>
    </w:p>
    <w:p w:rsidR="00FF4CAB" w:rsidRPr="000A1C8E" w:rsidRDefault="00FF4CAB" w:rsidP="001C30ED">
      <w:pPr>
        <w:ind w:left="720"/>
        <w:rPr>
          <w:rFonts w:cs="Tahoma"/>
        </w:rPr>
      </w:pPr>
      <w:r w:rsidRPr="000A1C8E">
        <w:rPr>
          <w:rFonts w:cs="Tahoma"/>
          <w:szCs w:val="18"/>
        </w:rPr>
        <w:t>Cada ML de Servidor do System Center 2012 Standard abrange até dois processadores em um servidor físico.</w:t>
      </w:r>
      <w:r w:rsidR="00DC6D8B" w:rsidRPr="000A1C8E">
        <w:rPr>
          <w:rFonts w:cs="Tahoma"/>
          <w:szCs w:val="18"/>
        </w:rPr>
        <w:t xml:space="preserve"> </w:t>
      </w:r>
      <w:r w:rsidRPr="000A1C8E">
        <w:rPr>
          <w:rFonts w:cs="Tahoma"/>
          <w:szCs w:val="18"/>
        </w:rPr>
        <w:t>Os clientes com licenças qualificadas atribuídas aos servidores com mais de dois processadores a 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DC6D8B" w:rsidRPr="000A1C8E">
        <w:rPr>
          <w:rFonts w:cs="Tahoma"/>
          <w:szCs w:val="18"/>
        </w:rPr>
        <w:t xml:space="preserve"> </w:t>
      </w:r>
      <w:r w:rsidRPr="000A1C8E">
        <w:rPr>
          <w:rFonts w:cs="Tahoma"/>
          <w:szCs w:val="18"/>
        </w:rPr>
        <w:t>O servidor deverá estar totalmente licenciado para permitir o gerenciamento de ambientes do sistema operacional naquele servidor sob os termos das licenças qualificadas no momento da concessão.</w:t>
      </w:r>
      <w:r w:rsidR="00DC6D8B" w:rsidRPr="000A1C8E">
        <w:rPr>
          <w:rFonts w:cs="Tahoma"/>
          <w:szCs w:val="18"/>
        </w:rPr>
        <w:t xml:space="preserve"> </w:t>
      </w:r>
      <w:r w:rsidRPr="000A1C8E">
        <w:rPr>
          <w:rFonts w:cs="Tahoma"/>
          <w:szCs w:val="18"/>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DC6D8B" w:rsidRPr="000A1C8E">
        <w:rPr>
          <w:rFonts w:cs="Tahoma"/>
          <w:szCs w:val="18"/>
        </w:rPr>
        <w:t xml:space="preserve"> </w:t>
      </w:r>
      <w:r w:rsidRPr="000A1C8E">
        <w:rPr>
          <w:rFonts w:cs="Tahoma"/>
          <w:szCs w:val="18"/>
        </w:rPr>
        <w:t>Esta documentação junto com a evidência de suas licenças qualificadas e</w:t>
      </w:r>
      <w:r w:rsidR="001C30ED" w:rsidRPr="000A1C8E">
        <w:rPr>
          <w:rFonts w:cs="Tahoma"/>
          <w:szCs w:val="18"/>
        </w:rPr>
        <w:t> </w:t>
      </w:r>
      <w:r w:rsidRPr="000A1C8E">
        <w:rPr>
          <w:rFonts w:cs="Tahoma"/>
          <w:szCs w:val="18"/>
        </w:rPr>
        <w:t>esta Nota do Produto evidenciarão o direito do cliente de usar o System Center 2012 sob os termos desta oferta. O cliente não terá mais o direito de usar o software sob licenças qualificadas atribuídas ao servidor mediante sua atualização para o System Center 2012.</w:t>
      </w:r>
      <w:r w:rsidRPr="000A1C8E">
        <w:rPr>
          <w:rFonts w:cs="Tahoma"/>
          <w:color w:val="000000"/>
        </w:rPr>
        <w:t xml:space="preserve"> Os clientes não poderão transferir as licenças concedidas sob esta oferta separadamente das licenças qualificadas correspondentes.</w:t>
      </w:r>
    </w:p>
    <w:p w:rsidR="00FF4CAB" w:rsidRDefault="00FF4CAB" w:rsidP="00376D4B">
      <w:pPr>
        <w:tabs>
          <w:tab w:val="left" w:pos="2970"/>
        </w:tabs>
        <w:ind w:left="720"/>
        <w:contextualSpacing/>
        <w:rPr>
          <w:rFonts w:cs="Tahoma"/>
        </w:rPr>
      </w:pPr>
    </w:p>
    <w:p w:rsidR="00BD3A67" w:rsidRDefault="00BD3A67" w:rsidP="00376D4B">
      <w:pPr>
        <w:tabs>
          <w:tab w:val="left" w:pos="2970"/>
        </w:tabs>
        <w:ind w:left="720"/>
        <w:contextualSpacing/>
        <w:rPr>
          <w:rFonts w:cs="Tahoma"/>
        </w:rPr>
      </w:pPr>
    </w:p>
    <w:p w:rsidR="00BD3A67" w:rsidRDefault="00BD3A67" w:rsidP="00376D4B">
      <w:pPr>
        <w:tabs>
          <w:tab w:val="left" w:pos="2970"/>
        </w:tabs>
        <w:ind w:left="720"/>
        <w:contextualSpacing/>
        <w:rPr>
          <w:rFonts w:cs="Tahoma"/>
        </w:rPr>
      </w:pPr>
    </w:p>
    <w:p w:rsidR="00BD3A67" w:rsidRDefault="00BD3A67" w:rsidP="00376D4B">
      <w:pPr>
        <w:tabs>
          <w:tab w:val="left" w:pos="2970"/>
        </w:tabs>
        <w:ind w:left="720"/>
        <w:contextualSpacing/>
        <w:rPr>
          <w:rFonts w:cs="Tahoma"/>
        </w:rPr>
      </w:pPr>
    </w:p>
    <w:p w:rsidR="00BD3A67" w:rsidRDefault="00BD3A67" w:rsidP="00376D4B">
      <w:pPr>
        <w:tabs>
          <w:tab w:val="left" w:pos="2970"/>
        </w:tabs>
        <w:ind w:left="720"/>
        <w:contextualSpacing/>
        <w:rPr>
          <w:rFonts w:cs="Tahoma"/>
        </w:rPr>
      </w:pPr>
    </w:p>
    <w:p w:rsidR="00BD3A67" w:rsidRDefault="00BD3A67" w:rsidP="00376D4B">
      <w:pPr>
        <w:tabs>
          <w:tab w:val="left" w:pos="2970"/>
        </w:tabs>
        <w:ind w:left="720"/>
        <w:contextualSpacing/>
        <w:rPr>
          <w:rFonts w:cs="Tahoma"/>
        </w:rPr>
      </w:pPr>
    </w:p>
    <w:p w:rsidR="00BD3A67" w:rsidRDefault="00BD3A67" w:rsidP="00376D4B">
      <w:pPr>
        <w:tabs>
          <w:tab w:val="left" w:pos="2970"/>
        </w:tabs>
        <w:ind w:left="720"/>
        <w:contextualSpacing/>
        <w:rPr>
          <w:rFonts w:cs="Tahoma"/>
        </w:rPr>
      </w:pPr>
    </w:p>
    <w:p w:rsidR="00BD3A67" w:rsidRDefault="00BD3A67" w:rsidP="00376D4B">
      <w:pPr>
        <w:tabs>
          <w:tab w:val="left" w:pos="2970"/>
        </w:tabs>
        <w:ind w:left="720"/>
        <w:contextualSpacing/>
        <w:rPr>
          <w:rFonts w:cs="Tahoma"/>
        </w:rPr>
      </w:pPr>
    </w:p>
    <w:p w:rsidR="00BD3A67" w:rsidRDefault="00BD3A67" w:rsidP="00376D4B">
      <w:pPr>
        <w:tabs>
          <w:tab w:val="left" w:pos="2970"/>
        </w:tabs>
        <w:ind w:left="720"/>
        <w:contextualSpacing/>
        <w:rPr>
          <w:rFonts w:cs="Tahoma"/>
        </w:rPr>
      </w:pPr>
    </w:p>
    <w:p w:rsidR="00BD3A67" w:rsidRPr="000A1C8E" w:rsidRDefault="00BD3A67" w:rsidP="00376D4B">
      <w:pPr>
        <w:tabs>
          <w:tab w:val="left" w:pos="2970"/>
        </w:tabs>
        <w:ind w:left="720"/>
        <w:contextualSpacing/>
        <w:rPr>
          <w:rFonts w:cs="Tahoma"/>
        </w:rPr>
      </w:pPr>
    </w:p>
    <w:p w:rsidR="00924690" w:rsidRPr="000A1C8E" w:rsidRDefault="00FF4CAB" w:rsidP="00924690">
      <w:pPr>
        <w:spacing w:after="60"/>
        <w:ind w:left="720"/>
        <w:rPr>
          <w:rFonts w:cs="Tahoma"/>
        </w:rPr>
      </w:pPr>
      <w:r w:rsidRPr="000A1C8E">
        <w:rPr>
          <w:rFonts w:eastAsia="Calibri" w:cs="Tahoma"/>
          <w:b/>
          <w:color w:val="000000"/>
          <w:szCs w:val="18"/>
        </w:rPr>
        <w:t>Outorga de Licença Alternativa do System Center 2012 Datacenter para Clientes com licenças de qualificação para Virtual Machine Manager (ML do Servidor do VMM Enterprise)</w:t>
      </w:r>
    </w:p>
    <w:p w:rsidR="00FF4CAB" w:rsidRPr="000A1C8E" w:rsidRDefault="00FF4CAB" w:rsidP="00376D4B">
      <w:pPr>
        <w:tabs>
          <w:tab w:val="left" w:pos="2970"/>
        </w:tabs>
        <w:ind w:left="720"/>
        <w:contextualSpacing/>
        <w:rPr>
          <w:rFonts w:cs="Tahoma"/>
        </w:rPr>
      </w:pPr>
      <w:r w:rsidRPr="000A1C8E">
        <w:rPr>
          <w:rFonts w:cs="Tahoma"/>
          <w:szCs w:val="18"/>
        </w:rPr>
        <w:t xml:space="preserve">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w:t>
      </w:r>
      <w:r w:rsidRPr="000A1C8E">
        <w:rPr>
          <w:rFonts w:cs="Tahoma"/>
          <w:szCs w:val="18"/>
        </w:rPr>
        <w:lastRenderedPageBreak/>
        <w:t>2012 Datacenter igual ao número de processadores físicos do servidor gerenciado dividido por dois.</w:t>
      </w:r>
      <w:r w:rsidR="00DC6D8B" w:rsidRPr="000A1C8E">
        <w:rPr>
          <w:rFonts w:cs="Tahoma"/>
          <w:szCs w:val="18"/>
        </w:rPr>
        <w:t xml:space="preserve"> </w:t>
      </w:r>
      <w:r w:rsidRPr="000A1C8E">
        <w:rPr>
          <w:rFonts w:cs="Tahoma"/>
          <w:szCs w:val="18"/>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DC6D8B" w:rsidRPr="000A1C8E">
        <w:rPr>
          <w:rFonts w:cs="Tahoma"/>
          <w:szCs w:val="18"/>
        </w:rPr>
        <w:t xml:space="preserve"> </w:t>
      </w:r>
      <w:r w:rsidRPr="000A1C8E">
        <w:rPr>
          <w:rFonts w:cs="Tahoma"/>
          <w:szCs w:val="18"/>
        </w:rPr>
        <w:t>Esta documentação junto com a evidência de suas licenças qualificadas e esta Nota do Produto evidenciarão o direito do cliente de usar o System Center 2012 sob os termos desta oferta. O cliente não terá mais o direito de usar o software sob licença qualificada atribuídas ao servidor mediante sua atualização para o System Center 2012.</w:t>
      </w:r>
      <w:r w:rsidRPr="000A1C8E">
        <w:rPr>
          <w:rFonts w:cs="Tahoma"/>
          <w:color w:val="000000"/>
          <w:szCs w:val="24"/>
        </w:rPr>
        <w:t xml:space="preserve"> Os clientes não poderão transferir as licenças concedidas sob esta oferta separadamente das licenças qualificadas correspondentes.</w:t>
      </w:r>
    </w:p>
    <w:p w:rsidR="00FF4CAB" w:rsidRPr="000A1C8E" w:rsidRDefault="00FF4CAB" w:rsidP="00376D4B">
      <w:pPr>
        <w:ind w:left="720"/>
        <w:rPr>
          <w:rFonts w:cs="Tahoma"/>
        </w:rPr>
      </w:pPr>
    </w:p>
    <w:p w:rsidR="009B12B7" w:rsidRPr="000A1C8E" w:rsidRDefault="00FF4CAB" w:rsidP="00924690">
      <w:pPr>
        <w:spacing w:after="60"/>
        <w:ind w:left="720"/>
        <w:rPr>
          <w:rFonts w:cs="Tahoma"/>
        </w:rPr>
      </w:pPr>
      <w:r w:rsidRPr="000A1C8E">
        <w:rPr>
          <w:rFonts w:eastAsia="Calibri" w:cs="Tahoma"/>
          <w:b/>
          <w:color w:val="000000"/>
          <w:szCs w:val="18"/>
        </w:rPr>
        <w:t>Clientes Renovando Software Assurance Antes de 1º de outubro de 2012</w:t>
      </w:r>
    </w:p>
    <w:p w:rsidR="009B12B7" w:rsidRPr="000A1C8E" w:rsidRDefault="00DC4FEC" w:rsidP="00376D4B">
      <w:pPr>
        <w:ind w:left="720"/>
        <w:rPr>
          <w:rFonts w:cs="Tahoma"/>
          <w:spacing w:val="-2"/>
        </w:rPr>
      </w:pPr>
      <w:r w:rsidRPr="000A1C8E">
        <w:rPr>
          <w:rFonts w:cs="Tahoma"/>
          <w:color w:val="000000"/>
          <w:spacing w:val="-2"/>
          <w:szCs w:val="18"/>
        </w:rPr>
        <w:t xml:space="preserve">Clientes Academic, Open e Open Value </w:t>
      </w:r>
      <w:r w:rsidRPr="000A1C8E">
        <w:rPr>
          <w:rFonts w:cs="Tahoma"/>
          <w:spacing w:val="-2"/>
          <w:szCs w:val="18"/>
        </w:rPr>
        <w:t>que estão renovando o Software Assurance para System Center 2012 antes de 1º de outubro de 2012 estarão qualificados para renovar a cobertura</w:t>
      </w:r>
      <w:r w:rsidRPr="000A1C8E">
        <w:rPr>
          <w:rFonts w:cs="Tahoma"/>
          <w:color w:val="000000"/>
          <w:spacing w:val="-2"/>
          <w:szCs w:val="18"/>
        </w:rPr>
        <w:t xml:space="preserve"> para as licenças, ficando qualificados para a outorga de licença do System Center 2012 (para cada, uma “licença qualificada”).</w:t>
      </w:r>
      <w:r w:rsidR="00DC6D8B" w:rsidRPr="000A1C8E">
        <w:rPr>
          <w:rFonts w:cs="Tahoma"/>
          <w:color w:val="000000"/>
          <w:spacing w:val="-2"/>
          <w:szCs w:val="18"/>
        </w:rPr>
        <w:t xml:space="preserve"> </w:t>
      </w:r>
      <w:r w:rsidRPr="000A1C8E">
        <w:rPr>
          <w:rFonts w:cs="Tahoma"/>
          <w:color w:val="000000"/>
          <w:spacing w:val="-2"/>
          <w:szCs w:val="18"/>
        </w:rPr>
        <w:t>Renovando a cobertura para uma licença qualificada, um cliente será considerado como tendo a cobertura renovada para as licenças correspondentes do System Center 2012 fornecidas por esta concessão.</w:t>
      </w:r>
      <w:r w:rsidR="00DC6D8B" w:rsidRPr="000A1C8E">
        <w:rPr>
          <w:rFonts w:cs="Tahoma"/>
          <w:color w:val="000000"/>
          <w:spacing w:val="-2"/>
          <w:szCs w:val="18"/>
        </w:rPr>
        <w:t xml:space="preserve"> </w:t>
      </w:r>
      <w:r w:rsidRPr="000A1C8E">
        <w:rPr>
          <w:rFonts w:cs="Tahoma"/>
          <w:color w:val="000000"/>
          <w:spacing w:val="-2"/>
          <w:szCs w:val="18"/>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 Apesar da renovação do Software Assurance para as licenças qualificadas, os termos e as condições da outorga de licença do System Center 2012 permanecerão em vigor.</w:t>
      </w:r>
      <w:r w:rsidR="00DC6D8B" w:rsidRPr="000A1C8E">
        <w:rPr>
          <w:rFonts w:cs="Tahoma"/>
          <w:color w:val="000000"/>
          <w:spacing w:val="-2"/>
          <w:szCs w:val="18"/>
        </w:rPr>
        <w:t xml:space="preserve"> </w:t>
      </w:r>
      <w:r w:rsidRPr="000A1C8E">
        <w:rPr>
          <w:rFonts w:cs="Tahoma"/>
          <w:color w:val="000000"/>
          <w:spacing w:val="-2"/>
          <w:szCs w:val="18"/>
        </w:rPr>
        <w:t>Da mesma forma, os clientes não podem usar o software sob uma licença qualificada e as licenças correspondentes do System Center 2012 ao mesmo tempo.</w:t>
      </w:r>
      <w:r w:rsidR="00DC6D8B" w:rsidRPr="000A1C8E">
        <w:rPr>
          <w:rFonts w:cs="Tahoma"/>
          <w:color w:val="000000"/>
          <w:spacing w:val="-2"/>
          <w:szCs w:val="18"/>
        </w:rPr>
        <w:t xml:space="preserve"> </w:t>
      </w:r>
      <w:r w:rsidRPr="000A1C8E">
        <w:rPr>
          <w:rFonts w:cs="Tahoma"/>
          <w:color w:val="000000"/>
          <w:spacing w:val="-2"/>
          <w:szCs w:val="18"/>
        </w:rPr>
        <w:t xml:space="preserve">A Licença e o Software Assurance (L&amp;SA) para novas licenças adquiridas na renovação devem ser solicitadas usando o preço do System Center 2012. </w:t>
      </w:r>
    </w:p>
    <w:p w:rsidR="009B12B7" w:rsidRPr="000A1C8E" w:rsidRDefault="009B12B7" w:rsidP="00376D4B">
      <w:pPr>
        <w:ind w:left="720"/>
        <w:rPr>
          <w:rFonts w:cs="Tahoma"/>
        </w:rPr>
      </w:pPr>
    </w:p>
    <w:p w:rsidR="00FF4CAB" w:rsidRPr="000A1C8E" w:rsidRDefault="009B12B7" w:rsidP="00376D4B">
      <w:pPr>
        <w:ind w:left="720"/>
        <w:rPr>
          <w:rFonts w:cs="Tahoma"/>
          <w:spacing w:val="-2"/>
        </w:rPr>
      </w:pPr>
      <w:r w:rsidRPr="000A1C8E">
        <w:rPr>
          <w:rFonts w:cs="Tahoma"/>
          <w:spacing w:val="-2"/>
          <w:szCs w:val="18"/>
        </w:rPr>
        <w:t>Qualquer outro cliente que esteja renovando o Software Assurance antes de 1º de outubro de 2012 para as licenças do System Center 2012 concedidas nesta oferta poderão estar qualificados da mesma forma para renovar a cobertura com base no preço de Software Assurance para as licenças que os qualificam para a outorga.</w:t>
      </w:r>
      <w:r w:rsidR="00DC6D8B" w:rsidRPr="000A1C8E">
        <w:rPr>
          <w:rFonts w:cs="Tahoma"/>
          <w:spacing w:val="-2"/>
          <w:szCs w:val="18"/>
        </w:rPr>
        <w:t xml:space="preserve"> </w:t>
      </w:r>
      <w:r w:rsidRPr="000A1C8E">
        <w:rPr>
          <w:rFonts w:cs="Tahoma"/>
          <w:spacing w:val="-2"/>
          <w:szCs w:val="18"/>
        </w:rPr>
        <w:t>Os clientes devem entrar em contato com o gerente de conta Microsoft ou com o revendedor para obter detalhes.</w:t>
      </w:r>
      <w:r w:rsidR="00DC6D8B" w:rsidRPr="000A1C8E">
        <w:rPr>
          <w:rFonts w:cs="Tahoma"/>
          <w:spacing w:val="-2"/>
          <w:szCs w:val="18"/>
        </w:rPr>
        <w:t xml:space="preserve"> </w:t>
      </w:r>
      <w:r w:rsidRPr="000A1C8E">
        <w:rPr>
          <w:rFonts w:cs="Tahoma"/>
          <w:spacing w:val="-2"/>
          <w:szCs w:val="18"/>
        </w:rPr>
        <w:t xml:space="preserve">Essa oferta não se aplica à renovação do Software Assurance para licenças de gerenciamento de clientes do System Center Client Management Suite e System Center Configuration Manager </w:t>
      </w:r>
    </w:p>
    <w:p w:rsidR="00FF4CAB" w:rsidRPr="000A1C8E" w:rsidRDefault="00FF4CAB" w:rsidP="00924690">
      <w:pPr>
        <w:rPr>
          <w:rFonts w:cs="Tahoma"/>
        </w:rPr>
      </w:pPr>
    </w:p>
    <w:p w:rsidR="00FF4CAB" w:rsidRPr="000A1C8E" w:rsidRDefault="00FF4CAB" w:rsidP="00FF4CAB">
      <w:pPr>
        <w:rPr>
          <w:rFonts w:cs="Tahoma"/>
        </w:rPr>
      </w:pPr>
    </w:p>
    <w:p w:rsidR="00916E81" w:rsidRPr="000A1C8E" w:rsidRDefault="00A560B6" w:rsidP="002D35ED">
      <w:pPr>
        <w:pStyle w:val="Heading3"/>
        <w:rPr>
          <w:rFonts w:ascii="Tahoma" w:hAnsi="Tahoma" w:cs="Tahoma"/>
        </w:rPr>
      </w:pPr>
      <w:bookmarkStart w:id="1570" w:name="_103_System_Center"/>
      <w:bookmarkStart w:id="1571" w:name="_91_System_Center"/>
      <w:bookmarkStart w:id="1572" w:name="_97_System_Center"/>
      <w:bookmarkStart w:id="1573" w:name="Srv_102SysCtr2012EndpointProt"/>
      <w:bookmarkStart w:id="1574" w:name="_Toc336338359"/>
      <w:bookmarkStart w:id="1575" w:name="_Toc361829441"/>
      <w:bookmarkEnd w:id="1570"/>
      <w:bookmarkEnd w:id="1571"/>
      <w:bookmarkEnd w:id="1572"/>
      <w:r w:rsidRPr="000A1C8E">
        <w:rPr>
          <w:rFonts w:ascii="Tahoma" w:hAnsi="Tahoma" w:cs="Tahoma"/>
          <w:caps/>
          <w:color w:val="F66400"/>
          <w:sz w:val="22"/>
          <w:szCs w:val="22"/>
          <w:vertAlign w:val="superscript"/>
        </w:rPr>
        <w:t>98</w:t>
      </w:r>
      <w:r w:rsidRPr="000A1C8E">
        <w:rPr>
          <w:rFonts w:ascii="Tahoma" w:hAnsi="Tahoma" w:cs="Tahoma"/>
          <w:color w:val="F66400"/>
          <w:sz w:val="22"/>
          <w:szCs w:val="22"/>
        </w:rPr>
        <w:t xml:space="preserve"> System Center 2012 Endpoint Protection</w:t>
      </w:r>
      <w:bookmarkEnd w:id="1573"/>
      <w:bookmarkEnd w:id="1574"/>
      <w:bookmarkEnd w:id="1575"/>
    </w:p>
    <w:p w:rsidR="00916E81" w:rsidRPr="000A1C8E" w:rsidRDefault="00916E81" w:rsidP="00C21BCF">
      <w:pPr>
        <w:ind w:left="720"/>
        <w:rPr>
          <w:rFonts w:cs="Tahoma"/>
        </w:rPr>
      </w:pPr>
    </w:p>
    <w:p w:rsidR="00C21BCF" w:rsidRPr="000A1C8E" w:rsidRDefault="00A0581B" w:rsidP="00A0581B">
      <w:pPr>
        <w:spacing w:after="60"/>
        <w:ind w:left="720"/>
        <w:rPr>
          <w:rFonts w:cs="Tahoma"/>
        </w:rPr>
      </w:pPr>
      <w:r w:rsidRPr="000A1C8E">
        <w:rPr>
          <w:rFonts w:eastAsia="Calibri" w:cs="Tahoma"/>
          <w:b/>
          <w:szCs w:val="18"/>
        </w:rPr>
        <w:t>Atualizações/Downgrade</w:t>
      </w:r>
    </w:p>
    <w:p w:rsidR="00C21BCF" w:rsidRPr="000A1C8E" w:rsidRDefault="00C21BCF" w:rsidP="001C30ED">
      <w:pPr>
        <w:ind w:left="720"/>
        <w:rPr>
          <w:rFonts w:cs="Tahoma"/>
        </w:rPr>
      </w:pPr>
      <w:r w:rsidRPr="000A1C8E">
        <w:rPr>
          <w:rFonts w:eastAsia="Calibri" w:cs="Tahoma"/>
          <w:szCs w:val="18"/>
        </w:rPr>
        <w:t>A partir de 1º de abril de 2012, o Forefront Endpoint Protection se tornará o System Center 2012 Endpoint Protection. O System Center 2012 Endpoint Protection, como uma oferta independente, confere direitos de</w:t>
      </w:r>
      <w:r w:rsidR="001C30ED" w:rsidRPr="000A1C8E">
        <w:rPr>
          <w:rFonts w:eastAsia="Calibri" w:cs="Tahoma"/>
          <w:szCs w:val="18"/>
        </w:rPr>
        <w:t> </w:t>
      </w:r>
      <w:r w:rsidRPr="000A1C8E">
        <w:rPr>
          <w:rFonts w:eastAsia="Calibri" w:cs="Tahoma"/>
          <w:szCs w:val="18"/>
        </w:rPr>
        <w:t>uso apenas para proteger os dispositivos do cliente. Os direitos de uso para proteger dispositivos de servidor podem ser adquiridos somente por meio da aquisição das licenças de gerenciamento do servidor do</w:t>
      </w:r>
      <w:r w:rsidR="001C30ED" w:rsidRPr="000A1C8E">
        <w:rPr>
          <w:rFonts w:eastAsia="Calibri" w:cs="Tahoma"/>
          <w:szCs w:val="18"/>
        </w:rPr>
        <w:t> </w:t>
      </w:r>
      <w:r w:rsidRPr="000A1C8E">
        <w:rPr>
          <w:rFonts w:eastAsia="Calibri" w:cs="Tahoma"/>
          <w:szCs w:val="18"/>
        </w:rPr>
        <w:t>System Center 2012 Standard ou Datacenter.</w:t>
      </w:r>
    </w:p>
    <w:p w:rsidR="00C21BCF" w:rsidRPr="000A1C8E" w:rsidRDefault="00C21BCF" w:rsidP="00C21BCF">
      <w:pPr>
        <w:ind w:left="720"/>
        <w:rPr>
          <w:rFonts w:cs="Tahoma"/>
        </w:rPr>
      </w:pPr>
    </w:p>
    <w:p w:rsidR="00C21BCF" w:rsidRPr="000A1C8E" w:rsidRDefault="00C21BCF" w:rsidP="001C30ED">
      <w:pPr>
        <w:ind w:left="720"/>
        <w:rPr>
          <w:rFonts w:cs="Tahoma"/>
        </w:rPr>
      </w:pPr>
      <w:r w:rsidRPr="000A1C8E">
        <w:rPr>
          <w:rFonts w:eastAsia="Calibri" w:cs="Tahoma"/>
          <w:szCs w:val="18"/>
        </w:rPr>
        <w:t>Os usuários com assinaturas do Forefront Endpoint Protection e que ajudam o serviço a proteger os dispositivos do cliente, podem fazer atualização para e usar o System Center 2012 Endpoint Protection para</w:t>
      </w:r>
      <w:r w:rsidR="001C30ED" w:rsidRPr="000A1C8E">
        <w:rPr>
          <w:rFonts w:eastAsia="Calibri" w:cs="Tahoma"/>
          <w:szCs w:val="18"/>
        </w:rPr>
        <w:t> </w:t>
      </w:r>
      <w:r w:rsidRPr="000A1C8E">
        <w:rPr>
          <w:rFonts w:eastAsia="Calibri" w:cs="Tahoma"/>
          <w:szCs w:val="18"/>
        </w:rPr>
        <w:t>a mesma finalidade. Os clientes com assinaturas do System Center 2012 Endpoint Protection também podem fazer downgrade para o Forefront Endpoint Protection.</w:t>
      </w:r>
    </w:p>
    <w:p w:rsidR="00C21BCF" w:rsidRDefault="00C21BCF" w:rsidP="00C21BCF">
      <w:pPr>
        <w:ind w:left="720"/>
        <w:rPr>
          <w:rFonts w:cs="Tahoma"/>
        </w:rPr>
      </w:pPr>
    </w:p>
    <w:p w:rsidR="00BD3A67" w:rsidRDefault="00BD3A67" w:rsidP="00C21BCF">
      <w:pPr>
        <w:ind w:left="720"/>
        <w:rPr>
          <w:rFonts w:cs="Tahoma"/>
        </w:rPr>
      </w:pPr>
    </w:p>
    <w:p w:rsidR="00BD3A67" w:rsidRDefault="00BD3A67" w:rsidP="00C21BCF">
      <w:pPr>
        <w:ind w:left="720"/>
        <w:rPr>
          <w:rFonts w:cs="Tahoma"/>
        </w:rPr>
      </w:pPr>
    </w:p>
    <w:p w:rsidR="00BD3A67" w:rsidRDefault="00BD3A67" w:rsidP="00C21BCF">
      <w:pPr>
        <w:ind w:left="720"/>
        <w:rPr>
          <w:rFonts w:cs="Tahoma"/>
        </w:rPr>
      </w:pPr>
    </w:p>
    <w:p w:rsidR="00BD3A67" w:rsidRDefault="00BD3A67" w:rsidP="00C21BCF">
      <w:pPr>
        <w:ind w:left="720"/>
        <w:rPr>
          <w:rFonts w:cs="Tahoma"/>
        </w:rPr>
      </w:pPr>
    </w:p>
    <w:p w:rsidR="00BD3A67" w:rsidRDefault="00BD3A67" w:rsidP="00C21BCF">
      <w:pPr>
        <w:ind w:left="720"/>
        <w:rPr>
          <w:rFonts w:cs="Tahoma"/>
        </w:rPr>
      </w:pPr>
    </w:p>
    <w:p w:rsidR="00BD3A67" w:rsidRPr="000A1C8E" w:rsidRDefault="00BD3A67" w:rsidP="00C21BCF">
      <w:pPr>
        <w:ind w:left="720"/>
        <w:rPr>
          <w:rFonts w:cs="Tahoma"/>
        </w:rPr>
      </w:pPr>
    </w:p>
    <w:p w:rsidR="00C21BCF" w:rsidRPr="000A1C8E" w:rsidRDefault="00C21BCF" w:rsidP="00C21BCF">
      <w:pPr>
        <w:ind w:left="720"/>
        <w:rPr>
          <w:rFonts w:cs="Tahoma"/>
        </w:rPr>
      </w:pPr>
      <w:r w:rsidRPr="000A1C8E">
        <w:rPr>
          <w:rFonts w:eastAsia="Calibri" w:cs="Tahoma"/>
          <w:szCs w:val="18"/>
        </w:rPr>
        <w:t>O System Center 2012 Configuration Manager é o console de gerenciamento do System Center 2012 Endpoint Protection.</w:t>
      </w:r>
      <w:r w:rsidR="00DC6D8B" w:rsidRPr="000A1C8E">
        <w:rPr>
          <w:rFonts w:eastAsia="Calibri" w:cs="Tahoma"/>
          <w:szCs w:val="18"/>
        </w:rPr>
        <w:t xml:space="preserve"> </w:t>
      </w:r>
      <w:r w:rsidRPr="000A1C8E">
        <w:rPr>
          <w:rFonts w:eastAsia="Calibri" w:cs="Tahoma"/>
          <w:szCs w:val="18"/>
        </w:rPr>
        <w:t>Os clientes devem ser licenciados para o System Center 2012 Configuration Manager para fornecer gerenciamento para o System Center 2012 Endpoint Protection.</w:t>
      </w:r>
      <w:r w:rsidR="00DC6D8B" w:rsidRPr="000A1C8E">
        <w:rPr>
          <w:rFonts w:eastAsia="Calibri" w:cs="Tahoma"/>
          <w:szCs w:val="18"/>
        </w:rPr>
        <w:t xml:space="preserve"> </w:t>
      </w:r>
      <w:r w:rsidRPr="000A1C8E">
        <w:rPr>
          <w:rFonts w:eastAsia="Calibri" w:cs="Tahoma"/>
          <w:szCs w:val="18"/>
        </w:rPr>
        <w:t>Opcionalmente, o System Center 2012 Endpoint Protection poderá ser usado de forma não gerenciada, sem a necessidade de licenciar o System Center 2012 Configuration Manager.</w:t>
      </w:r>
      <w:r w:rsidR="00DC6D8B" w:rsidRPr="000A1C8E">
        <w:rPr>
          <w:rFonts w:eastAsia="Calibri" w:cs="Tahoma"/>
          <w:szCs w:val="18"/>
        </w:rPr>
        <w:t xml:space="preserve"> </w:t>
      </w:r>
    </w:p>
    <w:p w:rsidR="00C21BCF" w:rsidRPr="000A1C8E" w:rsidRDefault="00C21BCF" w:rsidP="00C21BCF">
      <w:pPr>
        <w:ind w:left="720"/>
        <w:rPr>
          <w:rFonts w:cs="Tahoma"/>
        </w:rPr>
      </w:pPr>
    </w:p>
    <w:p w:rsidR="00C21BCF" w:rsidRPr="000A1C8E" w:rsidRDefault="00A0581B" w:rsidP="00A0581B">
      <w:pPr>
        <w:spacing w:after="60"/>
        <w:ind w:left="720"/>
        <w:rPr>
          <w:rFonts w:cs="Tahoma"/>
        </w:rPr>
      </w:pPr>
      <w:r w:rsidRPr="000A1C8E">
        <w:rPr>
          <w:rFonts w:eastAsia="Calibri" w:cs="Tahoma"/>
          <w:b/>
          <w:szCs w:val="18"/>
        </w:rPr>
        <w:lastRenderedPageBreak/>
        <w:t>Uso Doméstico</w:t>
      </w:r>
    </w:p>
    <w:p w:rsidR="00FF4CAB" w:rsidRPr="000A1C8E" w:rsidRDefault="00C21BCF" w:rsidP="00A0581B">
      <w:pPr>
        <w:ind w:left="720"/>
        <w:rPr>
          <w:rFonts w:cs="Tahoma"/>
        </w:rPr>
      </w:pPr>
      <w:r w:rsidRPr="000A1C8E">
        <w:rPr>
          <w:rFonts w:eastAsia="Calibri" w:cs="Tahoma"/>
          <w:szCs w:val="18"/>
        </w:rPr>
        <w:t>Os clientes com as Licenças de Assinatura do Usuário atuais para qualificação do System Center 2012 Endpoint Protection como programa de Uso Doméstico</w:t>
      </w:r>
    </w:p>
    <w:p w:rsidR="001C30ED" w:rsidRPr="000A1C8E" w:rsidRDefault="001C30ED" w:rsidP="00A0581B">
      <w:pPr>
        <w:rPr>
          <w:rFonts w:cs="Tahoma"/>
        </w:rPr>
      </w:pPr>
    </w:p>
    <w:p w:rsidR="001C30ED" w:rsidRPr="000A1C8E" w:rsidRDefault="001C30ED" w:rsidP="00A0581B">
      <w:pPr>
        <w:rPr>
          <w:rFonts w:cs="Tahoma"/>
        </w:rPr>
      </w:pPr>
    </w:p>
    <w:p w:rsidR="00023FE7" w:rsidRPr="000A1C8E" w:rsidRDefault="00A560B6">
      <w:pPr>
        <w:pStyle w:val="Heading3"/>
        <w:rPr>
          <w:rFonts w:ascii="Tahoma" w:hAnsi="Tahoma" w:cs="Tahoma"/>
        </w:rPr>
      </w:pPr>
      <w:bookmarkStart w:id="1576" w:name="_91_TechNet_Plus"/>
      <w:bookmarkStart w:id="1577" w:name="_98_TechNet_Plus"/>
      <w:bookmarkStart w:id="1578" w:name="_99_TechNet_Plus"/>
      <w:bookmarkStart w:id="1579" w:name="Srv_103TechNetPlusSingleUser"/>
      <w:bookmarkStart w:id="1580" w:name="_Toc336338360"/>
      <w:bookmarkStart w:id="1581" w:name="_Toc361829442"/>
      <w:bookmarkEnd w:id="1576"/>
      <w:bookmarkEnd w:id="1577"/>
      <w:bookmarkEnd w:id="1578"/>
      <w:r w:rsidRPr="000A1C8E">
        <w:rPr>
          <w:rFonts w:ascii="Tahoma" w:hAnsi="Tahoma" w:cs="Tahoma"/>
          <w:caps/>
          <w:color w:val="F66400"/>
          <w:sz w:val="22"/>
          <w:vertAlign w:val="superscript"/>
        </w:rPr>
        <w:t>99</w:t>
      </w:r>
      <w:r w:rsidRPr="000A1C8E">
        <w:rPr>
          <w:rFonts w:ascii="Tahoma" w:hAnsi="Tahoma" w:cs="Tahoma"/>
          <w:color w:val="F66400"/>
          <w:sz w:val="22"/>
        </w:rPr>
        <w:t xml:space="preserve"> TechNet Plus Single User</w:t>
      </w:r>
      <w:bookmarkEnd w:id="1560"/>
      <w:bookmarkEnd w:id="1579"/>
      <w:bookmarkEnd w:id="1580"/>
      <w:bookmarkEnd w:id="1581"/>
    </w:p>
    <w:p w:rsidR="00023FE7" w:rsidRPr="000A1C8E" w:rsidRDefault="00023FE7" w:rsidP="001704C2">
      <w:pPr>
        <w:tabs>
          <w:tab w:val="left" w:pos="2690"/>
        </w:tabs>
        <w:rPr>
          <w:rFonts w:cs="Tahoma"/>
        </w:rPr>
      </w:pPr>
    </w:p>
    <w:p w:rsidR="00023FE7" w:rsidRPr="000A1C8E" w:rsidRDefault="00023FE7" w:rsidP="001704C2">
      <w:pPr>
        <w:pStyle w:val="FootnoteBulletLevel1"/>
        <w:tabs>
          <w:tab w:val="clear" w:pos="900"/>
        </w:tabs>
        <w:spacing w:before="0" w:after="60"/>
        <w:ind w:left="720" w:firstLine="0"/>
        <w:rPr>
          <w:rFonts w:ascii="Tahoma" w:hAnsi="Tahoma" w:cs="Tahoma"/>
        </w:rPr>
      </w:pPr>
      <w:r w:rsidRPr="000A1C8E">
        <w:rPr>
          <w:rFonts w:ascii="Tahoma" w:hAnsi="Tahoma" w:cs="Tahoma"/>
          <w:b/>
          <w:sz w:val="18"/>
        </w:rPr>
        <w:t>Caminho de migração para os clientes do TechNet Plus Single Server registrados no Software Assurance</w:t>
      </w:r>
    </w:p>
    <w:p w:rsidR="00023FE7" w:rsidRPr="000A1C8E" w:rsidRDefault="00023FE7" w:rsidP="001704C2">
      <w:pPr>
        <w:pStyle w:val="FootnoteBulletLevel1"/>
        <w:tabs>
          <w:tab w:val="clear" w:pos="900"/>
        </w:tabs>
        <w:spacing w:before="0" w:after="0"/>
        <w:ind w:left="720" w:firstLine="0"/>
        <w:rPr>
          <w:rFonts w:ascii="Tahoma" w:hAnsi="Tahoma" w:cs="Tahoma"/>
        </w:rPr>
      </w:pPr>
      <w:r w:rsidRPr="000A1C8E">
        <w:rPr>
          <w:rFonts w:ascii="Tahoma" w:hAnsi="Tahoma" w:cs="Tahoma"/>
          <w:sz w:val="18"/>
        </w:rPr>
        <w:t>Os clientes com Software Assurance sobre o TechNet Plus Single Server próximo à data de término que desejarem renovar a cobertura poderão adquiri-la para o TechNet Plus Single User ou o TechNet Plus Direct.</w:t>
      </w:r>
      <w:r w:rsidR="00DC6D8B" w:rsidRPr="000A1C8E">
        <w:rPr>
          <w:rFonts w:ascii="Tahoma" w:hAnsi="Tahoma" w:cs="Tahoma"/>
          <w:sz w:val="18"/>
        </w:rPr>
        <w:t xml:space="preserve"> </w:t>
      </w:r>
    </w:p>
    <w:p w:rsidR="006B1BAF" w:rsidRPr="000A1C8E" w:rsidRDefault="006B1BAF" w:rsidP="001704C2">
      <w:pPr>
        <w:rPr>
          <w:rFonts w:cs="Tahoma"/>
        </w:rPr>
      </w:pPr>
    </w:p>
    <w:p w:rsidR="001704C2" w:rsidRPr="000A1C8E" w:rsidRDefault="001704C2" w:rsidP="001704C2">
      <w:pPr>
        <w:rPr>
          <w:rFonts w:cs="Tahoma"/>
        </w:rPr>
      </w:pPr>
    </w:p>
    <w:p w:rsidR="00FF4CAB" w:rsidRPr="000A1C8E" w:rsidRDefault="00A560B6" w:rsidP="00FF4CAB">
      <w:pPr>
        <w:pStyle w:val="Heading3"/>
        <w:rPr>
          <w:rFonts w:ascii="Tahoma" w:hAnsi="Tahoma" w:cs="Tahoma"/>
        </w:rPr>
      </w:pPr>
      <w:bookmarkStart w:id="1582" w:name="_92_Visual_Studio"/>
      <w:bookmarkStart w:id="1583" w:name="_90_VDI_Standard"/>
      <w:bookmarkStart w:id="1584" w:name="_99_VDI_Standard"/>
      <w:bookmarkStart w:id="1585" w:name="_100_VDI_Pacotes"/>
      <w:bookmarkStart w:id="1586" w:name="_Toc336338361"/>
      <w:bookmarkStart w:id="1587" w:name="_Toc361829443"/>
      <w:bookmarkStart w:id="1588" w:name="Srv_105VDIStandardandPremiumSuites"/>
      <w:bookmarkStart w:id="1589" w:name="Srv_94VSLoadTestVirtualUserPack10"/>
      <w:bookmarkEnd w:id="1582"/>
      <w:bookmarkEnd w:id="1583"/>
      <w:bookmarkEnd w:id="1584"/>
      <w:bookmarkEnd w:id="1585"/>
      <w:r w:rsidRPr="000A1C8E">
        <w:rPr>
          <w:rFonts w:ascii="Tahoma" w:hAnsi="Tahoma" w:cs="Tahoma"/>
          <w:caps/>
          <w:color w:val="FF7415"/>
          <w:sz w:val="22"/>
          <w:szCs w:val="22"/>
          <w:vertAlign w:val="superscript"/>
        </w:rPr>
        <w:t xml:space="preserve">100 </w:t>
      </w:r>
      <w:r w:rsidRPr="000A1C8E">
        <w:rPr>
          <w:rFonts w:ascii="Tahoma" w:hAnsi="Tahoma" w:cs="Tahoma"/>
          <w:color w:val="FF7415"/>
          <w:sz w:val="22"/>
          <w:szCs w:val="22"/>
        </w:rPr>
        <w:t>VDI Pacotes Standard e Premium</w:t>
      </w:r>
      <w:bookmarkEnd w:id="1586"/>
      <w:bookmarkEnd w:id="1587"/>
    </w:p>
    <w:bookmarkEnd w:id="1588"/>
    <w:p w:rsidR="00FF4CAB" w:rsidRPr="000A1C8E" w:rsidRDefault="00FF4CAB" w:rsidP="00B76943">
      <w:pPr>
        <w:rPr>
          <w:rFonts w:cs="Tahoma"/>
        </w:rPr>
      </w:pPr>
    </w:p>
    <w:p w:rsidR="00FF4CAB" w:rsidRPr="000A1C8E" w:rsidRDefault="00FF4CAB" w:rsidP="00B76943">
      <w:pPr>
        <w:pStyle w:val="EndnoteText"/>
        <w:ind w:left="720"/>
        <w:rPr>
          <w:rFonts w:ascii="Tahoma" w:hAnsi="Tahoma" w:cs="Tahoma"/>
        </w:rPr>
      </w:pPr>
      <w:r w:rsidRPr="000A1C8E">
        <w:rPr>
          <w:rFonts w:ascii="Tahoma" w:hAnsi="Tahoma" w:cs="Tahoma"/>
          <w:color w:val="000000"/>
          <w:sz w:val="18"/>
        </w:rPr>
        <w:t>Estes produtos encontram-se no status EOL (Fim da Vida Útil) e não serão mais oferecidos. Os clientes do Enterprise Agreement podem consultar versões anteriores dos Direitos de Uso do Produto para obter informações sobre direitos de uso.</w:t>
      </w:r>
    </w:p>
    <w:p w:rsidR="00B54C21" w:rsidRPr="000A1C8E" w:rsidRDefault="00B54C21" w:rsidP="00B76943">
      <w:pPr>
        <w:pStyle w:val="EndnoteText"/>
        <w:ind w:left="0"/>
        <w:rPr>
          <w:rFonts w:ascii="Tahoma" w:hAnsi="Tahoma" w:cs="Tahoma"/>
        </w:rPr>
      </w:pPr>
      <w:bookmarkStart w:id="1590" w:name="_91_Vexcel_Server,"/>
      <w:bookmarkEnd w:id="1590"/>
    </w:p>
    <w:p w:rsidR="00EA31A6" w:rsidRPr="000A1C8E" w:rsidRDefault="00EA31A6" w:rsidP="00B76943">
      <w:pPr>
        <w:pStyle w:val="EndnoteText"/>
        <w:ind w:left="0"/>
        <w:rPr>
          <w:rFonts w:ascii="Tahoma" w:hAnsi="Tahoma" w:cs="Tahoma"/>
        </w:rPr>
      </w:pPr>
    </w:p>
    <w:p w:rsidR="00E8145C" w:rsidRPr="000A1C8E" w:rsidRDefault="00A560B6" w:rsidP="00E8145C">
      <w:pPr>
        <w:pStyle w:val="Heading2"/>
        <w:ind w:left="0"/>
        <w:rPr>
          <w:rFonts w:ascii="Tahoma" w:hAnsi="Tahoma" w:cs="Tahoma"/>
        </w:rPr>
      </w:pPr>
      <w:bookmarkStart w:id="1591" w:name="_105_Windows_Azure"/>
      <w:bookmarkStart w:id="1592" w:name="_100_Windows_Azure"/>
      <w:bookmarkStart w:id="1593" w:name="_101_Serviços_do"/>
      <w:bookmarkStart w:id="1594" w:name="_Toc336338362"/>
      <w:bookmarkStart w:id="1595" w:name="_Toc361829444"/>
      <w:bookmarkEnd w:id="1591"/>
      <w:bookmarkEnd w:id="1592"/>
      <w:bookmarkEnd w:id="1593"/>
      <w:r w:rsidRPr="000A1C8E">
        <w:rPr>
          <w:rFonts w:ascii="Tahoma" w:hAnsi="Tahoma" w:cs="Tahoma"/>
          <w:caps/>
          <w:color w:val="EE6000"/>
          <w:sz w:val="22"/>
          <w:szCs w:val="18"/>
          <w:vertAlign w:val="superscript"/>
        </w:rPr>
        <w:t xml:space="preserve">101 </w:t>
      </w:r>
      <w:r w:rsidRPr="000A1C8E">
        <w:rPr>
          <w:rFonts w:ascii="Tahoma" w:hAnsi="Tahoma" w:cs="Tahoma"/>
          <w:color w:val="F8701C"/>
          <w:sz w:val="22"/>
          <w:szCs w:val="22"/>
        </w:rPr>
        <w:t>Serviços do Windows Azure</w:t>
      </w:r>
      <w:bookmarkEnd w:id="1594"/>
      <w:bookmarkEnd w:id="1595"/>
    </w:p>
    <w:p w:rsidR="00E8145C" w:rsidRPr="000A1C8E" w:rsidRDefault="00E8145C" w:rsidP="00B76943">
      <w:pPr>
        <w:widowControl w:val="0"/>
        <w:jc w:val="both"/>
        <w:rPr>
          <w:rFonts w:cs="Tahoma"/>
        </w:rPr>
      </w:pPr>
    </w:p>
    <w:p w:rsidR="00B76943" w:rsidRPr="000A1C8E" w:rsidRDefault="00E8145C" w:rsidP="00B76943">
      <w:pPr>
        <w:widowControl w:val="0"/>
        <w:spacing w:after="60"/>
        <w:ind w:left="720"/>
        <w:jc w:val="both"/>
        <w:rPr>
          <w:rFonts w:cs="Tahoma"/>
        </w:rPr>
      </w:pPr>
      <w:r w:rsidRPr="000A1C8E">
        <w:rPr>
          <w:rFonts w:cs="Tahoma"/>
          <w:b/>
          <w:color w:val="000000"/>
        </w:rPr>
        <w:t>Compromisso de Recursos do Windows Azure Compute</w:t>
      </w:r>
    </w:p>
    <w:p w:rsidR="00E8145C" w:rsidRPr="000A1C8E" w:rsidRDefault="00E8145C" w:rsidP="00B76943">
      <w:pPr>
        <w:widowControl w:val="0"/>
        <w:ind w:left="720"/>
        <w:jc w:val="both"/>
        <w:rPr>
          <w:rFonts w:cs="Tahoma"/>
        </w:rPr>
      </w:pPr>
      <w:r w:rsidRPr="000A1C8E">
        <w:rPr>
          <w:rFonts w:cs="Tahoma"/>
        </w:rPr>
        <w:t xml:space="preserve">No caso do Windows Azure Compute, a Microsoft concorda em fornecer ao cliente um Compromisso de Recursos do Compute. O Compromisso de Recursos do Compute corresponderá a (1) </w:t>
      </w:r>
      <w:r w:rsidRPr="000A1C8E">
        <w:rPr>
          <w:rFonts w:eastAsia="Times New Roman" w:cs="Tahoma"/>
          <w:color w:val="000000"/>
        </w:rPr>
        <w:t xml:space="preserve">50 instâncias pequenas e simultâneas do Compute por mês ou (2) </w:t>
      </w:r>
      <w:r w:rsidRPr="000A1C8E">
        <w:rPr>
          <w:rFonts w:cs="Tahoma"/>
        </w:rPr>
        <w:t xml:space="preserve">125% do Uso Estimado do Compute do cliente (conforme calculado abaixo), o que for maior. </w:t>
      </w:r>
    </w:p>
    <w:p w:rsidR="00B76943" w:rsidRPr="000A1C8E" w:rsidRDefault="00B76943" w:rsidP="00B76943">
      <w:pPr>
        <w:widowControl w:val="0"/>
        <w:ind w:left="720"/>
        <w:jc w:val="both"/>
        <w:rPr>
          <w:rFonts w:cs="Tahoma"/>
        </w:rPr>
      </w:pPr>
    </w:p>
    <w:p w:rsidR="00E8145C" w:rsidRPr="000A1C8E" w:rsidRDefault="00E8145C" w:rsidP="00B76943">
      <w:pPr>
        <w:widowControl w:val="0"/>
        <w:ind w:left="720"/>
        <w:jc w:val="both"/>
        <w:rPr>
          <w:rFonts w:cs="Tahoma"/>
        </w:rPr>
      </w:pPr>
      <w:r w:rsidRPr="000A1C8E">
        <w:rPr>
          <w:rFonts w:cs="Tahoma"/>
        </w:rPr>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0A1C8E">
        <w:rPr>
          <w:rFonts w:cs="Tahoma"/>
          <w:szCs w:val="18"/>
        </w:rPr>
        <w:t>coextensiva</w:t>
      </w:r>
      <w:r w:rsidRPr="000A1C8E">
        <w:rPr>
          <w:rFonts w:cs="Tahoma"/>
        </w:rPr>
        <w:t xml:space="preserve"> abaixo), e dividindo-se esse número pela Taxa de Compromissos para o Windows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B76943" w:rsidRPr="000A1C8E" w:rsidRDefault="00B76943" w:rsidP="00B76943">
      <w:pPr>
        <w:widowControl w:val="0"/>
        <w:ind w:left="720"/>
        <w:jc w:val="both"/>
        <w:rPr>
          <w:rFonts w:cs="Tahoma"/>
        </w:rPr>
      </w:pPr>
    </w:p>
    <w:p w:rsidR="00E8145C" w:rsidRPr="000A1C8E" w:rsidRDefault="00E8145C" w:rsidP="00B76943">
      <w:pPr>
        <w:widowControl w:val="0"/>
        <w:ind w:left="720"/>
        <w:jc w:val="both"/>
        <w:rPr>
          <w:rFonts w:cs="Tahoma"/>
        </w:rPr>
      </w:pPr>
      <w:r w:rsidRPr="000A1C8E">
        <w:rPr>
          <w:rFonts w:cs="Tahoma"/>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 Contrato de Nível de Serviço (consulte a Seção 2.c acima), a entidade somente receberá a medida com o valor monetário mais alto.</w:t>
      </w:r>
    </w:p>
    <w:p w:rsidR="00E8145C" w:rsidRPr="000A1C8E" w:rsidRDefault="00E8145C" w:rsidP="00B76943">
      <w:pPr>
        <w:widowControl w:val="0"/>
        <w:ind w:left="720"/>
        <w:jc w:val="both"/>
        <w:rPr>
          <w:rFonts w:cs="Tahoma"/>
        </w:rPr>
      </w:pPr>
      <w:r w:rsidRPr="000A1C8E">
        <w:rPr>
          <w:rFonts w:cs="Tahoma"/>
        </w:rPr>
        <w:t xml:space="preserve">O uso do Windows Azure Compute acima do Compromisso de Recursos do Compute será feito “conforme disponível”. O uso de qualquer Serviço do Windows Azure que não seja do Windows Azure Compute será feito “conforme disponível”. </w:t>
      </w:r>
    </w:p>
    <w:p w:rsidR="00152361" w:rsidRPr="000A1C8E" w:rsidRDefault="00152361" w:rsidP="00B76943">
      <w:pPr>
        <w:pStyle w:val="EndnoteText"/>
        <w:ind w:left="720"/>
        <w:rPr>
          <w:rFonts w:ascii="Tahoma" w:hAnsi="Tahoma" w:cs="Tahoma"/>
        </w:rPr>
      </w:pPr>
    </w:p>
    <w:p w:rsidR="00FF4CAB" w:rsidRPr="000A1C8E" w:rsidRDefault="00FF4CAB" w:rsidP="00376D4B">
      <w:pPr>
        <w:pStyle w:val="EndnoteText"/>
        <w:ind w:left="720"/>
        <w:rPr>
          <w:rFonts w:ascii="Tahoma" w:hAnsi="Tahoma" w:cs="Tahoma"/>
        </w:rPr>
      </w:pPr>
    </w:p>
    <w:p w:rsidR="001C30ED" w:rsidRPr="000A1C8E" w:rsidRDefault="001C30ED" w:rsidP="00376D4B">
      <w:pPr>
        <w:pStyle w:val="EndnoteText"/>
        <w:ind w:left="720"/>
        <w:rPr>
          <w:rFonts w:ascii="Tahoma" w:hAnsi="Tahoma" w:cs="Tahoma"/>
        </w:rPr>
      </w:pPr>
    </w:p>
    <w:p w:rsidR="001C30ED" w:rsidRPr="000A1C8E" w:rsidRDefault="001C30ED" w:rsidP="00376D4B">
      <w:pPr>
        <w:pStyle w:val="EndnoteText"/>
        <w:ind w:left="720"/>
        <w:rPr>
          <w:rFonts w:ascii="Tahoma" w:hAnsi="Tahoma" w:cs="Tahoma"/>
        </w:rPr>
      </w:pPr>
    </w:p>
    <w:p w:rsidR="00ED12C0" w:rsidRPr="000A1C8E" w:rsidRDefault="00A560B6" w:rsidP="00ED12C0">
      <w:pPr>
        <w:pStyle w:val="Heading2"/>
        <w:ind w:left="0"/>
        <w:rPr>
          <w:rFonts w:ascii="Tahoma" w:hAnsi="Tahoma" w:cs="Tahoma"/>
          <w:spacing w:val="-4"/>
        </w:rPr>
      </w:pPr>
      <w:bookmarkStart w:id="1596" w:name="_98_Windows_Embedded"/>
      <w:bookmarkStart w:id="1597" w:name="_101_Windows_Embedded"/>
      <w:bookmarkStart w:id="1598" w:name="Srv_107WindowsEmbeddedDeviceMgr2011"/>
      <w:bookmarkStart w:id="1599" w:name="_Toc336338363"/>
      <w:bookmarkStart w:id="1600" w:name="_Toc361829445"/>
      <w:bookmarkStart w:id="1601" w:name="Srv_93SBS2008PremiumEdition"/>
      <w:bookmarkEnd w:id="1589"/>
      <w:bookmarkEnd w:id="1596"/>
      <w:bookmarkEnd w:id="1597"/>
      <w:r w:rsidRPr="000A1C8E">
        <w:rPr>
          <w:rFonts w:ascii="Tahoma" w:hAnsi="Tahoma" w:cs="Tahoma"/>
          <w:caps/>
          <w:color w:val="FF6600"/>
          <w:spacing w:val="-4"/>
          <w:sz w:val="22"/>
          <w:vertAlign w:val="superscript"/>
        </w:rPr>
        <w:t>102</w:t>
      </w:r>
      <w:r w:rsidRPr="000A1C8E">
        <w:rPr>
          <w:rFonts w:ascii="Tahoma" w:hAnsi="Tahoma" w:cs="Tahoma"/>
          <w:color w:val="FF6600"/>
          <w:spacing w:val="-4"/>
        </w:rPr>
        <w:t xml:space="preserve"> </w:t>
      </w:r>
      <w:r w:rsidRPr="000A1C8E">
        <w:rPr>
          <w:rFonts w:ascii="Tahoma" w:hAnsi="Tahoma" w:cs="Tahoma"/>
          <w:color w:val="FF6600"/>
          <w:spacing w:val="-4"/>
          <w:sz w:val="22"/>
        </w:rPr>
        <w:t>Windows Embedded Device Manager 2011 – Licença do Servidor de Gerenciamento</w:t>
      </w:r>
      <w:bookmarkEnd w:id="1598"/>
      <w:bookmarkEnd w:id="1599"/>
      <w:bookmarkEnd w:id="1600"/>
    </w:p>
    <w:p w:rsidR="00ED12C0" w:rsidRPr="000A1C8E" w:rsidRDefault="00ED12C0" w:rsidP="00B76943">
      <w:pPr>
        <w:rPr>
          <w:rFonts w:cs="Tahoma"/>
        </w:rPr>
      </w:pPr>
    </w:p>
    <w:p w:rsidR="00ED12C0" w:rsidRPr="000A1C8E" w:rsidRDefault="00ED12C0" w:rsidP="00B76943">
      <w:pPr>
        <w:pStyle w:val="EndnoteText"/>
        <w:ind w:left="720"/>
        <w:rPr>
          <w:rFonts w:ascii="Tahoma" w:hAnsi="Tahoma" w:cs="Tahoma"/>
        </w:rPr>
      </w:pPr>
      <w:r w:rsidRPr="000A1C8E">
        <w:rPr>
          <w:rFonts w:ascii="Tahoma" w:hAnsi="Tahoma" w:cs="Tahoma"/>
          <w:color w:val="000000"/>
          <w:sz w:val="18"/>
        </w:rPr>
        <w:t>Este produto encontra-se no status EOL (Fim da Vida Útil) e não será mais oferecido.</w:t>
      </w:r>
    </w:p>
    <w:p w:rsidR="00ED12C0" w:rsidRPr="000A1C8E" w:rsidRDefault="00ED12C0" w:rsidP="00B76943">
      <w:pPr>
        <w:pStyle w:val="EndnoteText"/>
        <w:ind w:left="720"/>
        <w:rPr>
          <w:rFonts w:ascii="Tahoma" w:hAnsi="Tahoma" w:cs="Tahoma"/>
        </w:rPr>
      </w:pPr>
    </w:p>
    <w:p w:rsidR="00ED12C0" w:rsidRPr="000A1C8E" w:rsidRDefault="00ED12C0" w:rsidP="00B76943">
      <w:pPr>
        <w:pStyle w:val="EndnoteText"/>
        <w:spacing w:after="60"/>
        <w:ind w:left="720"/>
        <w:rPr>
          <w:rFonts w:ascii="Tahoma" w:hAnsi="Tahoma" w:cs="Tahoma"/>
        </w:rPr>
      </w:pPr>
      <w:r w:rsidRPr="000A1C8E">
        <w:rPr>
          <w:rFonts w:ascii="Tahoma" w:hAnsi="Tahoma" w:cs="Tahoma"/>
          <w:b/>
          <w:color w:val="000000"/>
          <w:sz w:val="18"/>
        </w:rPr>
        <w:t>Outorga de Licença Única para Titulares de Licenças do Windows Embedded Device Manager 2011 com Software Assurance Ativo</w:t>
      </w:r>
    </w:p>
    <w:p w:rsidR="002512D3" w:rsidRPr="000A1C8E" w:rsidRDefault="00ED12C0" w:rsidP="003165D6">
      <w:pPr>
        <w:pStyle w:val="EndnoteText"/>
        <w:ind w:left="720"/>
        <w:rPr>
          <w:rFonts w:ascii="Tahoma" w:hAnsi="Tahoma" w:cs="Tahoma"/>
        </w:rPr>
      </w:pPr>
      <w:r w:rsidRPr="000A1C8E">
        <w:rPr>
          <w:rFonts w:ascii="Tahoma" w:hAnsi="Tahoma" w:cs="Tahoma"/>
          <w:color w:val="000000"/>
          <w:sz w:val="18"/>
        </w:rPr>
        <w:lastRenderedPageBreak/>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r w:rsidRPr="000A1C8E">
        <w:rPr>
          <w:rFonts w:ascii="Tahoma" w:hAnsi="Tahoma" w:cs="Tahoma"/>
          <w:color w:val="000000"/>
          <w:sz w:val="18"/>
          <w:szCs w:val="20"/>
        </w:rPr>
        <w:t>:</w:t>
      </w:r>
    </w:p>
    <w:p w:rsidR="00ED12C0" w:rsidRPr="000A1C8E" w:rsidRDefault="00ED12C0" w:rsidP="00B76943">
      <w:pPr>
        <w:pStyle w:val="EndnoteText"/>
        <w:ind w:left="720"/>
        <w:rPr>
          <w:rFonts w:ascii="Tahoma" w:hAnsi="Tahoma" w:cs="Tahoma"/>
        </w:rPr>
      </w:pPr>
    </w:p>
    <w:p w:rsidR="00ED12C0" w:rsidRPr="000A1C8E" w:rsidRDefault="00ED12C0" w:rsidP="00B76943">
      <w:pPr>
        <w:pStyle w:val="EndnoteText"/>
        <w:rPr>
          <w:rFonts w:ascii="Tahoma"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0A1C8E" w:rsidTr="00CA14C9">
        <w:tc>
          <w:tcPr>
            <w:tcW w:w="3960" w:type="dxa"/>
            <w:tcBorders>
              <w:top w:val="single" w:sz="4" w:space="0" w:color="000000"/>
              <w:bottom w:val="single" w:sz="6" w:space="0" w:color="000000"/>
            </w:tcBorders>
            <w:shd w:val="clear" w:color="auto" w:fill="FABF8F"/>
          </w:tcPr>
          <w:p w:rsidR="00ED12C0" w:rsidRPr="000A1C8E" w:rsidRDefault="00ED12C0" w:rsidP="004342E4">
            <w:pPr>
              <w:jc w:val="center"/>
              <w:rPr>
                <w:rFonts w:cs="Tahoma"/>
                <w:b/>
                <w:color w:val="000000"/>
                <w:szCs w:val="20"/>
              </w:rPr>
            </w:pPr>
            <w:r w:rsidRPr="000A1C8E">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ED12C0" w:rsidRPr="000A1C8E" w:rsidRDefault="00ED12C0" w:rsidP="004342E4">
            <w:pPr>
              <w:jc w:val="center"/>
              <w:rPr>
                <w:rFonts w:cs="Tahoma"/>
                <w:b/>
                <w:color w:val="000000"/>
                <w:szCs w:val="20"/>
              </w:rPr>
            </w:pPr>
            <w:r w:rsidRPr="000A1C8E">
              <w:rPr>
                <w:rFonts w:cs="Tahoma"/>
                <w:color w:val="000000"/>
              </w:rPr>
              <w:t>Licenças de Gerenciamento de Cliente do Windows Embedded Device Manager 2011</w:t>
            </w:r>
          </w:p>
        </w:tc>
      </w:tr>
      <w:tr w:rsidR="00ED12C0" w:rsidRPr="000A1C8E" w:rsidTr="00CA14C9">
        <w:tc>
          <w:tcPr>
            <w:tcW w:w="3960" w:type="dxa"/>
            <w:tcBorders>
              <w:top w:val="single" w:sz="6" w:space="0" w:color="000000"/>
            </w:tcBorders>
            <w:shd w:val="clear" w:color="auto" w:fill="FFFFFF"/>
          </w:tcPr>
          <w:p w:rsidR="00ED12C0" w:rsidRPr="000A1C8E" w:rsidRDefault="00ED12C0" w:rsidP="004342E4">
            <w:pPr>
              <w:rPr>
                <w:rFonts w:cs="Tahoma"/>
                <w:color w:val="000000"/>
                <w:szCs w:val="20"/>
              </w:rPr>
            </w:pPr>
            <w:r w:rsidRPr="000A1C8E">
              <w:rPr>
                <w:rFonts w:cs="Tahoma"/>
                <w:color w:val="000000"/>
                <w:szCs w:val="20"/>
              </w:rPr>
              <w:t>Licença do Windows Embedded Device Manager 2011 Server</w:t>
            </w:r>
          </w:p>
        </w:tc>
        <w:tc>
          <w:tcPr>
            <w:tcW w:w="4050" w:type="dxa"/>
            <w:tcBorders>
              <w:top w:val="single" w:sz="6" w:space="0" w:color="000000"/>
            </w:tcBorders>
            <w:shd w:val="clear" w:color="auto" w:fill="FFFFFF"/>
          </w:tcPr>
          <w:p w:rsidR="00ED12C0" w:rsidRPr="000A1C8E" w:rsidRDefault="00ED12C0" w:rsidP="004342E4">
            <w:pPr>
              <w:rPr>
                <w:rFonts w:cs="Tahoma"/>
                <w:color w:val="000000"/>
                <w:szCs w:val="20"/>
              </w:rPr>
            </w:pPr>
            <w:r w:rsidRPr="000A1C8E">
              <w:rPr>
                <w:rFonts w:cs="Tahoma"/>
                <w:color w:val="000000"/>
                <w:szCs w:val="20"/>
              </w:rPr>
              <w:t>13 Licenças de Gerenciamento de Cliente do Windows Embedded Device Manager 2011</w:t>
            </w:r>
          </w:p>
        </w:tc>
      </w:tr>
      <w:tr w:rsidR="00ED12C0" w:rsidRPr="000A1C8E" w:rsidTr="00CA14C9">
        <w:tc>
          <w:tcPr>
            <w:tcW w:w="3960" w:type="dxa"/>
            <w:shd w:val="clear" w:color="auto" w:fill="FFFFFF"/>
          </w:tcPr>
          <w:p w:rsidR="00ED12C0" w:rsidRPr="000A1C8E" w:rsidRDefault="00ED12C0" w:rsidP="004342E4">
            <w:pPr>
              <w:rPr>
                <w:rFonts w:cs="Tahoma"/>
                <w:color w:val="000000"/>
                <w:szCs w:val="20"/>
              </w:rPr>
            </w:pPr>
            <w:r w:rsidRPr="000A1C8E">
              <w:rPr>
                <w:rFonts w:cs="Tahoma"/>
                <w:color w:val="000000"/>
                <w:szCs w:val="20"/>
              </w:rPr>
              <w:t>Licença do Servidor do Windows Embedded Device Manager 2011 com Tecnologia SQL Server 2008</w:t>
            </w:r>
          </w:p>
        </w:tc>
        <w:tc>
          <w:tcPr>
            <w:tcW w:w="4050" w:type="dxa"/>
            <w:shd w:val="clear" w:color="auto" w:fill="FFFFFF"/>
          </w:tcPr>
          <w:p w:rsidR="00ED12C0" w:rsidRPr="000A1C8E" w:rsidRDefault="00ED12C0" w:rsidP="004342E4">
            <w:pPr>
              <w:rPr>
                <w:rFonts w:cs="Tahoma"/>
                <w:color w:val="000000"/>
                <w:szCs w:val="20"/>
              </w:rPr>
            </w:pPr>
            <w:r w:rsidRPr="000A1C8E">
              <w:rPr>
                <w:rFonts w:cs="Tahoma"/>
                <w:color w:val="000000"/>
                <w:szCs w:val="20"/>
              </w:rPr>
              <w:t>30 Licenças de Gerenciamento de Cliente do Windows Embedded Device Manager 2011</w:t>
            </w:r>
          </w:p>
        </w:tc>
      </w:tr>
    </w:tbl>
    <w:p w:rsidR="00ED12C0" w:rsidRPr="000A1C8E" w:rsidRDefault="00ED12C0" w:rsidP="00ED12C0">
      <w:pPr>
        <w:pStyle w:val="EndnoteText"/>
        <w:ind w:left="0"/>
        <w:rPr>
          <w:rFonts w:ascii="Tahoma" w:hAnsi="Tahoma" w:cs="Tahoma"/>
        </w:rPr>
      </w:pPr>
    </w:p>
    <w:p w:rsidR="00ED12C0" w:rsidRPr="000A1C8E" w:rsidRDefault="00ED12C0" w:rsidP="00376D4B">
      <w:pPr>
        <w:pStyle w:val="EndnoteText"/>
        <w:ind w:left="720"/>
        <w:rPr>
          <w:rFonts w:ascii="Tahoma" w:hAnsi="Tahoma" w:cs="Tahoma"/>
        </w:rPr>
      </w:pPr>
      <w:r w:rsidRPr="000A1C8E">
        <w:rPr>
          <w:rFonts w:ascii="Tahoma" w:hAnsi="Tahoma" w:cs="Tahoma"/>
          <w:color w:val="000000"/>
          <w:sz w:val="18"/>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rsidR="00ED12C0" w:rsidRPr="000A1C8E" w:rsidRDefault="00ED12C0" w:rsidP="00376D4B">
      <w:pPr>
        <w:pStyle w:val="EndnoteText"/>
        <w:ind w:left="720"/>
        <w:rPr>
          <w:rFonts w:ascii="Tahoma" w:hAnsi="Tahoma" w:cs="Tahoma"/>
        </w:rPr>
      </w:pPr>
    </w:p>
    <w:p w:rsidR="00ED12C0" w:rsidRPr="000A1C8E" w:rsidRDefault="00ED12C0" w:rsidP="00376D4B">
      <w:pPr>
        <w:pStyle w:val="EndnoteText"/>
        <w:ind w:left="720"/>
        <w:rPr>
          <w:rFonts w:ascii="Tahoma" w:hAnsi="Tahoma" w:cs="Tahoma"/>
        </w:rPr>
      </w:pPr>
      <w:r w:rsidRPr="000A1C8E">
        <w:rPr>
          <w:rFonts w:ascii="Tahoma" w:hAnsi="Tahoma" w:cs="Tahoma"/>
          <w:color w:val="000000"/>
          <w:sz w:val="18"/>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rsidR="00ED12C0" w:rsidRPr="000A1C8E" w:rsidRDefault="00ED12C0" w:rsidP="00376D4B">
      <w:pPr>
        <w:pStyle w:val="EndnoteText"/>
        <w:ind w:left="720"/>
        <w:rPr>
          <w:rFonts w:ascii="Tahoma" w:hAnsi="Tahoma" w:cs="Tahoma"/>
        </w:rPr>
      </w:pPr>
    </w:p>
    <w:p w:rsidR="00ED12C0" w:rsidRPr="000A1C8E" w:rsidRDefault="00ED12C0" w:rsidP="00376D4B">
      <w:pPr>
        <w:ind w:left="720"/>
        <w:rPr>
          <w:rFonts w:cs="Tahoma"/>
        </w:rPr>
      </w:pPr>
      <w:r w:rsidRPr="000A1C8E">
        <w:rPr>
          <w:rFonts w:cs="Tahoma"/>
          <w:color w:val="000000"/>
          <w:szCs w:val="24"/>
        </w:rPr>
        <w:t>As licenças do Windows Embedded Device Manager 2011 adquiridas após 1º de abril de 2012 como parte do processo anual de adequação (“true-up”)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rsidR="00ED12C0" w:rsidRPr="000A1C8E" w:rsidRDefault="00ED12C0" w:rsidP="00376D4B">
      <w:pPr>
        <w:ind w:left="720"/>
        <w:rPr>
          <w:rFonts w:cs="Tahoma"/>
        </w:rPr>
      </w:pPr>
    </w:p>
    <w:p w:rsidR="00ED12C0" w:rsidRPr="000A1C8E" w:rsidRDefault="00ED12C0" w:rsidP="00376D4B">
      <w:pPr>
        <w:ind w:left="720"/>
        <w:rPr>
          <w:rFonts w:cs="Tahoma"/>
        </w:rPr>
      </w:pPr>
      <w:r w:rsidRPr="000A1C8E">
        <w:rPr>
          <w:rFonts w:cs="Tahoma"/>
          <w:color w:val="000000"/>
          <w:szCs w:val="24"/>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DC6D8B" w:rsidRPr="000A1C8E">
        <w:rPr>
          <w:rFonts w:cs="Tahoma"/>
          <w:color w:val="000000"/>
          <w:szCs w:val="24"/>
        </w:rPr>
        <w:t xml:space="preserve"> </w:t>
      </w:r>
      <w:r w:rsidRPr="000A1C8E">
        <w:rPr>
          <w:rFonts w:cs="Tahoma"/>
          <w:color w:val="000000"/>
          <w:szCs w:val="24"/>
        </w:rPr>
        <w:t>Esses direitos só se tornarão permanentes se a opção de compra (“buy-out”) for exercida e continuarão sujeitos a todos os termos e condições do contrato de licença do cliente.</w:t>
      </w:r>
    </w:p>
    <w:p w:rsidR="00A40838" w:rsidRPr="000A1C8E" w:rsidRDefault="00A40838" w:rsidP="00376D4B">
      <w:pPr>
        <w:ind w:left="720"/>
        <w:rPr>
          <w:rFonts w:cs="Tahoma"/>
        </w:rPr>
      </w:pPr>
    </w:p>
    <w:p w:rsidR="005D5C95" w:rsidRPr="000A1C8E" w:rsidRDefault="005D5C95" w:rsidP="00376D4B">
      <w:pPr>
        <w:ind w:left="720"/>
        <w:rPr>
          <w:rFonts w:cs="Tahoma"/>
        </w:rPr>
      </w:pPr>
    </w:p>
    <w:p w:rsidR="005D5C95" w:rsidRPr="000A1C8E" w:rsidRDefault="00A560B6" w:rsidP="00076947">
      <w:pPr>
        <w:pStyle w:val="Heading2"/>
        <w:keepNext/>
        <w:ind w:left="0"/>
        <w:rPr>
          <w:rFonts w:ascii="Tahoma" w:hAnsi="Tahoma" w:cs="Tahoma"/>
          <w:spacing w:val="-2"/>
        </w:rPr>
      </w:pPr>
      <w:bookmarkStart w:id="1602" w:name="_96_Windows_Embedded"/>
      <w:bookmarkStart w:id="1603" w:name="_99_Windows_Embedded"/>
      <w:bookmarkStart w:id="1604" w:name="_102_Windows_Embedded"/>
      <w:bookmarkStart w:id="1605" w:name="_103_Windows_Embedded"/>
      <w:bookmarkStart w:id="1606" w:name="_Toc361829446"/>
      <w:bookmarkStart w:id="1607" w:name="Srv_108EBS2008StandardPrem"/>
      <w:bookmarkEnd w:id="1602"/>
      <w:bookmarkEnd w:id="1603"/>
      <w:bookmarkEnd w:id="1604"/>
      <w:bookmarkEnd w:id="1605"/>
      <w:r w:rsidRPr="000A1C8E">
        <w:rPr>
          <w:rFonts w:ascii="Tahoma" w:hAnsi="Tahoma" w:cs="Tahoma"/>
          <w:caps/>
          <w:color w:val="FF6600"/>
          <w:spacing w:val="-2"/>
          <w:sz w:val="22"/>
          <w:vertAlign w:val="superscript"/>
        </w:rPr>
        <w:t>103</w:t>
      </w:r>
      <w:r w:rsidRPr="000A1C8E">
        <w:rPr>
          <w:rFonts w:ascii="Tahoma" w:hAnsi="Tahoma" w:cs="Tahoma"/>
          <w:color w:val="FF6600"/>
          <w:spacing w:val="-2"/>
        </w:rPr>
        <w:t xml:space="preserve"> </w:t>
      </w:r>
      <w:r w:rsidRPr="000A1C8E">
        <w:rPr>
          <w:rFonts w:ascii="Tahoma" w:hAnsi="Tahoma" w:cs="Tahoma"/>
          <w:color w:val="FF6600"/>
          <w:spacing w:val="-2"/>
          <w:sz w:val="22"/>
        </w:rPr>
        <w:t>Windows Embedded Device Manager 2011 – Licença de Gerenciamento de Clientes</w:t>
      </w:r>
      <w:bookmarkEnd w:id="1606"/>
    </w:p>
    <w:p w:rsidR="005D5C95" w:rsidRPr="000A1C8E" w:rsidRDefault="005D5C95" w:rsidP="00076947">
      <w:pPr>
        <w:keepNext/>
        <w:rPr>
          <w:rFonts w:cs="Tahoma"/>
        </w:rPr>
      </w:pPr>
    </w:p>
    <w:p w:rsidR="005D5C95" w:rsidRPr="000A1C8E" w:rsidRDefault="005D5C95" w:rsidP="00076947">
      <w:pPr>
        <w:pStyle w:val="EndnoteText"/>
        <w:keepNext/>
        <w:ind w:left="720"/>
        <w:rPr>
          <w:rFonts w:ascii="Tahoma" w:hAnsi="Tahoma" w:cs="Tahoma"/>
        </w:rPr>
      </w:pPr>
      <w:r w:rsidRPr="000A1C8E">
        <w:rPr>
          <w:rFonts w:ascii="Tahoma" w:hAnsi="Tahoma" w:cs="Tahoma"/>
          <w:color w:val="000000"/>
          <w:sz w:val="18"/>
        </w:rPr>
        <w:t>Este produto encontra-se no status EOL (Fim da Vida Útil) e não será mais oferecido.</w:t>
      </w:r>
    </w:p>
    <w:p w:rsidR="005D5C95" w:rsidRPr="000A1C8E" w:rsidRDefault="005D5C95" w:rsidP="005D5C95">
      <w:pPr>
        <w:pStyle w:val="EndnoteText"/>
        <w:ind w:left="720"/>
        <w:rPr>
          <w:rFonts w:ascii="Tahoma" w:hAnsi="Tahoma" w:cs="Tahoma"/>
        </w:rPr>
      </w:pPr>
    </w:p>
    <w:p w:rsidR="005D5C95" w:rsidRPr="000A1C8E" w:rsidRDefault="005D5C95" w:rsidP="007A34E3">
      <w:pPr>
        <w:pStyle w:val="EndnoteText"/>
        <w:spacing w:after="60"/>
        <w:ind w:left="720"/>
        <w:rPr>
          <w:rFonts w:ascii="Tahoma" w:hAnsi="Tahoma" w:cs="Tahoma"/>
        </w:rPr>
      </w:pPr>
      <w:r w:rsidRPr="000A1C8E">
        <w:rPr>
          <w:rFonts w:ascii="Tahoma" w:hAnsi="Tahoma" w:cs="Tahoma"/>
          <w:b/>
          <w:color w:val="000000"/>
          <w:sz w:val="18"/>
        </w:rPr>
        <w:t>Outorga de Licença Única para Titulares de Licenças do Windows Embedded Device Manager 2011 – Licença de Gerenciamento de Clientes com Software Assurance Ativo</w:t>
      </w:r>
    </w:p>
    <w:p w:rsidR="005D5C95" w:rsidRPr="000A1C8E" w:rsidRDefault="005D5C95" w:rsidP="005D5C95">
      <w:pPr>
        <w:pStyle w:val="EndnoteText"/>
        <w:ind w:left="720"/>
        <w:rPr>
          <w:rFonts w:ascii="Tahoma" w:hAnsi="Tahoma" w:cs="Tahoma"/>
        </w:rPr>
      </w:pPr>
      <w:r w:rsidRPr="000A1C8E">
        <w:rPr>
          <w:rFonts w:ascii="Tahoma" w:hAnsi="Tahoma" w:cs="Tahoma"/>
          <w:color w:val="000000"/>
          <w:sz w:val="18"/>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rsidR="005D5C95" w:rsidRPr="000A1C8E" w:rsidRDefault="005D5C95" w:rsidP="005D5C95">
      <w:pPr>
        <w:pStyle w:val="EndnoteText"/>
        <w:ind w:left="0"/>
        <w:rPr>
          <w:rFonts w:ascii="Tahoma" w:hAnsi="Tahoma" w:cs="Tahoma"/>
        </w:rPr>
      </w:pPr>
    </w:p>
    <w:p w:rsidR="005D5C95" w:rsidRPr="000A1C8E" w:rsidRDefault="005D5C95" w:rsidP="005D5C95">
      <w:pPr>
        <w:pStyle w:val="EndnoteText"/>
        <w:ind w:left="720"/>
        <w:rPr>
          <w:rFonts w:ascii="Tahoma" w:hAnsi="Tahoma" w:cs="Tahoma"/>
        </w:rPr>
      </w:pPr>
      <w:r w:rsidRPr="000A1C8E">
        <w:rPr>
          <w:rFonts w:ascii="Tahoma" w:hAnsi="Tahoma" w:cs="Tahoma"/>
          <w:color w:val="000000"/>
          <w:sz w:val="18"/>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rsidR="005D5C95" w:rsidRPr="000A1C8E" w:rsidRDefault="005D5C95" w:rsidP="005D5C95">
      <w:pPr>
        <w:pStyle w:val="EndnoteText"/>
        <w:ind w:left="720"/>
        <w:rPr>
          <w:rFonts w:ascii="Tahoma" w:hAnsi="Tahoma" w:cs="Tahoma"/>
        </w:rPr>
      </w:pPr>
    </w:p>
    <w:p w:rsidR="005D5C95" w:rsidRPr="000A1C8E" w:rsidRDefault="005D5C95" w:rsidP="001C30ED">
      <w:pPr>
        <w:pStyle w:val="EndnoteText"/>
        <w:ind w:left="720"/>
        <w:rPr>
          <w:rFonts w:ascii="Tahoma" w:hAnsi="Tahoma" w:cs="Tahoma"/>
        </w:rPr>
      </w:pPr>
      <w:r w:rsidRPr="000A1C8E">
        <w:rPr>
          <w:rFonts w:ascii="Tahoma" w:hAnsi="Tahoma" w:cs="Tahoma"/>
          <w:color w:val="000000"/>
          <w:sz w:val="18"/>
        </w:rPr>
        <w:t>O uso que um cliente faz do software outorgado sob esta oferta está sujeito aos termos e condições de seu</w:t>
      </w:r>
      <w:r w:rsidR="001C30ED" w:rsidRPr="000A1C8E">
        <w:rPr>
          <w:rFonts w:ascii="Tahoma" w:hAnsi="Tahoma" w:cs="Tahoma"/>
          <w:color w:val="000000"/>
          <w:sz w:val="18"/>
        </w:rPr>
        <w:t> </w:t>
      </w:r>
      <w:r w:rsidRPr="000A1C8E">
        <w:rPr>
          <w:rFonts w:ascii="Tahoma" w:hAnsi="Tahoma" w:cs="Tahoma"/>
          <w:color w:val="000000"/>
          <w:sz w:val="18"/>
        </w:rPr>
        <w:t xml:space="preserve">contrato de licença e aos direitos de uso de produto relacionados ao software. O direito de usar o </w:t>
      </w:r>
      <w:r w:rsidRPr="000A1C8E">
        <w:rPr>
          <w:rFonts w:ascii="Tahoma" w:hAnsi="Tahoma" w:cs="Tahoma"/>
          <w:color w:val="000000"/>
          <w:sz w:val="18"/>
        </w:rPr>
        <w:lastRenderedPageBreak/>
        <w:t>software outorgado expirará quando o direito de usar o software de acordo com a licença qualificada de 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rsidR="005D5C95" w:rsidRPr="000A1C8E" w:rsidRDefault="005D5C95" w:rsidP="005D5C95">
      <w:pPr>
        <w:pStyle w:val="EndnoteText"/>
        <w:ind w:left="720"/>
        <w:rPr>
          <w:rFonts w:ascii="Tahoma" w:hAnsi="Tahoma" w:cs="Tahoma"/>
        </w:rPr>
      </w:pPr>
    </w:p>
    <w:p w:rsidR="005D5C95" w:rsidRPr="000A1C8E" w:rsidRDefault="005D5C95" w:rsidP="005D5C95">
      <w:pPr>
        <w:ind w:left="720"/>
        <w:rPr>
          <w:rFonts w:cs="Tahoma"/>
        </w:rPr>
      </w:pPr>
      <w:r w:rsidRPr="000A1C8E">
        <w:rPr>
          <w:rFonts w:cs="Tahoma"/>
          <w:color w:val="000000"/>
          <w:szCs w:val="24"/>
        </w:rPr>
        <w:t>As licenças de Gerenciamento de Clientes do Windows Embedded Device Manager 2011 adquiridas após 1º de janeiro de 2013 como parte do processo anual de adequação (“true-up”)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rsidR="005D5C95" w:rsidRPr="000A1C8E" w:rsidRDefault="005D5C95" w:rsidP="005D5C95">
      <w:pPr>
        <w:ind w:left="720"/>
        <w:rPr>
          <w:rFonts w:cs="Tahoma"/>
        </w:rPr>
      </w:pPr>
    </w:p>
    <w:p w:rsidR="005D5C95" w:rsidRPr="000A1C8E" w:rsidRDefault="005D5C95" w:rsidP="005D5C95">
      <w:pPr>
        <w:ind w:left="720"/>
        <w:rPr>
          <w:rFonts w:cs="Tahoma"/>
        </w:rPr>
      </w:pPr>
      <w:r w:rsidRPr="000A1C8E">
        <w:rPr>
          <w:rFonts w:cs="Tahoma"/>
          <w:color w:val="000000"/>
          <w:szCs w:val="24"/>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DC6D8B" w:rsidRPr="000A1C8E">
        <w:rPr>
          <w:rFonts w:cs="Tahoma"/>
          <w:color w:val="000000"/>
          <w:szCs w:val="24"/>
        </w:rPr>
        <w:t xml:space="preserve"> </w:t>
      </w:r>
      <w:r w:rsidRPr="000A1C8E">
        <w:rPr>
          <w:rFonts w:cs="Tahoma"/>
          <w:color w:val="000000"/>
          <w:szCs w:val="24"/>
        </w:rPr>
        <w:t>Esses direitos só se tornarão permanentes se a opção de compra (“buy-out”) for exercida e continuarão sujeitos a todos os termos e condições do contrato de licença do cliente.</w:t>
      </w:r>
    </w:p>
    <w:p w:rsidR="005D5C95" w:rsidRPr="000A1C8E" w:rsidRDefault="005D5C95" w:rsidP="005D5C95">
      <w:pPr>
        <w:ind w:left="720"/>
        <w:rPr>
          <w:rFonts w:cs="Tahoma"/>
        </w:rPr>
      </w:pPr>
    </w:p>
    <w:p w:rsidR="005D5C95" w:rsidRPr="000A1C8E" w:rsidRDefault="005D5C95" w:rsidP="005D5C95">
      <w:pPr>
        <w:ind w:left="720"/>
        <w:rPr>
          <w:rFonts w:cs="Tahoma"/>
        </w:rPr>
      </w:pPr>
      <w:r w:rsidRPr="000A1C8E">
        <w:rPr>
          <w:rFonts w:cs="Tahoma"/>
          <w:color w:val="000000"/>
          <w:szCs w:val="24"/>
        </w:rPr>
        <w:t>Os direitos de downgrade da versão podem ser aplicados a todas as Licenças de Gerenciamento de Clientes do System Center 2012 Configuration Manager 2012 concedidas.</w:t>
      </w:r>
    </w:p>
    <w:p w:rsidR="00ED12C0" w:rsidRPr="000A1C8E" w:rsidRDefault="00ED12C0" w:rsidP="00ED12C0">
      <w:pPr>
        <w:ind w:left="900"/>
        <w:rPr>
          <w:rFonts w:cs="Tahoma"/>
        </w:rPr>
      </w:pPr>
    </w:p>
    <w:p w:rsidR="007B35CE" w:rsidRPr="000A1C8E" w:rsidRDefault="007B35CE" w:rsidP="00ED12C0">
      <w:pPr>
        <w:ind w:left="900"/>
        <w:rPr>
          <w:rFonts w:cs="Tahoma"/>
        </w:rPr>
      </w:pPr>
    </w:p>
    <w:p w:rsidR="00A6493D" w:rsidRPr="000A1C8E" w:rsidRDefault="00A560B6" w:rsidP="00A6493D">
      <w:pPr>
        <w:pStyle w:val="Heading3"/>
        <w:rPr>
          <w:rFonts w:ascii="Tahoma" w:hAnsi="Tahoma" w:cs="Tahoma"/>
        </w:rPr>
      </w:pPr>
      <w:bookmarkStart w:id="1608" w:name="_100_Windows_EBS"/>
      <w:bookmarkStart w:id="1609" w:name="_103_Windows_EBS"/>
      <w:bookmarkStart w:id="1610" w:name="_104_Windows_EBS"/>
      <w:bookmarkStart w:id="1611" w:name="_Toc336338364"/>
      <w:bookmarkStart w:id="1612" w:name="_Toc361829447"/>
      <w:bookmarkStart w:id="1613" w:name="Srv_101WindowsEssBusSvrStdPrem"/>
      <w:bookmarkEnd w:id="1608"/>
      <w:bookmarkEnd w:id="1609"/>
      <w:bookmarkEnd w:id="1610"/>
      <w:r w:rsidRPr="000A1C8E">
        <w:rPr>
          <w:rFonts w:ascii="Tahoma" w:hAnsi="Tahoma" w:cs="Tahoma"/>
          <w:caps/>
          <w:color w:val="FF6600"/>
          <w:sz w:val="22"/>
          <w:szCs w:val="24"/>
          <w:vertAlign w:val="superscript"/>
        </w:rPr>
        <w:t>104</w:t>
      </w:r>
      <w:r w:rsidRPr="000A1C8E">
        <w:rPr>
          <w:rFonts w:ascii="Tahoma" w:hAnsi="Tahoma" w:cs="Tahoma"/>
          <w:caps/>
          <w:color w:val="F66400"/>
          <w:sz w:val="24"/>
          <w:vertAlign w:val="superscript"/>
        </w:rPr>
        <w:t xml:space="preserve"> </w:t>
      </w:r>
      <w:r w:rsidRPr="000A1C8E">
        <w:rPr>
          <w:rFonts w:ascii="Tahoma" w:hAnsi="Tahoma" w:cs="Tahoma"/>
          <w:color w:val="F66400"/>
          <w:sz w:val="22"/>
          <w:szCs w:val="22"/>
        </w:rPr>
        <w:t>Windows EBS 2008 Standard e EBS 2008 Premium</w:t>
      </w:r>
      <w:bookmarkEnd w:id="1607"/>
      <w:bookmarkEnd w:id="1611"/>
      <w:bookmarkEnd w:id="1612"/>
    </w:p>
    <w:bookmarkEnd w:id="1601"/>
    <w:bookmarkEnd w:id="1613"/>
    <w:p w:rsidR="00113634" w:rsidRPr="000A1C8E" w:rsidRDefault="00113634" w:rsidP="00113634">
      <w:pPr>
        <w:rPr>
          <w:rFonts w:cs="Tahoma"/>
          <w:szCs w:val="18"/>
        </w:rPr>
      </w:pPr>
    </w:p>
    <w:p w:rsidR="00113634" w:rsidRPr="000A1C8E" w:rsidRDefault="00113634" w:rsidP="00376D4B">
      <w:pPr>
        <w:pStyle w:val="EndnoteText"/>
        <w:ind w:left="720"/>
        <w:rPr>
          <w:rFonts w:ascii="Tahoma" w:hAnsi="Tahoma" w:cs="Tahoma"/>
          <w:sz w:val="18"/>
          <w:szCs w:val="18"/>
        </w:rPr>
      </w:pPr>
      <w:r w:rsidRPr="000A1C8E">
        <w:rPr>
          <w:rFonts w:ascii="Tahoma" w:hAnsi="Tahoma" w:cs="Tahoma"/>
          <w:sz w:val="18"/>
          <w:szCs w:val="18"/>
        </w:rPr>
        <w:t>Estes produtos encontram-se no status EOL (Fim da Vida Útil) e não serão mais oferecidos.</w:t>
      </w:r>
    </w:p>
    <w:p w:rsidR="00113634" w:rsidRPr="000A1C8E" w:rsidRDefault="00113634" w:rsidP="00376D4B">
      <w:pPr>
        <w:pStyle w:val="EndnoteText"/>
        <w:ind w:left="720"/>
        <w:rPr>
          <w:rFonts w:ascii="Tahoma" w:hAnsi="Tahoma" w:cs="Tahoma"/>
          <w:sz w:val="18"/>
          <w:szCs w:val="18"/>
        </w:rPr>
      </w:pPr>
    </w:p>
    <w:p w:rsidR="00113634" w:rsidRPr="000A1C8E" w:rsidRDefault="00113634" w:rsidP="00B76943">
      <w:pPr>
        <w:pStyle w:val="EndnoteText"/>
        <w:spacing w:after="60"/>
        <w:ind w:left="720"/>
        <w:rPr>
          <w:rFonts w:ascii="Tahoma" w:hAnsi="Tahoma" w:cs="Tahoma"/>
          <w:sz w:val="18"/>
          <w:szCs w:val="18"/>
        </w:rPr>
      </w:pPr>
      <w:r w:rsidRPr="000A1C8E">
        <w:rPr>
          <w:rFonts w:ascii="Tahoma" w:hAnsi="Tahoma" w:cs="Tahoma"/>
          <w:b/>
          <w:sz w:val="18"/>
          <w:szCs w:val="18"/>
        </w:rPr>
        <w:t>Outorga de Licença única para titulares de licenças do EBS 2008 Standard e do EBS 2008 Premium</w:t>
      </w:r>
    </w:p>
    <w:p w:rsidR="00113634" w:rsidRPr="000A1C8E" w:rsidRDefault="00113634" w:rsidP="00B76943">
      <w:pPr>
        <w:pStyle w:val="ListParagraph"/>
        <w:contextualSpacing w:val="0"/>
        <w:rPr>
          <w:rFonts w:ascii="Tahoma" w:hAnsi="Tahoma" w:cs="Tahoma"/>
          <w:sz w:val="18"/>
          <w:szCs w:val="18"/>
        </w:rPr>
      </w:pPr>
      <w:r w:rsidRPr="000A1C8E">
        <w:rPr>
          <w:rFonts w:ascii="Tahoma" w:hAnsi="Tahoma" w:cs="Tahoma"/>
          <w:sz w:val="18"/>
          <w:szCs w:val="18"/>
          <w:u w:val="single"/>
        </w:rPr>
        <w:t>Todos os clientes do Licenciamento por Volume para o Windows Essential Business Server 2008 (EBS) Standard e Premium</w:t>
      </w:r>
      <w:r w:rsidRPr="000A1C8E">
        <w:rPr>
          <w:rFonts w:ascii="Tahoma" w:hAnsi="Tahoma" w:cs="Tahoma"/>
          <w:b/>
          <w:sz w:val="18"/>
          <w:szCs w:val="18"/>
        </w:rPr>
        <w:t xml:space="preserve"> </w:t>
      </w:r>
      <w:r w:rsidRPr="000A1C8E">
        <w:rPr>
          <w:rFonts w:ascii="Tahoma" w:hAnsi="Tahoma" w:cs="Tahoma"/>
          <w:sz w:val="18"/>
          <w:szCs w:val="18"/>
        </w:rPr>
        <w:t>estarão qualificados para as seguintes licenças gratuitas para cada licença do EBS 2008 Standard ou Premium que tiverem a partir de 1° de julho de 2010:</w:t>
      </w:r>
    </w:p>
    <w:p w:rsidR="00A6493D" w:rsidRPr="000A1C8E" w:rsidRDefault="00A6493D" w:rsidP="00E63984">
      <w:pPr>
        <w:pStyle w:val="ListParagraph"/>
        <w:ind w:left="1260"/>
        <w:contextualSpacing w:val="0"/>
        <w:rPr>
          <w:rFonts w:ascii="Tahoma" w:hAnsi="Tahoma" w:cs="Tahoma"/>
          <w:sz w:val="18"/>
          <w:szCs w:val="18"/>
        </w:rPr>
      </w:pPr>
    </w:p>
    <w:p w:rsidR="00113634" w:rsidRPr="000A1C8E" w:rsidRDefault="00113634" w:rsidP="00346F4B">
      <w:pPr>
        <w:pStyle w:val="ListParagraph"/>
        <w:numPr>
          <w:ilvl w:val="0"/>
          <w:numId w:val="24"/>
        </w:numPr>
        <w:spacing w:after="60"/>
        <w:ind w:left="1440"/>
        <w:contextualSpacing w:val="0"/>
        <w:rPr>
          <w:rFonts w:ascii="Tahoma" w:hAnsi="Tahoma" w:cs="Tahoma"/>
          <w:sz w:val="18"/>
          <w:szCs w:val="18"/>
        </w:rPr>
      </w:pPr>
      <w:r w:rsidRPr="000A1C8E">
        <w:rPr>
          <w:rFonts w:ascii="Tahoma" w:hAnsi="Tahoma" w:cs="Tahoma"/>
          <w:sz w:val="18"/>
          <w:szCs w:val="18"/>
        </w:rPr>
        <w:t>3 licenças de software para o Windows Server 2008 Standard</w:t>
      </w:r>
    </w:p>
    <w:p w:rsidR="00113634" w:rsidRPr="000A1C8E" w:rsidRDefault="00113634" w:rsidP="00346F4B">
      <w:pPr>
        <w:pStyle w:val="ListParagraph"/>
        <w:numPr>
          <w:ilvl w:val="0"/>
          <w:numId w:val="24"/>
        </w:numPr>
        <w:spacing w:after="60"/>
        <w:ind w:left="1440"/>
        <w:contextualSpacing w:val="0"/>
        <w:rPr>
          <w:rFonts w:ascii="Tahoma" w:hAnsi="Tahoma" w:cs="Tahoma"/>
          <w:sz w:val="18"/>
          <w:szCs w:val="18"/>
        </w:rPr>
      </w:pPr>
      <w:r w:rsidRPr="000A1C8E">
        <w:rPr>
          <w:rFonts w:ascii="Tahoma" w:hAnsi="Tahoma" w:cs="Tahoma"/>
          <w:sz w:val="18"/>
          <w:szCs w:val="18"/>
        </w:rPr>
        <w:t>2 licenças de software para o Exchange Server 2007 Standard</w:t>
      </w:r>
    </w:p>
    <w:p w:rsidR="00113634" w:rsidRPr="000A1C8E" w:rsidRDefault="00113634" w:rsidP="00346F4B">
      <w:pPr>
        <w:pStyle w:val="ListParagraph"/>
        <w:numPr>
          <w:ilvl w:val="0"/>
          <w:numId w:val="24"/>
        </w:numPr>
        <w:spacing w:after="60"/>
        <w:ind w:left="1440"/>
        <w:contextualSpacing w:val="0"/>
        <w:rPr>
          <w:rFonts w:ascii="Tahoma" w:hAnsi="Tahoma" w:cs="Tahoma"/>
          <w:sz w:val="18"/>
          <w:szCs w:val="18"/>
        </w:rPr>
      </w:pPr>
      <w:r w:rsidRPr="000A1C8E">
        <w:rPr>
          <w:rFonts w:ascii="Tahoma" w:hAnsi="Tahoma" w:cs="Tahoma"/>
          <w:sz w:val="18"/>
          <w:szCs w:val="18"/>
        </w:rPr>
        <w:t>1 licença de software para o System Center Essentials 2007 e 10 licenças de gerenciamento de Servidor e 50 de Cliente</w:t>
      </w:r>
    </w:p>
    <w:p w:rsidR="00113634" w:rsidRPr="000A1C8E" w:rsidRDefault="00113634" w:rsidP="00E63984">
      <w:pPr>
        <w:ind w:left="1260"/>
        <w:rPr>
          <w:rFonts w:cs="Tahoma"/>
          <w:szCs w:val="18"/>
        </w:rPr>
      </w:pPr>
    </w:p>
    <w:p w:rsidR="00113634" w:rsidRPr="000A1C8E" w:rsidRDefault="00113634" w:rsidP="00B76943">
      <w:pPr>
        <w:ind w:left="720"/>
        <w:rPr>
          <w:rFonts w:cs="Tahoma"/>
          <w:szCs w:val="18"/>
        </w:rPr>
      </w:pPr>
      <w:r w:rsidRPr="000A1C8E">
        <w:rPr>
          <w:rFonts w:cs="Tahoma"/>
          <w:szCs w:val="18"/>
        </w:rPr>
        <w:t>O contrato de Licenciamento por Volume dos clientes e esta nota de condição do produto são evidências dessas licenças gratuitas.</w:t>
      </w:r>
      <w:r w:rsidR="00DC6D8B" w:rsidRPr="000A1C8E">
        <w:rPr>
          <w:rFonts w:cs="Tahoma"/>
          <w:szCs w:val="18"/>
        </w:rPr>
        <w:t xml:space="preserve"> </w:t>
      </w:r>
      <w:r w:rsidRPr="000A1C8E">
        <w:rPr>
          <w:rFonts w:cs="Tahoma"/>
          <w:szCs w:val="18"/>
        </w:rPr>
        <w:t>O uso do software sob as licenças gratuitas está sujeito aos termos e condições do contrato celebrado pelos clientes e aos direitos de uso dos produtos individuais.</w:t>
      </w:r>
      <w:r w:rsidR="00DC6D8B" w:rsidRPr="000A1C8E">
        <w:rPr>
          <w:rFonts w:cs="Tahoma"/>
          <w:szCs w:val="18"/>
        </w:rPr>
        <w:t xml:space="preserve"> </w:t>
      </w:r>
      <w:r w:rsidRPr="000A1C8E">
        <w:rPr>
          <w:rFonts w:cs="Tahoma"/>
          <w:szCs w:val="18"/>
        </w:rPr>
        <w:t>O direito de usar o software sob as licenças gratuitas expirará quando o direito de usar o software sob as licenças qualificadas expirar.</w:t>
      </w:r>
      <w:r w:rsidR="00DC6D8B" w:rsidRPr="000A1C8E">
        <w:rPr>
          <w:rFonts w:cs="Tahoma"/>
          <w:szCs w:val="18"/>
        </w:rPr>
        <w:t xml:space="preserve"> </w:t>
      </w:r>
      <w:r w:rsidRPr="000A1C8E">
        <w:rPr>
          <w:rFonts w:cs="Tahoma"/>
          <w:szCs w:val="18"/>
        </w:rPr>
        <w:t>As licenças gratuitas não podem ser transferidas separadamente das licenças qualificadas.</w:t>
      </w:r>
    </w:p>
    <w:p w:rsidR="00113634" w:rsidRPr="000A1C8E" w:rsidRDefault="00113634" w:rsidP="00957DE8">
      <w:pPr>
        <w:ind w:left="720"/>
        <w:rPr>
          <w:rFonts w:cs="Tahoma"/>
          <w:szCs w:val="18"/>
        </w:rPr>
      </w:pPr>
    </w:p>
    <w:p w:rsidR="00113634" w:rsidRPr="000A1C8E" w:rsidRDefault="00113634" w:rsidP="00957DE8">
      <w:pPr>
        <w:pStyle w:val="ListParagraph"/>
        <w:contextualSpacing w:val="0"/>
        <w:rPr>
          <w:rFonts w:ascii="Tahoma" w:hAnsi="Tahoma" w:cs="Tahoma"/>
          <w:sz w:val="18"/>
          <w:szCs w:val="18"/>
        </w:rPr>
      </w:pPr>
      <w:r w:rsidRPr="000A1C8E">
        <w:rPr>
          <w:rFonts w:ascii="Tahoma" w:hAnsi="Tahoma" w:cs="Tahoma"/>
          <w:sz w:val="18"/>
          <w:szCs w:val="18"/>
          <w:u w:val="single"/>
        </w:rPr>
        <w:t>Os clientes do Licenciamento por Volume para o Windows Essential Business Server (EBS) 2008 Standard</w:t>
      </w:r>
      <w:r w:rsidRPr="000A1C8E">
        <w:rPr>
          <w:rFonts w:ascii="Tahoma" w:hAnsi="Tahoma" w:cs="Tahoma"/>
          <w:b/>
          <w:sz w:val="18"/>
          <w:szCs w:val="18"/>
        </w:rPr>
        <w:t xml:space="preserve"> </w:t>
      </w:r>
      <w:r w:rsidRPr="000A1C8E">
        <w:rPr>
          <w:rFonts w:ascii="Tahoma" w:hAnsi="Tahoma" w:cs="Tahoma"/>
          <w:sz w:val="18"/>
          <w:szCs w:val="18"/>
        </w:rPr>
        <w:t>estarão adicionalmente qualificados para as seguintes licenças gratuitas para cada licença do EBS 2008 Standard com cobertura do Software Assurance ativa que tiverem a partir de 1° de julho de 2010:</w:t>
      </w:r>
    </w:p>
    <w:p w:rsidR="00A6493D" w:rsidRPr="000A1C8E" w:rsidRDefault="00A6493D" w:rsidP="00E63984">
      <w:pPr>
        <w:pStyle w:val="ListParagraph"/>
        <w:ind w:left="1260"/>
        <w:contextualSpacing w:val="0"/>
        <w:rPr>
          <w:rFonts w:ascii="Tahoma" w:hAnsi="Tahoma" w:cs="Tahoma"/>
          <w:sz w:val="18"/>
          <w:szCs w:val="18"/>
        </w:rPr>
      </w:pPr>
    </w:p>
    <w:p w:rsidR="00113634" w:rsidRPr="000A1C8E" w:rsidRDefault="00113634" w:rsidP="00346F4B">
      <w:pPr>
        <w:pStyle w:val="ListParagraph"/>
        <w:numPr>
          <w:ilvl w:val="0"/>
          <w:numId w:val="25"/>
        </w:numPr>
        <w:spacing w:after="60"/>
        <w:ind w:left="1440"/>
        <w:contextualSpacing w:val="0"/>
        <w:rPr>
          <w:rFonts w:ascii="Tahoma" w:hAnsi="Tahoma" w:cs="Tahoma"/>
          <w:sz w:val="18"/>
          <w:szCs w:val="18"/>
        </w:rPr>
      </w:pPr>
      <w:r w:rsidRPr="000A1C8E">
        <w:rPr>
          <w:rFonts w:ascii="Tahoma" w:hAnsi="Tahoma" w:cs="Tahoma"/>
          <w:sz w:val="18"/>
          <w:szCs w:val="18"/>
        </w:rPr>
        <w:t>3 licenças de software para o Windows Server 2008 R2 Standard</w:t>
      </w:r>
    </w:p>
    <w:p w:rsidR="00113634" w:rsidRPr="000A1C8E" w:rsidRDefault="00113634" w:rsidP="00346F4B">
      <w:pPr>
        <w:pStyle w:val="ListParagraph"/>
        <w:numPr>
          <w:ilvl w:val="0"/>
          <w:numId w:val="25"/>
        </w:numPr>
        <w:spacing w:after="60"/>
        <w:ind w:left="1440"/>
        <w:contextualSpacing w:val="0"/>
        <w:rPr>
          <w:rFonts w:ascii="Tahoma" w:hAnsi="Tahoma" w:cs="Tahoma"/>
          <w:sz w:val="18"/>
          <w:szCs w:val="18"/>
        </w:rPr>
      </w:pPr>
      <w:r w:rsidRPr="000A1C8E">
        <w:rPr>
          <w:rFonts w:ascii="Tahoma" w:hAnsi="Tahoma" w:cs="Tahoma"/>
          <w:sz w:val="18"/>
          <w:szCs w:val="18"/>
        </w:rPr>
        <w:t>1 licença de software para o Exchange Server 2010 Standard</w:t>
      </w:r>
    </w:p>
    <w:p w:rsidR="00113634" w:rsidRPr="000A1C8E" w:rsidRDefault="00113634" w:rsidP="00346F4B">
      <w:pPr>
        <w:pStyle w:val="ListParagraph"/>
        <w:numPr>
          <w:ilvl w:val="0"/>
          <w:numId w:val="25"/>
        </w:numPr>
        <w:spacing w:after="60"/>
        <w:ind w:left="1440"/>
        <w:contextualSpacing w:val="0"/>
        <w:rPr>
          <w:rFonts w:ascii="Tahoma" w:hAnsi="Tahoma" w:cs="Tahoma"/>
          <w:sz w:val="18"/>
          <w:szCs w:val="18"/>
        </w:rPr>
      </w:pPr>
      <w:r w:rsidRPr="000A1C8E">
        <w:rPr>
          <w:rFonts w:ascii="Tahoma" w:hAnsi="Tahoma" w:cs="Tahoma"/>
          <w:sz w:val="18"/>
          <w:szCs w:val="18"/>
        </w:rPr>
        <w:t>1 licença de software para o System Center Essentials 2010 e 10 licenças de gerenciamento de Servidor e 50 de Cliente</w:t>
      </w:r>
    </w:p>
    <w:p w:rsidR="00113634" w:rsidRPr="000A1C8E" w:rsidRDefault="00113634" w:rsidP="00346F4B">
      <w:pPr>
        <w:pStyle w:val="ListParagraph"/>
        <w:numPr>
          <w:ilvl w:val="0"/>
          <w:numId w:val="25"/>
        </w:numPr>
        <w:spacing w:after="60"/>
        <w:ind w:left="1440"/>
        <w:contextualSpacing w:val="0"/>
        <w:rPr>
          <w:rFonts w:ascii="Tahoma" w:hAnsi="Tahoma" w:cs="Tahoma"/>
          <w:sz w:val="18"/>
          <w:szCs w:val="18"/>
        </w:rPr>
      </w:pPr>
      <w:r w:rsidRPr="000A1C8E">
        <w:rPr>
          <w:rFonts w:ascii="Tahoma" w:hAnsi="Tahoma" w:cs="Tahoma"/>
          <w:sz w:val="18"/>
          <w:szCs w:val="18"/>
        </w:rPr>
        <w:t>1 licença de software para o Forefront Threat Management Gateway Medium Business Edition 2010</w:t>
      </w:r>
    </w:p>
    <w:p w:rsidR="00113634" w:rsidRPr="000A1C8E" w:rsidRDefault="00113634" w:rsidP="00E63984">
      <w:pPr>
        <w:pStyle w:val="ListParagraph"/>
        <w:ind w:left="1260"/>
        <w:rPr>
          <w:rFonts w:ascii="Tahoma" w:hAnsi="Tahoma" w:cs="Tahoma"/>
          <w:sz w:val="18"/>
          <w:szCs w:val="18"/>
        </w:rPr>
      </w:pPr>
    </w:p>
    <w:p w:rsidR="00113634" w:rsidRPr="000A1C8E" w:rsidRDefault="00113634" w:rsidP="00957DE8">
      <w:pPr>
        <w:pStyle w:val="ListParagraph"/>
        <w:rPr>
          <w:rFonts w:ascii="Tahoma" w:hAnsi="Tahoma" w:cs="Tahoma"/>
          <w:sz w:val="18"/>
          <w:szCs w:val="18"/>
        </w:rPr>
      </w:pPr>
      <w:r w:rsidRPr="000A1C8E">
        <w:rPr>
          <w:rFonts w:ascii="Tahoma" w:hAnsi="Tahoma" w:cs="Tahoma"/>
          <w:sz w:val="18"/>
          <w:szCs w:val="18"/>
        </w:rPr>
        <w:lastRenderedPageBreak/>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rsidR="00113634" w:rsidRPr="000A1C8E" w:rsidRDefault="00113634" w:rsidP="00957DE8">
      <w:pPr>
        <w:pStyle w:val="ListParagraph"/>
        <w:rPr>
          <w:rFonts w:ascii="Tahoma" w:hAnsi="Tahoma" w:cs="Tahoma"/>
          <w:sz w:val="18"/>
          <w:szCs w:val="18"/>
        </w:rPr>
      </w:pPr>
    </w:p>
    <w:p w:rsidR="00113634" w:rsidRPr="000A1C8E" w:rsidRDefault="00113634" w:rsidP="00957DE8">
      <w:pPr>
        <w:ind w:left="720"/>
        <w:rPr>
          <w:rFonts w:cs="Tahoma"/>
          <w:szCs w:val="18"/>
        </w:rPr>
      </w:pPr>
      <w:r w:rsidRPr="000A1C8E">
        <w:rPr>
          <w:rFonts w:cs="Tahoma"/>
          <w:szCs w:val="18"/>
        </w:rPr>
        <w:t>O contrato de Licenciamento por Volume dos clientes e esta nota de condição do produto são evidências dessas licenças gratuitas.</w:t>
      </w:r>
      <w:r w:rsidR="00DC6D8B" w:rsidRPr="000A1C8E">
        <w:rPr>
          <w:rFonts w:cs="Tahoma"/>
          <w:szCs w:val="18"/>
        </w:rPr>
        <w:t xml:space="preserve"> </w:t>
      </w:r>
      <w:r w:rsidRPr="000A1C8E">
        <w:rPr>
          <w:rFonts w:cs="Tahoma"/>
          <w:szCs w:val="18"/>
        </w:rPr>
        <w:t>O uso do software sob as licenças gratuitas está sujeito aos termos e condições do contrato celebrado pelos clientes e aos direitos de uso dos produtos individuais.</w:t>
      </w:r>
      <w:r w:rsidR="00DC6D8B" w:rsidRPr="000A1C8E">
        <w:rPr>
          <w:rFonts w:cs="Tahoma"/>
          <w:szCs w:val="18"/>
        </w:rPr>
        <w:t xml:space="preserve"> </w:t>
      </w:r>
      <w:r w:rsidRPr="000A1C8E">
        <w:rPr>
          <w:rFonts w:cs="Tahoma"/>
          <w:szCs w:val="18"/>
        </w:rPr>
        <w:t>Salvo no caso do Forefront Protection for Exchange Server 2010, o direito de usar o software sob as licenças gratuitas expirará quando o direito de usar o software sob as licenças qualificadas expirar.</w:t>
      </w:r>
      <w:r w:rsidR="00DC6D8B" w:rsidRPr="000A1C8E">
        <w:rPr>
          <w:rFonts w:cs="Tahoma"/>
          <w:szCs w:val="18"/>
        </w:rPr>
        <w:t xml:space="preserve"> </w:t>
      </w:r>
      <w:r w:rsidRPr="000A1C8E">
        <w:rPr>
          <w:rFonts w:cs="Tahoma"/>
          <w:szCs w:val="18"/>
        </w:rPr>
        <w:t>O direito de usar o Forefront Protection for Exchange Server 2010 expirará em caso de término da cobertura do Software Assurance sobre as licenças qualificadas.</w:t>
      </w:r>
      <w:r w:rsidR="00DC6D8B" w:rsidRPr="000A1C8E">
        <w:rPr>
          <w:rFonts w:cs="Tahoma"/>
          <w:szCs w:val="18"/>
        </w:rPr>
        <w:t xml:space="preserve"> </w:t>
      </w:r>
      <w:r w:rsidRPr="000A1C8E">
        <w:rPr>
          <w:rFonts w:cs="Tahoma"/>
          <w:szCs w:val="18"/>
        </w:rPr>
        <w:t>Em todos os casos, as licenças gratuitas não poderão ser transferidas separadamente das licenças qualificadas.</w:t>
      </w:r>
    </w:p>
    <w:p w:rsidR="00113634" w:rsidRPr="000A1C8E" w:rsidRDefault="00113634" w:rsidP="00E63984">
      <w:pPr>
        <w:pStyle w:val="ListParagraph"/>
        <w:ind w:left="1260"/>
        <w:rPr>
          <w:rFonts w:ascii="Tahoma" w:hAnsi="Tahoma" w:cs="Tahoma"/>
          <w:sz w:val="18"/>
          <w:szCs w:val="18"/>
        </w:rPr>
      </w:pPr>
    </w:p>
    <w:p w:rsidR="00113634" w:rsidRPr="000A1C8E" w:rsidRDefault="00113634" w:rsidP="00957DE8">
      <w:pPr>
        <w:tabs>
          <w:tab w:val="left" w:pos="1260"/>
        </w:tabs>
        <w:ind w:left="720"/>
        <w:rPr>
          <w:rFonts w:cs="Tahoma"/>
          <w:szCs w:val="18"/>
        </w:rPr>
      </w:pPr>
      <w:r w:rsidRPr="000A1C8E">
        <w:rPr>
          <w:rFonts w:cs="Tahoma"/>
          <w:szCs w:val="18"/>
          <w:u w:val="single"/>
        </w:rPr>
        <w:t xml:space="preserve">Os clientes do Licenciamento por Volume para o Windows Essential Business Server (EBS) 2008 Premium </w:t>
      </w:r>
      <w:r w:rsidRPr="000A1C8E">
        <w:rPr>
          <w:rFonts w:cs="Tahoma"/>
          <w:szCs w:val="18"/>
        </w:rPr>
        <w:t>estarão adicionalmente qualificados para as seguintes licenças gratuitas para cada licença do EBS 2008 Premium com cobertura do Software Assurance ativa que tiverem a partir de 1° de julho de 2010:</w:t>
      </w:r>
    </w:p>
    <w:p w:rsidR="00A6493D" w:rsidRPr="000A1C8E" w:rsidRDefault="00A6493D" w:rsidP="00E63984">
      <w:pPr>
        <w:pStyle w:val="ListParagraph"/>
        <w:ind w:left="1620"/>
        <w:contextualSpacing w:val="0"/>
        <w:rPr>
          <w:rFonts w:ascii="Tahoma" w:hAnsi="Tahoma" w:cs="Tahoma"/>
          <w:sz w:val="18"/>
          <w:szCs w:val="18"/>
        </w:rPr>
      </w:pPr>
    </w:p>
    <w:p w:rsidR="00113634" w:rsidRPr="000A1C8E" w:rsidRDefault="00113634" w:rsidP="00346F4B">
      <w:pPr>
        <w:pStyle w:val="ListParagraph"/>
        <w:numPr>
          <w:ilvl w:val="0"/>
          <w:numId w:val="26"/>
        </w:numPr>
        <w:spacing w:after="60"/>
        <w:contextualSpacing w:val="0"/>
        <w:rPr>
          <w:rFonts w:ascii="Tahoma" w:hAnsi="Tahoma" w:cs="Tahoma"/>
          <w:sz w:val="18"/>
          <w:szCs w:val="18"/>
        </w:rPr>
      </w:pPr>
      <w:r w:rsidRPr="000A1C8E">
        <w:rPr>
          <w:rFonts w:ascii="Tahoma" w:hAnsi="Tahoma" w:cs="Tahoma"/>
          <w:sz w:val="18"/>
          <w:szCs w:val="18"/>
        </w:rPr>
        <w:t>4 licenças de software para o Windows Server 2008 R2 Standard</w:t>
      </w:r>
    </w:p>
    <w:p w:rsidR="00113634" w:rsidRPr="000A1C8E" w:rsidRDefault="00113634" w:rsidP="00346F4B">
      <w:pPr>
        <w:pStyle w:val="ListParagraph"/>
        <w:numPr>
          <w:ilvl w:val="0"/>
          <w:numId w:val="26"/>
        </w:numPr>
        <w:spacing w:after="60"/>
        <w:contextualSpacing w:val="0"/>
        <w:rPr>
          <w:rFonts w:ascii="Tahoma" w:hAnsi="Tahoma" w:cs="Tahoma"/>
          <w:sz w:val="18"/>
          <w:szCs w:val="18"/>
        </w:rPr>
      </w:pPr>
      <w:r w:rsidRPr="000A1C8E">
        <w:rPr>
          <w:rFonts w:ascii="Tahoma" w:hAnsi="Tahoma" w:cs="Tahoma"/>
          <w:sz w:val="18"/>
          <w:szCs w:val="18"/>
        </w:rPr>
        <w:t>1 licença de software para o SQL Server 2008 R2 Standard</w:t>
      </w:r>
    </w:p>
    <w:p w:rsidR="00113634" w:rsidRPr="000A1C8E" w:rsidRDefault="00113634" w:rsidP="00346F4B">
      <w:pPr>
        <w:pStyle w:val="ListParagraph"/>
        <w:numPr>
          <w:ilvl w:val="0"/>
          <w:numId w:val="26"/>
        </w:numPr>
        <w:spacing w:after="60"/>
        <w:contextualSpacing w:val="0"/>
        <w:rPr>
          <w:rFonts w:ascii="Tahoma" w:hAnsi="Tahoma" w:cs="Tahoma"/>
          <w:sz w:val="18"/>
          <w:szCs w:val="18"/>
        </w:rPr>
      </w:pPr>
      <w:r w:rsidRPr="000A1C8E">
        <w:rPr>
          <w:rFonts w:ascii="Tahoma" w:hAnsi="Tahoma" w:cs="Tahoma"/>
          <w:sz w:val="18"/>
          <w:szCs w:val="18"/>
        </w:rPr>
        <w:t>2 licenças de software para o Exchange Server 2010 Standard</w:t>
      </w:r>
    </w:p>
    <w:p w:rsidR="00113634" w:rsidRPr="000A1C8E" w:rsidRDefault="00113634" w:rsidP="00346F4B">
      <w:pPr>
        <w:pStyle w:val="ListParagraph"/>
        <w:numPr>
          <w:ilvl w:val="0"/>
          <w:numId w:val="26"/>
        </w:numPr>
        <w:spacing w:after="60"/>
        <w:contextualSpacing w:val="0"/>
        <w:rPr>
          <w:rFonts w:ascii="Tahoma" w:hAnsi="Tahoma" w:cs="Tahoma"/>
          <w:sz w:val="18"/>
          <w:szCs w:val="18"/>
        </w:rPr>
      </w:pPr>
      <w:r w:rsidRPr="000A1C8E">
        <w:rPr>
          <w:rFonts w:ascii="Tahoma" w:hAnsi="Tahoma" w:cs="Tahoma"/>
          <w:sz w:val="18"/>
          <w:szCs w:val="18"/>
        </w:rPr>
        <w:t>1 licença de software para o System Center Essentials 2010 e 10 licenças de gerenciamento de Servidor e 50 de Cliente</w:t>
      </w:r>
    </w:p>
    <w:p w:rsidR="00113634" w:rsidRPr="000A1C8E" w:rsidRDefault="00113634" w:rsidP="00346F4B">
      <w:pPr>
        <w:pStyle w:val="ListParagraph"/>
        <w:numPr>
          <w:ilvl w:val="0"/>
          <w:numId w:val="26"/>
        </w:numPr>
        <w:spacing w:after="60"/>
        <w:contextualSpacing w:val="0"/>
        <w:rPr>
          <w:rFonts w:ascii="Tahoma" w:hAnsi="Tahoma" w:cs="Tahoma"/>
          <w:sz w:val="18"/>
          <w:szCs w:val="18"/>
        </w:rPr>
      </w:pPr>
      <w:r w:rsidRPr="000A1C8E">
        <w:rPr>
          <w:rFonts w:ascii="Tahoma" w:hAnsi="Tahoma" w:cs="Tahoma"/>
          <w:sz w:val="18"/>
          <w:szCs w:val="18"/>
        </w:rPr>
        <w:t>1 licença de software para o Forefront Threat Management Gateway Medium Business 2010</w:t>
      </w:r>
    </w:p>
    <w:p w:rsidR="00113634" w:rsidRPr="000A1C8E" w:rsidRDefault="00113634" w:rsidP="00E63984">
      <w:pPr>
        <w:pStyle w:val="ListParagraph"/>
        <w:ind w:left="1620"/>
        <w:rPr>
          <w:rFonts w:ascii="Tahoma" w:hAnsi="Tahoma" w:cs="Tahoma"/>
          <w:sz w:val="18"/>
          <w:szCs w:val="18"/>
        </w:rPr>
      </w:pPr>
    </w:p>
    <w:p w:rsidR="00113634" w:rsidRPr="000A1C8E" w:rsidRDefault="00113634" w:rsidP="00957DE8">
      <w:pPr>
        <w:pStyle w:val="ListParagraph"/>
        <w:rPr>
          <w:rFonts w:ascii="Tahoma" w:hAnsi="Tahoma" w:cs="Tahoma"/>
          <w:sz w:val="18"/>
          <w:szCs w:val="18"/>
        </w:rPr>
      </w:pPr>
      <w:r w:rsidRPr="000A1C8E">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rsidR="00113634" w:rsidRPr="000A1C8E" w:rsidRDefault="00113634" w:rsidP="00EF2279">
      <w:pPr>
        <w:pStyle w:val="ListParagraph"/>
        <w:ind w:left="1260"/>
        <w:rPr>
          <w:rFonts w:ascii="Tahoma" w:hAnsi="Tahoma" w:cs="Tahoma"/>
          <w:sz w:val="18"/>
          <w:szCs w:val="18"/>
        </w:rPr>
      </w:pPr>
    </w:p>
    <w:p w:rsidR="00113634" w:rsidRPr="000A1C8E" w:rsidRDefault="00113634" w:rsidP="00957DE8">
      <w:pPr>
        <w:ind w:left="720"/>
        <w:rPr>
          <w:rFonts w:cs="Tahoma"/>
          <w:szCs w:val="18"/>
        </w:rPr>
      </w:pPr>
      <w:r w:rsidRPr="000A1C8E">
        <w:rPr>
          <w:rFonts w:cs="Tahoma"/>
          <w:szCs w:val="18"/>
        </w:rPr>
        <w:t>O contrato de Licenciamento por Volume dos clientes e esta nota de condição do produto são evidências dessas licenças gratuitas.</w:t>
      </w:r>
      <w:r w:rsidR="00DC6D8B" w:rsidRPr="000A1C8E">
        <w:rPr>
          <w:rFonts w:cs="Tahoma"/>
          <w:szCs w:val="18"/>
        </w:rPr>
        <w:t xml:space="preserve"> </w:t>
      </w:r>
      <w:r w:rsidRPr="000A1C8E">
        <w:rPr>
          <w:rFonts w:cs="Tahoma"/>
          <w:szCs w:val="18"/>
        </w:rPr>
        <w:t>O uso do software sob as licenças gratuitas está sujeito aos termos e condições do contrato celebrado pelos clientes e aos direitos de uso dos produtos individuais.</w:t>
      </w:r>
      <w:r w:rsidR="00DC6D8B" w:rsidRPr="000A1C8E">
        <w:rPr>
          <w:rFonts w:cs="Tahoma"/>
          <w:szCs w:val="18"/>
        </w:rPr>
        <w:t xml:space="preserve"> </w:t>
      </w:r>
      <w:r w:rsidRPr="000A1C8E">
        <w:rPr>
          <w:rFonts w:cs="Tahoma"/>
          <w:szCs w:val="18"/>
        </w:rPr>
        <w:t>Salvo no caso do Forefront Protection for Exchange Server 2010, o direito de usar o software sob as licenças gratuitas expirará quando o direito de usar o software sob as licenças qualificadas expirar.</w:t>
      </w:r>
      <w:r w:rsidR="00DC6D8B" w:rsidRPr="000A1C8E">
        <w:rPr>
          <w:rFonts w:cs="Tahoma"/>
          <w:szCs w:val="18"/>
        </w:rPr>
        <w:t xml:space="preserve"> </w:t>
      </w:r>
      <w:r w:rsidRPr="000A1C8E">
        <w:rPr>
          <w:rFonts w:cs="Tahoma"/>
          <w:szCs w:val="18"/>
        </w:rPr>
        <w:t>O direito de usar o Forefront Protection for Exchange Server 2010 expirará em caso de término da cobertura do Software Assurance sobre as licenças qualificadas.</w:t>
      </w:r>
      <w:r w:rsidR="00DC6D8B" w:rsidRPr="000A1C8E">
        <w:rPr>
          <w:rFonts w:cs="Tahoma"/>
          <w:szCs w:val="18"/>
        </w:rPr>
        <w:t xml:space="preserve"> </w:t>
      </w:r>
      <w:r w:rsidRPr="000A1C8E">
        <w:rPr>
          <w:rFonts w:cs="Tahoma"/>
          <w:szCs w:val="18"/>
        </w:rPr>
        <w:t>Em todos os casos, as licenças gratuitas não poderão ser transferidas separadamente das licenças qualificadas.</w:t>
      </w:r>
    </w:p>
    <w:p w:rsidR="00C41189" w:rsidRPr="000A1C8E" w:rsidRDefault="00C41189">
      <w:pPr>
        <w:rPr>
          <w:rFonts w:cs="Tahoma"/>
          <w:szCs w:val="18"/>
        </w:rPr>
      </w:pPr>
    </w:p>
    <w:p w:rsidR="00113634" w:rsidRPr="000A1C8E" w:rsidRDefault="00113634" w:rsidP="00957DE8">
      <w:pPr>
        <w:pStyle w:val="ListParagraph"/>
        <w:spacing w:after="60"/>
        <w:contextualSpacing w:val="0"/>
        <w:rPr>
          <w:rFonts w:ascii="Tahoma" w:hAnsi="Tahoma" w:cs="Tahoma"/>
          <w:sz w:val="18"/>
          <w:szCs w:val="18"/>
        </w:rPr>
      </w:pPr>
      <w:r w:rsidRPr="000A1C8E">
        <w:rPr>
          <w:rFonts w:ascii="Tahoma" w:hAnsi="Tahoma" w:cs="Tahoma"/>
          <w:b/>
          <w:sz w:val="18"/>
          <w:szCs w:val="18"/>
        </w:rPr>
        <w:t>Direitos de uso adicionais para CALs do Windows Essential Business Server (EBS) 2008</w:t>
      </w:r>
    </w:p>
    <w:p w:rsidR="00113634" w:rsidRPr="000A1C8E" w:rsidRDefault="00113634" w:rsidP="00957DE8">
      <w:pPr>
        <w:ind w:left="720"/>
        <w:rPr>
          <w:rFonts w:cs="Tahoma"/>
          <w:szCs w:val="18"/>
        </w:rPr>
      </w:pPr>
      <w:r w:rsidRPr="000A1C8E">
        <w:rPr>
          <w:rFonts w:cs="Tahoma"/>
          <w:szCs w:val="18"/>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rsidR="00113634" w:rsidRPr="000A1C8E" w:rsidRDefault="00113634" w:rsidP="00EF2279">
      <w:pPr>
        <w:tabs>
          <w:tab w:val="left" w:pos="1260"/>
        </w:tabs>
        <w:ind w:left="1260"/>
        <w:rPr>
          <w:rFonts w:cs="Tahoma"/>
          <w:szCs w:val="18"/>
        </w:rPr>
      </w:pPr>
    </w:p>
    <w:p w:rsidR="001C30ED" w:rsidRPr="000A1C8E" w:rsidRDefault="001C30ED" w:rsidP="00EF2279">
      <w:pPr>
        <w:tabs>
          <w:tab w:val="left" w:pos="1260"/>
        </w:tabs>
        <w:ind w:left="1260"/>
        <w:rPr>
          <w:rFonts w:cs="Tahoma"/>
          <w:szCs w:val="18"/>
        </w:rPr>
      </w:pPr>
    </w:p>
    <w:p w:rsidR="001C30ED" w:rsidRPr="000A1C8E" w:rsidRDefault="001C30ED" w:rsidP="00EF2279">
      <w:pPr>
        <w:tabs>
          <w:tab w:val="left" w:pos="1260"/>
        </w:tabs>
        <w:ind w:left="1260"/>
        <w:rPr>
          <w:rFonts w:cs="Tahoma"/>
          <w:szCs w:val="18"/>
        </w:rPr>
      </w:pPr>
    </w:p>
    <w:p w:rsidR="001C30ED" w:rsidRPr="000A1C8E" w:rsidRDefault="001C30ED" w:rsidP="00EF2279">
      <w:pPr>
        <w:tabs>
          <w:tab w:val="left" w:pos="1260"/>
        </w:tabs>
        <w:ind w:left="1260"/>
        <w:rPr>
          <w:rFonts w:cs="Tahoma"/>
          <w:szCs w:val="18"/>
        </w:rPr>
      </w:pPr>
    </w:p>
    <w:p w:rsidR="00113634" w:rsidRPr="000A1C8E" w:rsidRDefault="00113634" w:rsidP="00957DE8">
      <w:pPr>
        <w:tabs>
          <w:tab w:val="left" w:pos="1260"/>
        </w:tabs>
        <w:ind w:left="720"/>
        <w:rPr>
          <w:rFonts w:cs="Tahoma"/>
          <w:szCs w:val="18"/>
        </w:rPr>
      </w:pPr>
      <w:r w:rsidRPr="000A1C8E">
        <w:rPr>
          <w:rFonts w:cs="Tahoma"/>
          <w:szCs w:val="18"/>
        </w:rPr>
        <w:lastRenderedPageBreak/>
        <w:t>Para clientes com CALs do Windows Essential Business Server (EBS) 2008 com cobertura do Software Assurance ativa a partir de 1</w:t>
      </w:r>
      <w:r w:rsidRPr="000A1C8E">
        <w:rPr>
          <w:rFonts w:cs="Tahoma"/>
          <w:szCs w:val="18"/>
          <w:vertAlign w:val="superscript"/>
        </w:rPr>
        <w:t>°</w:t>
      </w:r>
      <w:r w:rsidRPr="000A1C8E">
        <w:rPr>
          <w:rFonts w:cs="Tahoma"/>
          <w:szCs w:val="18"/>
        </w:rPr>
        <w:t xml:space="preserve"> de julho de 2010:</w:t>
      </w:r>
    </w:p>
    <w:p w:rsidR="00A6493D" w:rsidRPr="000A1C8E" w:rsidRDefault="00A6493D" w:rsidP="00EF2279">
      <w:pPr>
        <w:pStyle w:val="ListParagraph"/>
        <w:tabs>
          <w:tab w:val="left" w:pos="1260"/>
        </w:tabs>
        <w:ind w:left="1260"/>
        <w:contextualSpacing w:val="0"/>
        <w:rPr>
          <w:rFonts w:ascii="Tahoma" w:hAnsi="Tahoma" w:cs="Tahoma"/>
          <w:sz w:val="18"/>
          <w:szCs w:val="18"/>
        </w:rPr>
      </w:pPr>
    </w:p>
    <w:p w:rsidR="00113634" w:rsidRPr="000A1C8E"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0A1C8E">
        <w:rPr>
          <w:rFonts w:ascii="Tahoma" w:hAnsi="Tahoma" w:cs="Tahoma"/>
          <w:sz w:val="18"/>
          <w:szCs w:val="18"/>
        </w:rPr>
        <w:t>Para cada EBS 2008 CAL Suite com cobertura do Software Assurance ativa a partir de 1</w:t>
      </w:r>
      <w:r w:rsidRPr="000A1C8E">
        <w:rPr>
          <w:rFonts w:ascii="Tahoma" w:hAnsi="Tahoma" w:cs="Tahoma"/>
          <w:sz w:val="18"/>
          <w:szCs w:val="18"/>
          <w:vertAlign w:val="superscript"/>
        </w:rPr>
        <w:t>°</w:t>
      </w:r>
      <w:r w:rsidRPr="000A1C8E">
        <w:rPr>
          <w:rFonts w:ascii="Tahoma" w:hAnsi="Tahoma" w:cs="Tahoma"/>
          <w:sz w:val="18"/>
          <w:szCs w:val="18"/>
        </w:rPr>
        <w:t xml:space="preserve"> de julho de 2010 que tiver, o cliente estará qualificado para as seguintes licenças gratuitas:</w:t>
      </w:r>
    </w:p>
    <w:p w:rsidR="00113634" w:rsidRPr="000A1C8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A1C8E">
        <w:rPr>
          <w:rFonts w:ascii="Tahoma" w:hAnsi="Tahoma" w:cs="Tahoma"/>
          <w:sz w:val="18"/>
          <w:szCs w:val="18"/>
        </w:rPr>
        <w:t>1 CAL do Windows Server 2008</w:t>
      </w:r>
    </w:p>
    <w:p w:rsidR="00113634" w:rsidRPr="000A1C8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A1C8E">
        <w:rPr>
          <w:rFonts w:ascii="Tahoma" w:hAnsi="Tahoma" w:cs="Tahoma"/>
          <w:sz w:val="18"/>
          <w:szCs w:val="18"/>
        </w:rPr>
        <w:t>1 CAL do Exchange Server 2010 Standard</w:t>
      </w:r>
    </w:p>
    <w:p w:rsidR="00113634" w:rsidRPr="000A1C8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A1C8E">
        <w:rPr>
          <w:rFonts w:ascii="Tahoma" w:hAnsi="Tahoma" w:cs="Tahoma"/>
          <w:sz w:val="18"/>
          <w:szCs w:val="18"/>
        </w:rPr>
        <w:t>1 licença de assinatura de dispositivo ou usuário para o Forefront Protection for Exchange Server 2010</w:t>
      </w:r>
    </w:p>
    <w:p w:rsidR="00A6493D" w:rsidRPr="000A1C8E" w:rsidRDefault="00A6493D" w:rsidP="00A434A4">
      <w:pPr>
        <w:pStyle w:val="ListParagraph"/>
        <w:tabs>
          <w:tab w:val="num" w:pos="1800"/>
        </w:tabs>
        <w:spacing w:after="60"/>
        <w:ind w:left="1800"/>
        <w:contextualSpacing w:val="0"/>
        <w:rPr>
          <w:rFonts w:ascii="Tahoma" w:hAnsi="Tahoma" w:cs="Tahoma"/>
          <w:sz w:val="18"/>
          <w:szCs w:val="18"/>
        </w:rPr>
      </w:pPr>
    </w:p>
    <w:p w:rsidR="00113634" w:rsidRPr="000A1C8E"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0A1C8E">
        <w:rPr>
          <w:rFonts w:ascii="Tahoma" w:hAnsi="Tahoma" w:cs="Tahoma"/>
          <w:sz w:val="18"/>
          <w:szCs w:val="18"/>
        </w:rPr>
        <w:t>Para cada EBS 2008 CAL Suite para Usuários e Dispositivos Premium com cobertura do Software Assurance ativa a partir de 1° de julho de 2010 que tiver, o cliente estará qualificado para as seguintes licenças gratuitas:</w:t>
      </w:r>
    </w:p>
    <w:p w:rsidR="00113634" w:rsidRPr="000A1C8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A1C8E">
        <w:rPr>
          <w:rFonts w:ascii="Tahoma" w:hAnsi="Tahoma" w:cs="Tahoma"/>
          <w:sz w:val="18"/>
          <w:szCs w:val="18"/>
        </w:rPr>
        <w:t>CAL do Windows Server 2008</w:t>
      </w:r>
    </w:p>
    <w:p w:rsidR="00113634" w:rsidRPr="000A1C8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A1C8E">
        <w:rPr>
          <w:rFonts w:ascii="Tahoma" w:hAnsi="Tahoma" w:cs="Tahoma"/>
          <w:sz w:val="18"/>
          <w:szCs w:val="18"/>
        </w:rPr>
        <w:t>CAL do Exchange Server 2010 Standard</w:t>
      </w:r>
    </w:p>
    <w:p w:rsidR="002512D3" w:rsidRPr="000A1C8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A1C8E">
        <w:rPr>
          <w:rFonts w:ascii="Tahoma" w:hAnsi="Tahoma" w:cs="Tahoma"/>
          <w:sz w:val="18"/>
          <w:szCs w:val="18"/>
        </w:rPr>
        <w:t>CAL do SQL Server 2008 R2</w:t>
      </w:r>
    </w:p>
    <w:p w:rsidR="00113634" w:rsidRPr="000A1C8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A1C8E">
        <w:rPr>
          <w:rFonts w:ascii="Tahoma" w:hAnsi="Tahoma" w:cs="Tahoma"/>
          <w:sz w:val="18"/>
          <w:szCs w:val="18"/>
        </w:rPr>
        <w:t>1 licença de assinatura de dispositivo ou usuário para o Forefront Protection for Exchange Server 2010</w:t>
      </w:r>
    </w:p>
    <w:p w:rsidR="00113634" w:rsidRPr="000A1C8E" w:rsidRDefault="00113634" w:rsidP="00A434A4">
      <w:pPr>
        <w:pStyle w:val="ListParagraph"/>
        <w:spacing w:after="60"/>
        <w:ind w:left="1980"/>
        <w:contextualSpacing w:val="0"/>
        <w:rPr>
          <w:rFonts w:ascii="Tahoma" w:hAnsi="Tahoma" w:cs="Tahoma"/>
          <w:sz w:val="18"/>
          <w:szCs w:val="18"/>
        </w:rPr>
      </w:pPr>
      <w:r w:rsidRPr="000A1C8E">
        <w:rPr>
          <w:rFonts w:ascii="Tahoma" w:hAnsi="Tahoma" w:cs="Tahoma"/>
          <w:sz w:val="18"/>
          <w:szCs w:val="18"/>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rsidR="00113634" w:rsidRPr="000A1C8E" w:rsidRDefault="00113634" w:rsidP="00113634">
      <w:pPr>
        <w:rPr>
          <w:rFonts w:cs="Tahoma"/>
          <w:szCs w:val="18"/>
        </w:rPr>
      </w:pPr>
    </w:p>
    <w:p w:rsidR="001E3F07" w:rsidRPr="000A1C8E" w:rsidRDefault="00113634" w:rsidP="00A434A4">
      <w:pPr>
        <w:ind w:left="720"/>
        <w:rPr>
          <w:rFonts w:cs="Tahoma"/>
          <w:szCs w:val="18"/>
        </w:rPr>
      </w:pPr>
      <w:r w:rsidRPr="000A1C8E">
        <w:rPr>
          <w:rFonts w:cs="Tahoma"/>
          <w:szCs w:val="18"/>
        </w:rPr>
        <w:t>O contrato de Licenciamento por Volume dos clientes e esta nota de condição do produto são evidências dessas CALs gratuitas.</w:t>
      </w:r>
      <w:r w:rsidR="00DC6D8B" w:rsidRPr="000A1C8E">
        <w:rPr>
          <w:rFonts w:cs="Tahoma"/>
          <w:szCs w:val="18"/>
        </w:rPr>
        <w:t xml:space="preserve"> </w:t>
      </w:r>
      <w:r w:rsidRPr="000A1C8E">
        <w:rPr>
          <w:rFonts w:cs="Tahoma"/>
          <w:szCs w:val="18"/>
        </w:rPr>
        <w:t>O uso do software sob as CALs gratuitas está sujeito aos termos e condições do contrato celebrado pelos clientes e aos direitos de uso dos produtos individuais.</w:t>
      </w:r>
      <w:r w:rsidR="00DC6D8B" w:rsidRPr="000A1C8E">
        <w:rPr>
          <w:rFonts w:cs="Tahoma"/>
          <w:szCs w:val="18"/>
        </w:rPr>
        <w:t xml:space="preserve"> </w:t>
      </w:r>
      <w:r w:rsidRPr="000A1C8E">
        <w:rPr>
          <w:rFonts w:cs="Tahoma"/>
          <w:szCs w:val="18"/>
        </w:rPr>
        <w:t>O direito de usar o software sob as CALs gratuitas expirará quando o direito de usar o software sob as CALs qualificadas expirar.</w:t>
      </w:r>
      <w:r w:rsidR="00DC6D8B" w:rsidRPr="000A1C8E">
        <w:rPr>
          <w:rFonts w:cs="Tahoma"/>
          <w:szCs w:val="18"/>
        </w:rPr>
        <w:t xml:space="preserve"> </w:t>
      </w:r>
      <w:r w:rsidRPr="000A1C8E">
        <w:rPr>
          <w:rFonts w:cs="Tahoma"/>
          <w:szCs w:val="18"/>
        </w:rPr>
        <w:t>Em todos os casos, as CALs gratuitas não poderão ser transferidas separadamente das CALs qualificadas.</w:t>
      </w:r>
      <w:bookmarkStart w:id="1614" w:name="_107_Windows_Azure"/>
      <w:bookmarkEnd w:id="1614"/>
    </w:p>
    <w:p w:rsidR="00113634" w:rsidRPr="000A1C8E" w:rsidRDefault="00113634" w:rsidP="00113634">
      <w:pPr>
        <w:rPr>
          <w:rFonts w:cs="Tahoma"/>
          <w:szCs w:val="18"/>
        </w:rPr>
      </w:pPr>
    </w:p>
    <w:p w:rsidR="00DE0D10" w:rsidRPr="000A1C8E" w:rsidRDefault="00DE0D10" w:rsidP="00957DE8">
      <w:pPr>
        <w:rPr>
          <w:rFonts w:cs="Tahoma"/>
          <w:szCs w:val="18"/>
        </w:rPr>
      </w:pPr>
    </w:p>
    <w:p w:rsidR="00023FE7" w:rsidRPr="000A1C8E" w:rsidRDefault="00A560B6" w:rsidP="00EF2279">
      <w:pPr>
        <w:pStyle w:val="Heading3"/>
        <w:rPr>
          <w:rFonts w:ascii="Tahoma" w:hAnsi="Tahoma" w:cs="Tahoma"/>
        </w:rPr>
      </w:pPr>
      <w:bookmarkStart w:id="1615" w:name="_104_Windows_HPC"/>
      <w:bookmarkStart w:id="1616" w:name="_105_Windows_HPC"/>
      <w:bookmarkStart w:id="1617" w:name="Srv_109HPCServer2008_R2Suite"/>
      <w:bookmarkStart w:id="1618" w:name="_Toc336338365"/>
      <w:bookmarkStart w:id="1619" w:name="_Toc361829448"/>
      <w:bookmarkStart w:id="1620" w:name="Srv_96WindowsHighPerfCompSvr08"/>
      <w:bookmarkStart w:id="1621" w:name="Srv_94HPCServer2008_R2Suite"/>
      <w:bookmarkStart w:id="1622" w:name="Srv_106HPCServer2008_R2Suite"/>
      <w:bookmarkEnd w:id="1615"/>
      <w:bookmarkEnd w:id="1616"/>
      <w:r w:rsidRPr="000A1C8E">
        <w:rPr>
          <w:rFonts w:ascii="Tahoma" w:hAnsi="Tahoma" w:cs="Tahoma"/>
          <w:caps/>
          <w:color w:val="F66400"/>
          <w:sz w:val="22"/>
          <w:vertAlign w:val="superscript"/>
        </w:rPr>
        <w:t xml:space="preserve">105 </w:t>
      </w:r>
      <w:r w:rsidRPr="000A1C8E">
        <w:rPr>
          <w:rFonts w:ascii="Tahoma" w:hAnsi="Tahoma" w:cs="Tahoma"/>
          <w:color w:val="F66400"/>
          <w:sz w:val="22"/>
        </w:rPr>
        <w:t>Windows HPC Server 2008 R2 Suite</w:t>
      </w:r>
      <w:bookmarkEnd w:id="1617"/>
      <w:bookmarkEnd w:id="1618"/>
      <w:bookmarkEnd w:id="1619"/>
    </w:p>
    <w:bookmarkEnd w:id="1620"/>
    <w:bookmarkEnd w:id="1621"/>
    <w:bookmarkEnd w:id="1622"/>
    <w:p w:rsidR="00023FE7" w:rsidRPr="000A1C8E" w:rsidRDefault="00023FE7" w:rsidP="00A434A4">
      <w:pPr>
        <w:pStyle w:val="EndnoteText"/>
        <w:rPr>
          <w:rFonts w:ascii="Tahoma" w:hAnsi="Tahoma" w:cs="Tahoma"/>
        </w:rPr>
      </w:pPr>
    </w:p>
    <w:p w:rsidR="00A434A4" w:rsidRPr="000A1C8E" w:rsidRDefault="001978C7" w:rsidP="00A434A4">
      <w:pPr>
        <w:spacing w:after="60"/>
        <w:ind w:left="720"/>
        <w:rPr>
          <w:rFonts w:cs="Tahoma"/>
        </w:rPr>
      </w:pPr>
      <w:r w:rsidRPr="000A1C8E">
        <w:rPr>
          <w:rFonts w:cs="Tahoma"/>
          <w:b/>
          <w:color w:val="000000"/>
        </w:rPr>
        <w:t>Outorgas de licença associadas ao término da validade da edição do HPC Server Suite</w:t>
      </w:r>
    </w:p>
    <w:p w:rsidR="001978C7" w:rsidRPr="000A1C8E" w:rsidRDefault="001978C7" w:rsidP="001C30ED">
      <w:pPr>
        <w:ind w:left="720"/>
        <w:rPr>
          <w:rFonts w:cs="Tahoma"/>
          <w:spacing w:val="-2"/>
        </w:rPr>
      </w:pPr>
      <w:r w:rsidRPr="000A1C8E">
        <w:rPr>
          <w:rFonts w:cs="Tahoma"/>
          <w:color w:val="000000"/>
          <w:spacing w:val="-2"/>
        </w:rPr>
        <w:t>O HPC Server Suite 2008 R2 será a última versão do HPC Server Suite. Os clientes de Licenciamento por Volume com Software Assurance ativo para licenças do HPC Server Suite em 1º de setembro de 2012 ou a</w:t>
      </w:r>
      <w:r w:rsidR="001C30ED" w:rsidRPr="000A1C8E">
        <w:rPr>
          <w:rFonts w:cs="Tahoma"/>
          <w:color w:val="000000"/>
          <w:spacing w:val="-2"/>
        </w:rPr>
        <w:t> </w:t>
      </w:r>
      <w:r w:rsidRPr="000A1C8E">
        <w:rPr>
          <w:rFonts w:cs="Tahoma"/>
          <w:color w:val="000000"/>
          <w:spacing w:val="-2"/>
        </w:rPr>
        <w:t>partir da data da primeira disponibilização do Windows Server 2012 para download no Volume Licensing Service Center (Centro de Atendimento de Licenciamento por Volume), o que ocorrer primeiro, (“Licenças Qualificadas”) poderão</w:t>
      </w:r>
      <w:r w:rsidRPr="000A1C8E">
        <w:rPr>
          <w:rFonts w:eastAsia="Calibri" w:cs="Tahoma"/>
          <w:spacing w:val="-2"/>
          <w:szCs w:val="18"/>
        </w:rPr>
        <w:t xml:space="preserve"> atualizar para e usar o software Windows Server 2012 Standard em vez do HPC Server Suite. Para facilitar essa atualização, para cada Licença Qualificada que o cliente possui, ele terá uma licença do processador Windows Server 2012 Standard mediante a disponibilização do Windows Server 2012.</w:t>
      </w:r>
    </w:p>
    <w:p w:rsidR="00A434A4" w:rsidRPr="000A1C8E" w:rsidRDefault="00A434A4" w:rsidP="00A434A4">
      <w:pPr>
        <w:ind w:left="720"/>
        <w:rPr>
          <w:rFonts w:cs="Tahoma"/>
        </w:rPr>
      </w:pPr>
    </w:p>
    <w:p w:rsidR="001978C7" w:rsidRPr="000A1C8E" w:rsidRDefault="001978C7" w:rsidP="00346F4B">
      <w:pPr>
        <w:numPr>
          <w:ilvl w:val="0"/>
          <w:numId w:val="52"/>
        </w:numPr>
        <w:tabs>
          <w:tab w:val="left" w:pos="1440"/>
        </w:tabs>
        <w:spacing w:after="60"/>
        <w:ind w:left="1440"/>
        <w:rPr>
          <w:rFonts w:cs="Tahoma"/>
        </w:rPr>
      </w:pPr>
      <w:r w:rsidRPr="000A1C8E">
        <w:rPr>
          <w:rFonts w:eastAsia="Calibri" w:cs="Tahoma"/>
          <w:szCs w:val="18"/>
        </w:rPr>
        <w:t>As licenças adquiridas sob esta concessão incluirão cobertura do Software Assurance.</w:t>
      </w:r>
      <w:r w:rsidR="00DC6D8B" w:rsidRPr="000A1C8E">
        <w:rPr>
          <w:rFonts w:eastAsia="Calibri" w:cs="Tahoma"/>
          <w:szCs w:val="18"/>
        </w:rPr>
        <w:t xml:space="preserve"> </w:t>
      </w:r>
      <w:r w:rsidRPr="000A1C8E">
        <w:rPr>
          <w:rFonts w:eastAsia="Calibri" w:cs="Tahoma"/>
          <w:szCs w:val="18"/>
        </w:rPr>
        <w:t>Tal cobertura expira quando a cobertura correspondente nas Licenças Qualificadas expirar.</w:t>
      </w:r>
    </w:p>
    <w:p w:rsidR="001978C7" w:rsidRPr="000A1C8E" w:rsidRDefault="001978C7" w:rsidP="00346F4B">
      <w:pPr>
        <w:numPr>
          <w:ilvl w:val="0"/>
          <w:numId w:val="52"/>
        </w:numPr>
        <w:tabs>
          <w:tab w:val="left" w:pos="1440"/>
        </w:tabs>
        <w:spacing w:after="60"/>
        <w:ind w:left="1440"/>
        <w:rPr>
          <w:rFonts w:cs="Tahoma"/>
        </w:rPr>
      </w:pPr>
      <w:r w:rsidRPr="000A1C8E">
        <w:rPr>
          <w:rFonts w:eastAsia="Calibri" w:cs="Tahoma"/>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1978C7" w:rsidRPr="000A1C8E" w:rsidRDefault="001978C7" w:rsidP="00346F4B">
      <w:pPr>
        <w:numPr>
          <w:ilvl w:val="0"/>
          <w:numId w:val="52"/>
        </w:numPr>
        <w:tabs>
          <w:tab w:val="left" w:pos="1440"/>
        </w:tabs>
        <w:spacing w:after="60"/>
        <w:ind w:left="1440"/>
        <w:rPr>
          <w:rFonts w:cs="Tahoma"/>
        </w:rPr>
      </w:pPr>
      <w:r w:rsidRPr="000A1C8E">
        <w:rPr>
          <w:rFonts w:eastAsia="Calibri" w:cs="Tahoma"/>
          <w:szCs w:val="18"/>
        </w:rPr>
        <w:t>Na atualização para o Windows Server 2012 Standard sob essa concessão, as Licenças Qualificadas do HPC Server Suite existentes do cliente não serão mais válidas.</w:t>
      </w:r>
    </w:p>
    <w:p w:rsidR="001978C7" w:rsidRPr="000A1C8E" w:rsidRDefault="001978C7" w:rsidP="00346F4B">
      <w:pPr>
        <w:numPr>
          <w:ilvl w:val="0"/>
          <w:numId w:val="56"/>
        </w:numPr>
        <w:tabs>
          <w:tab w:val="left" w:pos="1440"/>
        </w:tabs>
        <w:spacing w:after="60"/>
        <w:ind w:left="1440"/>
        <w:rPr>
          <w:rFonts w:cs="Tahoma"/>
        </w:rPr>
      </w:pPr>
      <w:r w:rsidRPr="000A1C8E">
        <w:rPr>
          <w:rFonts w:cs="Tahoma"/>
          <w:color w:val="000000"/>
        </w:rPr>
        <w:t xml:space="preserve">As licenças do HPC Server Suite </w:t>
      </w:r>
      <w:r w:rsidRPr="000A1C8E">
        <w:rPr>
          <w:rFonts w:cs="Tahoma"/>
          <w:bCs/>
          <w:color w:val="000000"/>
          <w:szCs w:val="18"/>
        </w:rPr>
        <w:t xml:space="preserve">adquiridas posteriormente no mesmo prazo de registro, como parte de um processo de adequação (“true-up”) programado do cliente Enterprise, Enterprise Subscription, Open Value Subscription ou EES também são Licenças Qualificadas para os propósitos da concessão supracitada. </w:t>
      </w:r>
    </w:p>
    <w:p w:rsidR="001978C7" w:rsidRPr="000A1C8E" w:rsidRDefault="001978C7" w:rsidP="00346F4B">
      <w:pPr>
        <w:numPr>
          <w:ilvl w:val="0"/>
          <w:numId w:val="56"/>
        </w:numPr>
        <w:tabs>
          <w:tab w:val="left" w:pos="1440"/>
        </w:tabs>
        <w:spacing w:after="60"/>
        <w:ind w:left="1440"/>
        <w:rPr>
          <w:rFonts w:cs="Tahoma"/>
        </w:rPr>
      </w:pPr>
      <w:r w:rsidRPr="000A1C8E">
        <w:rPr>
          <w:rFonts w:cs="Tahoma"/>
          <w:bCs/>
          <w:color w:val="000000"/>
          <w:szCs w:val="18"/>
        </w:rPr>
        <w:lastRenderedPageBreak/>
        <w:t>Não obstante a concessão das licenças do Windows Server 2012 Standard e qualquer atualização para esta versão, as obrigações de pagar montantes devidos e pendentes pelas Licenças Qualificadas e cobertura permanecem em pleno vigor e efeito.</w:t>
      </w:r>
    </w:p>
    <w:p w:rsidR="00DE4110" w:rsidRPr="000A1C8E" w:rsidRDefault="001978C7" w:rsidP="00346F4B">
      <w:pPr>
        <w:numPr>
          <w:ilvl w:val="0"/>
          <w:numId w:val="56"/>
        </w:numPr>
        <w:tabs>
          <w:tab w:val="left" w:pos="1440"/>
        </w:tabs>
        <w:spacing w:after="60"/>
        <w:ind w:left="1440"/>
        <w:rPr>
          <w:rFonts w:cs="Tahoma"/>
        </w:rPr>
      </w:pPr>
      <w:r w:rsidRPr="000A1C8E">
        <w:rPr>
          <w:rFonts w:cs="Tahoma"/>
          <w:bCs/>
          <w:color w:val="000000"/>
          <w:szCs w:val="18"/>
        </w:rPr>
        <w:t>Consulte as notas da lista de produtos relacionadas ao Windows Server 2008 R2 HPC Edition e HPC Pack 2008 R2 Enterprise.</w:t>
      </w:r>
      <w:bookmarkStart w:id="1623" w:name="_109_Windows®_Intune"/>
      <w:bookmarkEnd w:id="1623"/>
    </w:p>
    <w:p w:rsidR="00A434A4" w:rsidRPr="000A1C8E" w:rsidRDefault="00A434A4" w:rsidP="00A434A4">
      <w:pPr>
        <w:tabs>
          <w:tab w:val="left" w:pos="1440"/>
        </w:tabs>
        <w:ind w:left="1080"/>
        <w:contextualSpacing/>
        <w:rPr>
          <w:rFonts w:cs="Tahoma"/>
        </w:rPr>
      </w:pPr>
    </w:p>
    <w:p w:rsidR="00A434A4" w:rsidRPr="000A1C8E" w:rsidRDefault="00A434A4" w:rsidP="00376D4B">
      <w:pPr>
        <w:ind w:left="720"/>
        <w:rPr>
          <w:rFonts w:cs="Tahoma"/>
        </w:rPr>
      </w:pPr>
    </w:p>
    <w:p w:rsidR="008779BC" w:rsidRPr="000A1C8E" w:rsidRDefault="00A560B6" w:rsidP="00A434A4">
      <w:pPr>
        <w:pStyle w:val="Heading2"/>
        <w:ind w:left="0"/>
        <w:rPr>
          <w:rFonts w:ascii="Tahoma" w:hAnsi="Tahoma" w:cs="Tahoma"/>
        </w:rPr>
      </w:pPr>
      <w:bookmarkStart w:id="1624" w:name="_105_Windows_Multipoint"/>
      <w:bookmarkStart w:id="1625" w:name="_Toc336338367"/>
      <w:bookmarkStart w:id="1626" w:name="_Toc361829449"/>
      <w:bookmarkEnd w:id="1624"/>
      <w:r w:rsidRPr="000A1C8E">
        <w:rPr>
          <w:rFonts w:ascii="Tahoma" w:hAnsi="Tahoma" w:cs="Tahoma"/>
          <w:caps/>
          <w:color w:val="FA6500"/>
          <w:sz w:val="22"/>
          <w:vertAlign w:val="superscript"/>
        </w:rPr>
        <w:t xml:space="preserve">106 </w:t>
      </w:r>
      <w:r w:rsidRPr="000A1C8E">
        <w:rPr>
          <w:rFonts w:ascii="Tahoma" w:hAnsi="Tahoma" w:cs="Tahoma"/>
          <w:color w:val="FA6500"/>
          <w:sz w:val="22"/>
        </w:rPr>
        <w:t xml:space="preserve">Windows Multipoint Server </w:t>
      </w:r>
      <w:bookmarkEnd w:id="1625"/>
      <w:r w:rsidRPr="000A1C8E">
        <w:rPr>
          <w:rFonts w:ascii="Tahoma" w:hAnsi="Tahoma" w:cs="Tahoma"/>
          <w:color w:val="FA6500"/>
          <w:sz w:val="22"/>
        </w:rPr>
        <w:t>2012 Standard</w:t>
      </w:r>
      <w:bookmarkEnd w:id="1626"/>
      <w:r w:rsidRPr="000A1C8E">
        <w:rPr>
          <w:rFonts w:ascii="Tahoma" w:hAnsi="Tahoma" w:cs="Tahoma"/>
          <w:color w:val="FA6500"/>
          <w:sz w:val="22"/>
        </w:rPr>
        <w:t xml:space="preserve"> </w:t>
      </w:r>
    </w:p>
    <w:p w:rsidR="00A434A4" w:rsidRPr="000A1C8E" w:rsidRDefault="00A434A4" w:rsidP="00A434A4">
      <w:pPr>
        <w:rPr>
          <w:rFonts w:cs="Tahoma"/>
        </w:rPr>
      </w:pPr>
    </w:p>
    <w:p w:rsidR="00F745E1" w:rsidRPr="000A1C8E" w:rsidRDefault="008779BC" w:rsidP="00A434A4">
      <w:pPr>
        <w:ind w:left="720"/>
        <w:rPr>
          <w:rFonts w:cs="Tahoma"/>
          <w:spacing w:val="-2"/>
        </w:rPr>
      </w:pPr>
      <w:r w:rsidRPr="000A1C8E">
        <w:rPr>
          <w:rFonts w:eastAsia="Calibri" w:cs="Tahoma"/>
          <w:color w:val="000000"/>
          <w:spacing w:val="-2"/>
          <w:szCs w:val="18"/>
        </w:rPr>
        <w:t>O Windows Multipoint Server 2012 Standard é a próxima versão do Windows Multipoint Server 2011 Standard.</w:t>
      </w:r>
    </w:p>
    <w:p w:rsidR="00A434A4" w:rsidRPr="000A1C8E" w:rsidRDefault="00A434A4" w:rsidP="00A434A4">
      <w:pPr>
        <w:rPr>
          <w:rFonts w:cs="Tahoma"/>
        </w:rPr>
      </w:pPr>
    </w:p>
    <w:p w:rsidR="00A434A4" w:rsidRPr="000A1C8E" w:rsidRDefault="00A434A4" w:rsidP="00A434A4">
      <w:pPr>
        <w:rPr>
          <w:rFonts w:cs="Tahoma"/>
        </w:rPr>
      </w:pPr>
    </w:p>
    <w:p w:rsidR="00092F30" w:rsidRPr="000A1C8E" w:rsidRDefault="00A560B6" w:rsidP="00A434A4">
      <w:pPr>
        <w:pStyle w:val="Heading2"/>
        <w:ind w:left="0"/>
        <w:rPr>
          <w:rFonts w:ascii="Tahoma" w:hAnsi="Tahoma" w:cs="Tahoma"/>
        </w:rPr>
      </w:pPr>
      <w:bookmarkStart w:id="1627" w:name="_106_Windows_Multipoint"/>
      <w:bookmarkStart w:id="1628" w:name="_107_Windows_Multipoint"/>
      <w:bookmarkStart w:id="1629" w:name="_Toc336338368"/>
      <w:bookmarkStart w:id="1630" w:name="_Toc361829450"/>
      <w:bookmarkStart w:id="1631" w:name="Srv_103WinMultipointSvr2011Premium"/>
      <w:bookmarkStart w:id="1632" w:name="Srv_107WinMultipointSvr2011Premium"/>
      <w:bookmarkStart w:id="1633" w:name="Srv_111WinMultipointSvr2011Premium"/>
      <w:bookmarkEnd w:id="1627"/>
      <w:bookmarkEnd w:id="1628"/>
      <w:r w:rsidRPr="000A1C8E">
        <w:rPr>
          <w:rFonts w:ascii="Tahoma" w:hAnsi="Tahoma" w:cs="Tahoma"/>
          <w:caps/>
          <w:color w:val="FA6500"/>
          <w:sz w:val="22"/>
          <w:szCs w:val="22"/>
          <w:vertAlign w:val="superscript"/>
        </w:rPr>
        <w:t>107</w:t>
      </w:r>
      <w:r w:rsidRPr="000A1C8E">
        <w:rPr>
          <w:rFonts w:ascii="Tahoma" w:hAnsi="Tahoma" w:cs="Tahoma"/>
          <w:caps/>
          <w:color w:val="FA6500"/>
          <w:sz w:val="22"/>
          <w:vertAlign w:val="superscript"/>
        </w:rPr>
        <w:t xml:space="preserve"> </w:t>
      </w:r>
      <w:r w:rsidRPr="000A1C8E">
        <w:rPr>
          <w:rFonts w:ascii="Tahoma" w:hAnsi="Tahoma" w:cs="Tahoma"/>
          <w:color w:val="FA6500"/>
          <w:sz w:val="22"/>
        </w:rPr>
        <w:t xml:space="preserve">Windows Multipoint Server </w:t>
      </w:r>
      <w:bookmarkEnd w:id="1629"/>
      <w:r w:rsidRPr="000A1C8E">
        <w:rPr>
          <w:rFonts w:ascii="Tahoma" w:hAnsi="Tahoma" w:cs="Tahoma"/>
          <w:color w:val="FA6500"/>
          <w:sz w:val="22"/>
        </w:rPr>
        <w:t>2012 Premium</w:t>
      </w:r>
      <w:bookmarkEnd w:id="1630"/>
      <w:r w:rsidRPr="000A1C8E">
        <w:rPr>
          <w:rFonts w:ascii="Tahoma" w:hAnsi="Tahoma" w:cs="Tahoma"/>
          <w:color w:val="FA6500"/>
          <w:sz w:val="22"/>
        </w:rPr>
        <w:t xml:space="preserve"> </w:t>
      </w:r>
      <w:bookmarkEnd w:id="1631"/>
      <w:bookmarkEnd w:id="1632"/>
      <w:bookmarkEnd w:id="1633"/>
    </w:p>
    <w:p w:rsidR="00A434A4" w:rsidRPr="000A1C8E" w:rsidRDefault="00A434A4" w:rsidP="00A434A4">
      <w:pPr>
        <w:rPr>
          <w:rFonts w:cs="Tahoma"/>
        </w:rPr>
      </w:pPr>
    </w:p>
    <w:p w:rsidR="00F745E1" w:rsidRPr="000A1C8E" w:rsidRDefault="00092F30" w:rsidP="00A434A4">
      <w:pPr>
        <w:ind w:left="720"/>
        <w:rPr>
          <w:rFonts w:cs="Tahoma"/>
          <w:spacing w:val="-2"/>
        </w:rPr>
      </w:pPr>
      <w:r w:rsidRPr="000A1C8E">
        <w:rPr>
          <w:rFonts w:eastAsia="Calibri" w:cs="Tahoma"/>
          <w:color w:val="000000"/>
          <w:spacing w:val="-2"/>
          <w:szCs w:val="18"/>
        </w:rPr>
        <w:t>O Windows MultiPoint Server 2012 Premium é a próxima versão do Windows MultiPoint Server 2011 Premium.</w:t>
      </w:r>
      <w:bookmarkStart w:id="1634" w:name="_Toc280612355"/>
    </w:p>
    <w:p w:rsidR="00A434A4" w:rsidRPr="000A1C8E" w:rsidRDefault="00A434A4" w:rsidP="00A434A4">
      <w:pPr>
        <w:rPr>
          <w:rFonts w:cs="Tahoma"/>
        </w:rPr>
      </w:pPr>
    </w:p>
    <w:p w:rsidR="00A434A4" w:rsidRPr="000A1C8E" w:rsidRDefault="00A434A4" w:rsidP="00A434A4">
      <w:pPr>
        <w:rPr>
          <w:rFonts w:cs="Tahoma"/>
        </w:rPr>
      </w:pPr>
    </w:p>
    <w:p w:rsidR="00092F30" w:rsidRPr="000A1C8E" w:rsidRDefault="00A560B6" w:rsidP="00092F30">
      <w:pPr>
        <w:pStyle w:val="Heading2"/>
        <w:ind w:left="0"/>
        <w:rPr>
          <w:rFonts w:ascii="Tahoma" w:hAnsi="Tahoma" w:cs="Tahoma"/>
        </w:rPr>
      </w:pPr>
      <w:bookmarkStart w:id="1635" w:name="_108_CAL_do"/>
      <w:bookmarkStart w:id="1636" w:name="_Toc361829451"/>
      <w:bookmarkStart w:id="1637" w:name="Srv_104WinMultipointSvr2011CAL"/>
      <w:bookmarkStart w:id="1638" w:name="Srv_108WinMultipointSvr2011CAL"/>
      <w:bookmarkStart w:id="1639" w:name="Srv_112WinMultipointSvr2011CAL"/>
      <w:bookmarkEnd w:id="1635"/>
      <w:r w:rsidRPr="000A1C8E">
        <w:rPr>
          <w:rFonts w:ascii="Tahoma" w:hAnsi="Tahoma" w:cs="Tahoma"/>
          <w:caps/>
          <w:color w:val="FA6500"/>
          <w:sz w:val="22"/>
          <w:szCs w:val="22"/>
          <w:vertAlign w:val="superscript"/>
        </w:rPr>
        <w:t>108</w:t>
      </w:r>
      <w:r w:rsidRPr="000A1C8E">
        <w:rPr>
          <w:rFonts w:ascii="Tahoma" w:hAnsi="Tahoma" w:cs="Tahoma"/>
          <w:color w:val="FA6500"/>
          <w:sz w:val="22"/>
          <w:szCs w:val="22"/>
        </w:rPr>
        <w:t xml:space="preserve"> CAL do Windows </w:t>
      </w:r>
      <w:bookmarkEnd w:id="1634"/>
      <w:r w:rsidRPr="000A1C8E">
        <w:rPr>
          <w:rFonts w:ascii="Tahoma" w:hAnsi="Tahoma" w:cs="Tahoma"/>
          <w:color w:val="FA6500"/>
          <w:sz w:val="22"/>
          <w:szCs w:val="22"/>
        </w:rPr>
        <w:t>Multipoint Server 2012</w:t>
      </w:r>
      <w:bookmarkEnd w:id="1636"/>
    </w:p>
    <w:bookmarkEnd w:id="1637"/>
    <w:bookmarkEnd w:id="1638"/>
    <w:bookmarkEnd w:id="1639"/>
    <w:p w:rsidR="00092F30" w:rsidRPr="000A1C8E" w:rsidRDefault="00092F30" w:rsidP="00092F30">
      <w:pPr>
        <w:ind w:firstLine="360"/>
        <w:rPr>
          <w:rFonts w:cs="Tahoma"/>
        </w:rPr>
      </w:pPr>
    </w:p>
    <w:p w:rsidR="0008452D" w:rsidRPr="000A1C8E" w:rsidRDefault="00092F30" w:rsidP="00A434A4">
      <w:pPr>
        <w:ind w:left="720"/>
        <w:rPr>
          <w:rFonts w:cs="Tahoma"/>
        </w:rPr>
      </w:pPr>
      <w:r w:rsidRPr="000A1C8E">
        <w:rPr>
          <w:rFonts w:eastAsia="Calibri" w:cs="Tahoma"/>
          <w:color w:val="000000"/>
          <w:szCs w:val="18"/>
        </w:rPr>
        <w:t>A CAL do Windows MultiPoint Server 2012 é a próxima versão da CAL do Windows MultiPoint Server 2011.</w:t>
      </w:r>
    </w:p>
    <w:p w:rsidR="00A434A4" w:rsidRPr="000A1C8E" w:rsidRDefault="00A434A4" w:rsidP="00A434A4">
      <w:pPr>
        <w:rPr>
          <w:rFonts w:cs="Tahoma"/>
        </w:rPr>
      </w:pPr>
    </w:p>
    <w:p w:rsidR="00A434A4" w:rsidRPr="000A1C8E" w:rsidRDefault="00A434A4" w:rsidP="00A434A4">
      <w:pPr>
        <w:rPr>
          <w:rFonts w:cs="Tahoma"/>
        </w:rPr>
      </w:pPr>
    </w:p>
    <w:p w:rsidR="00023FE7" w:rsidRPr="000A1C8E" w:rsidRDefault="00A560B6" w:rsidP="00EF2279">
      <w:pPr>
        <w:pStyle w:val="Heading3"/>
        <w:ind w:left="360" w:hanging="360"/>
        <w:rPr>
          <w:rFonts w:ascii="Tahoma" w:hAnsi="Tahoma" w:cs="Tahoma"/>
        </w:rPr>
      </w:pPr>
      <w:bookmarkStart w:id="1640" w:name="_108_Windows_Server"/>
      <w:bookmarkStart w:id="1641" w:name="_Toc336338369"/>
      <w:bookmarkStart w:id="1642" w:name="_Toc361829452"/>
      <w:bookmarkStart w:id="1643" w:name="Srv_97WinSvr08HighPerfCompandHyperV"/>
      <w:bookmarkStart w:id="1644" w:name="Srv_98WinSvr08HighPerfCompandHyperV"/>
      <w:bookmarkStart w:id="1645" w:name="Srv_110WinSvr08R2HPC"/>
      <w:bookmarkStart w:id="1646" w:name="Srv_114WinSvr08R2HPC"/>
      <w:bookmarkEnd w:id="1640"/>
      <w:r w:rsidRPr="000A1C8E">
        <w:rPr>
          <w:rFonts w:ascii="Tahoma" w:hAnsi="Tahoma" w:cs="Tahoma"/>
          <w:caps/>
          <w:color w:val="F66400"/>
          <w:sz w:val="22"/>
          <w:vertAlign w:val="superscript"/>
        </w:rPr>
        <w:t>109</w:t>
      </w:r>
      <w:r w:rsidRPr="000A1C8E">
        <w:rPr>
          <w:rFonts w:ascii="Tahoma" w:hAnsi="Tahoma" w:cs="Tahoma"/>
          <w:color w:val="F66400"/>
          <w:sz w:val="22"/>
        </w:rPr>
        <w:t xml:space="preserve"> Windows Server 2008 R2 HPC</w:t>
      </w:r>
      <w:r w:rsidRPr="000A1C8E">
        <w:rPr>
          <w:rStyle w:val="Heading3Char"/>
          <w:rFonts w:ascii="Tahoma" w:hAnsi="Tahoma" w:cs="Tahoma"/>
          <w:b/>
          <w:color w:val="F66400"/>
          <w:sz w:val="22"/>
        </w:rPr>
        <w:t xml:space="preserve"> Edition</w:t>
      </w:r>
      <w:bookmarkEnd w:id="1641"/>
      <w:bookmarkEnd w:id="1642"/>
      <w:r w:rsidRPr="000A1C8E">
        <w:rPr>
          <w:rStyle w:val="Heading3Char"/>
          <w:rFonts w:ascii="Tahoma" w:hAnsi="Tahoma" w:cs="Tahoma"/>
          <w:b/>
          <w:color w:val="F66400"/>
          <w:sz w:val="22"/>
        </w:rPr>
        <w:t xml:space="preserve"> </w:t>
      </w:r>
    </w:p>
    <w:bookmarkEnd w:id="1643"/>
    <w:bookmarkEnd w:id="1644"/>
    <w:bookmarkEnd w:id="1645"/>
    <w:bookmarkEnd w:id="1646"/>
    <w:p w:rsidR="00023FE7" w:rsidRPr="000A1C8E" w:rsidRDefault="00023FE7" w:rsidP="00A434A4">
      <w:pPr>
        <w:rPr>
          <w:rFonts w:cs="Tahoma"/>
        </w:rPr>
      </w:pPr>
    </w:p>
    <w:p w:rsidR="00A434A4" w:rsidRPr="000A1C8E" w:rsidRDefault="001978C7" w:rsidP="00A434A4">
      <w:pPr>
        <w:spacing w:after="60"/>
        <w:ind w:left="720"/>
        <w:rPr>
          <w:rFonts w:cs="Tahoma"/>
        </w:rPr>
      </w:pPr>
      <w:r w:rsidRPr="000A1C8E">
        <w:rPr>
          <w:rFonts w:cs="Tahoma"/>
          <w:b/>
          <w:color w:val="000000"/>
        </w:rPr>
        <w:t>Outorgas de licença associadas ao término da validade da edição do Windows Server HPC</w:t>
      </w:r>
    </w:p>
    <w:p w:rsidR="001978C7" w:rsidRPr="000A1C8E" w:rsidRDefault="001978C7" w:rsidP="00A434A4">
      <w:pPr>
        <w:ind w:left="720"/>
        <w:rPr>
          <w:rFonts w:cs="Tahoma"/>
          <w:spacing w:val="-2"/>
        </w:rPr>
      </w:pPr>
      <w:r w:rsidRPr="000A1C8E">
        <w:rPr>
          <w:rFonts w:cs="Tahoma"/>
          <w:color w:val="000000"/>
          <w:spacing w:val="-2"/>
        </w:rPr>
        <w:t xml:space="preserve">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 que ocorrer primeiro, (“Licenças Qualificadas”) poderão </w:t>
      </w:r>
      <w:r w:rsidRPr="000A1C8E">
        <w:rPr>
          <w:rFonts w:eastAsia="Calibri" w:cs="Tahoma"/>
          <w:spacing w:val="-2"/>
          <w:szCs w:val="18"/>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rsidR="00A434A4" w:rsidRPr="000A1C8E" w:rsidRDefault="00A434A4" w:rsidP="00A434A4">
      <w:pPr>
        <w:ind w:left="720"/>
        <w:rPr>
          <w:rFonts w:cs="Tahoma"/>
        </w:rPr>
      </w:pPr>
    </w:p>
    <w:p w:rsidR="001978C7" w:rsidRPr="000A1C8E" w:rsidRDefault="001978C7" w:rsidP="00346F4B">
      <w:pPr>
        <w:numPr>
          <w:ilvl w:val="0"/>
          <w:numId w:val="56"/>
        </w:numPr>
        <w:tabs>
          <w:tab w:val="clear" w:pos="360"/>
          <w:tab w:val="num" w:pos="1440"/>
        </w:tabs>
        <w:spacing w:after="60"/>
        <w:ind w:left="1440"/>
        <w:rPr>
          <w:rFonts w:cs="Tahoma"/>
        </w:rPr>
      </w:pPr>
      <w:r w:rsidRPr="000A1C8E">
        <w:rPr>
          <w:rFonts w:cs="Tahoma"/>
          <w:color w:val="000000"/>
        </w:rPr>
        <w:t>Se um cliente tiver um número ímpar de licenças do Windows Server HPC Edition, o cliente precisará arredondar para cima para o próximo número par para determinar sua concessão.</w:t>
      </w:r>
      <w:r w:rsidR="00DC6D8B" w:rsidRPr="000A1C8E">
        <w:rPr>
          <w:rFonts w:cs="Tahoma"/>
          <w:color w:val="000000"/>
        </w:rPr>
        <w:t xml:space="preserve"> </w:t>
      </w:r>
      <w:r w:rsidRPr="000A1C8E">
        <w:rPr>
          <w:rFonts w:cs="Tahoma"/>
          <w:color w:val="000000"/>
        </w:rPr>
        <w:t>Por exemplo, um cliente que tenha três licenças do Windows Server HPC Edition receberá no total duas licenças do Windows Server 2012 Standard.</w:t>
      </w:r>
    </w:p>
    <w:p w:rsidR="001978C7" w:rsidRPr="000A1C8E" w:rsidRDefault="001978C7" w:rsidP="00346F4B">
      <w:pPr>
        <w:pStyle w:val="ListParagraph"/>
        <w:numPr>
          <w:ilvl w:val="0"/>
          <w:numId w:val="56"/>
        </w:numPr>
        <w:tabs>
          <w:tab w:val="clear" w:pos="360"/>
          <w:tab w:val="num" w:pos="1440"/>
        </w:tabs>
        <w:spacing w:after="60"/>
        <w:ind w:left="1440"/>
        <w:contextualSpacing w:val="0"/>
        <w:rPr>
          <w:rFonts w:ascii="Tahoma" w:hAnsi="Tahoma" w:cs="Tahoma"/>
        </w:rPr>
      </w:pPr>
      <w:r w:rsidRPr="000A1C8E">
        <w:rPr>
          <w:rFonts w:ascii="Tahoma" w:eastAsia="Calibri" w:hAnsi="Tahoma" w:cs="Tahoma"/>
          <w:sz w:val="18"/>
          <w:szCs w:val="18"/>
        </w:rPr>
        <w:t>As licenças adquiridas sob esta concessão incluirão cobertura do Software Assurance.</w:t>
      </w:r>
      <w:r w:rsidR="00DC6D8B" w:rsidRPr="000A1C8E">
        <w:rPr>
          <w:rFonts w:ascii="Tahoma" w:eastAsia="Calibri" w:hAnsi="Tahoma" w:cs="Tahoma"/>
          <w:sz w:val="18"/>
          <w:szCs w:val="18"/>
        </w:rPr>
        <w:t xml:space="preserve"> </w:t>
      </w:r>
      <w:r w:rsidRPr="000A1C8E">
        <w:rPr>
          <w:rFonts w:ascii="Tahoma" w:eastAsia="Calibri" w:hAnsi="Tahoma" w:cs="Tahoma"/>
          <w:sz w:val="18"/>
          <w:szCs w:val="18"/>
        </w:rPr>
        <w:t>Tal cobertura expira quando a cobertura correspondente nas Licenças Qualificadas expirar.</w:t>
      </w:r>
    </w:p>
    <w:p w:rsidR="001978C7" w:rsidRPr="000A1C8E" w:rsidRDefault="001978C7" w:rsidP="00346F4B">
      <w:pPr>
        <w:pStyle w:val="ListParagraph"/>
        <w:numPr>
          <w:ilvl w:val="0"/>
          <w:numId w:val="56"/>
        </w:numPr>
        <w:tabs>
          <w:tab w:val="clear" w:pos="360"/>
          <w:tab w:val="num" w:pos="1440"/>
        </w:tabs>
        <w:spacing w:after="60"/>
        <w:ind w:left="1440"/>
        <w:contextualSpacing w:val="0"/>
        <w:rPr>
          <w:rFonts w:ascii="Tahoma" w:hAnsi="Tahoma" w:cs="Tahoma"/>
        </w:rPr>
      </w:pPr>
      <w:r w:rsidRPr="000A1C8E">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1978C7" w:rsidRPr="000A1C8E" w:rsidRDefault="001978C7" w:rsidP="00346F4B">
      <w:pPr>
        <w:numPr>
          <w:ilvl w:val="0"/>
          <w:numId w:val="56"/>
        </w:numPr>
        <w:tabs>
          <w:tab w:val="clear" w:pos="360"/>
          <w:tab w:val="num" w:pos="1440"/>
          <w:tab w:val="left" w:pos="2160"/>
        </w:tabs>
        <w:spacing w:after="60"/>
        <w:ind w:left="1440"/>
        <w:rPr>
          <w:rFonts w:cs="Tahoma"/>
        </w:rPr>
      </w:pPr>
      <w:r w:rsidRPr="000A1C8E">
        <w:rPr>
          <w:rFonts w:eastAsia="Calibri" w:cs="Tahoma"/>
          <w:szCs w:val="18"/>
        </w:rPr>
        <w:t xml:space="preserve">Na atualização para o Windows Server 2012 Standard sob essa concessão, as licenças existentes do </w:t>
      </w:r>
      <w:r w:rsidRPr="000A1C8E">
        <w:rPr>
          <w:rFonts w:cs="Tahoma"/>
          <w:color w:val="000000"/>
        </w:rPr>
        <w:t>Windows Server 2008 R2 HPC Edition</w:t>
      </w:r>
      <w:r w:rsidRPr="000A1C8E">
        <w:rPr>
          <w:rFonts w:eastAsia="Calibri" w:cs="Tahoma"/>
          <w:szCs w:val="18"/>
        </w:rPr>
        <w:t xml:space="preserve"> do cliente permanecerão válidas.</w:t>
      </w:r>
    </w:p>
    <w:p w:rsidR="001978C7" w:rsidRPr="000A1C8E" w:rsidRDefault="001978C7" w:rsidP="00346F4B">
      <w:pPr>
        <w:numPr>
          <w:ilvl w:val="0"/>
          <w:numId w:val="56"/>
        </w:numPr>
        <w:tabs>
          <w:tab w:val="clear" w:pos="360"/>
          <w:tab w:val="num" w:pos="1440"/>
        </w:tabs>
        <w:spacing w:after="60"/>
        <w:ind w:left="1440"/>
        <w:rPr>
          <w:rFonts w:cs="Tahoma"/>
        </w:rPr>
      </w:pPr>
      <w:r w:rsidRPr="000A1C8E">
        <w:rPr>
          <w:rFonts w:cs="Tahoma"/>
          <w:color w:val="000000"/>
        </w:rPr>
        <w:t>As licenças do Windows Server 2008 R2 HPC Edition a</w:t>
      </w:r>
      <w:r w:rsidRPr="000A1C8E">
        <w:rPr>
          <w:rFonts w:cs="Tahoma"/>
          <w:bCs/>
          <w:color w:val="000000"/>
          <w:szCs w:val="18"/>
        </w:rPr>
        <w:t xml:space="preserve">dquiridas posteriormente no mesmo prazo de registro, como parte de um processo de adequação (“true-up”) programado do cliente Enterprise, Enterprise Subscription, Open Value Subscription ou EES também são Licenças Qualificadas para os propósitos da concessão supracitada. </w:t>
      </w:r>
    </w:p>
    <w:p w:rsidR="001978C7" w:rsidRPr="000A1C8E" w:rsidRDefault="001978C7" w:rsidP="00346F4B">
      <w:pPr>
        <w:numPr>
          <w:ilvl w:val="0"/>
          <w:numId w:val="56"/>
        </w:numPr>
        <w:tabs>
          <w:tab w:val="clear" w:pos="360"/>
          <w:tab w:val="num" w:pos="1440"/>
        </w:tabs>
        <w:spacing w:after="60"/>
        <w:ind w:left="1440"/>
        <w:rPr>
          <w:rFonts w:cs="Tahoma"/>
        </w:rPr>
      </w:pPr>
      <w:r w:rsidRPr="000A1C8E">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A434A4" w:rsidRPr="000A1C8E" w:rsidRDefault="00A434A4" w:rsidP="00A434A4">
      <w:pPr>
        <w:contextualSpacing/>
        <w:rPr>
          <w:rFonts w:cs="Tahoma"/>
        </w:rPr>
      </w:pPr>
    </w:p>
    <w:p w:rsidR="0033369F" w:rsidRPr="000A1C8E" w:rsidRDefault="0033369F" w:rsidP="00A434A4">
      <w:pPr>
        <w:contextualSpacing/>
        <w:rPr>
          <w:rFonts w:cs="Tahoma"/>
        </w:rPr>
      </w:pPr>
    </w:p>
    <w:p w:rsidR="0033369F" w:rsidRPr="000A1C8E" w:rsidRDefault="0033369F" w:rsidP="00A434A4">
      <w:pPr>
        <w:contextualSpacing/>
        <w:rPr>
          <w:rFonts w:cs="Tahoma"/>
        </w:rPr>
      </w:pPr>
    </w:p>
    <w:p w:rsidR="0033369F" w:rsidRPr="000A1C8E" w:rsidRDefault="0033369F" w:rsidP="00A434A4">
      <w:pPr>
        <w:contextualSpacing/>
        <w:rPr>
          <w:rFonts w:cs="Tahoma"/>
        </w:rPr>
      </w:pPr>
    </w:p>
    <w:p w:rsidR="008C2FF8" w:rsidRPr="000A1C8E" w:rsidRDefault="001978C7" w:rsidP="008C2FF8">
      <w:pPr>
        <w:spacing w:after="60"/>
        <w:ind w:left="720"/>
        <w:rPr>
          <w:rFonts w:cs="Tahoma"/>
        </w:rPr>
      </w:pPr>
      <w:r w:rsidRPr="000A1C8E">
        <w:rPr>
          <w:rFonts w:eastAsia="Calibri" w:cs="Tahoma"/>
          <w:b/>
          <w:szCs w:val="18"/>
        </w:rPr>
        <w:lastRenderedPageBreak/>
        <w:t>Informações adicionais sobre o uso do Windows Server 2012 para High Performance Computing (HPC)</w:t>
      </w:r>
    </w:p>
    <w:p w:rsidR="002F7203" w:rsidRPr="000A1C8E" w:rsidRDefault="001978C7" w:rsidP="0033369F">
      <w:pPr>
        <w:ind w:left="720"/>
        <w:contextualSpacing/>
        <w:rPr>
          <w:rFonts w:cs="Tahoma"/>
        </w:rPr>
      </w:pPr>
      <w:r w:rsidRPr="000A1C8E">
        <w:rPr>
          <w:rFonts w:eastAsia="Calibri" w:cs="Tahoma"/>
          <w:szCs w:val="18"/>
        </w:rPr>
        <w:t>Quando o Windows Server 2012 Standard ou Datacenter é usado para High Performance Computing, você</w:t>
      </w:r>
      <w:r w:rsidR="0033369F" w:rsidRPr="000A1C8E">
        <w:rPr>
          <w:rFonts w:eastAsia="Calibri" w:cs="Tahoma"/>
          <w:szCs w:val="18"/>
        </w:rPr>
        <w:t> </w:t>
      </w:r>
      <w:r w:rsidRPr="000A1C8E">
        <w:rPr>
          <w:rFonts w:eastAsia="Calibri" w:cs="Tahoma"/>
          <w:szCs w:val="18"/>
        </w:rPr>
        <w:t>não precisa de CALs para acessar o software. Uma “</w:t>
      </w:r>
      <w:r w:rsidRPr="000A1C8E">
        <w:rPr>
          <w:rFonts w:cs="Tahoma"/>
        </w:rPr>
        <w:t>Carga de Trabalho High Performance Computing (“HPC”)”</w:t>
      </w:r>
      <w:r w:rsidRPr="000A1C8E">
        <w:rPr>
          <w:rFonts w:cs="Tahoma"/>
          <w:b/>
          <w:bCs/>
        </w:rPr>
        <w:t xml:space="preserve"> </w:t>
      </w:r>
      <w:r w:rsidRPr="000A1C8E">
        <w:rPr>
          <w:rFonts w:cs="Tahoma"/>
        </w:rPr>
        <w:t>significa uma carga de trabalho na qual o software para servidores</w:t>
      </w:r>
      <w:r w:rsidRPr="000A1C8E">
        <w:rPr>
          <w:rFonts w:cs="Tahoma"/>
          <w:u w:val="single"/>
        </w:rPr>
        <w:t xml:space="preserve"> é usado </w:t>
      </w:r>
      <w:r w:rsidRPr="000A1C8E">
        <w:rPr>
          <w:rFonts w:cs="Tahoma"/>
        </w:rPr>
        <w:t>para executar um Nó</w:t>
      </w:r>
      <w:r w:rsidR="0033369F" w:rsidRPr="000A1C8E">
        <w:rPr>
          <w:rFonts w:cs="Tahoma"/>
        </w:rPr>
        <w:t> </w:t>
      </w:r>
      <w:r w:rsidRPr="000A1C8E">
        <w:rPr>
          <w:rFonts w:cs="Tahoma"/>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0A1C8E">
        <w:rPr>
          <w:rFonts w:eastAsia="Calibri" w:cs="Tahoma"/>
          <w:szCs w:val="18"/>
        </w:rPr>
        <w:t xml:space="preserve"> Consulte os Direitos de Uso de Produto para obter detalhes adicionais.</w:t>
      </w:r>
      <w:bookmarkStart w:id="1647" w:name="Srv_1120WinSvr08R2Enterprise"/>
    </w:p>
    <w:p w:rsidR="008C2FF8" w:rsidRPr="000A1C8E" w:rsidRDefault="008C2FF8" w:rsidP="008C2FF8">
      <w:pPr>
        <w:contextualSpacing/>
        <w:rPr>
          <w:rFonts w:cs="Tahoma"/>
        </w:rPr>
      </w:pPr>
    </w:p>
    <w:p w:rsidR="002512D3" w:rsidRPr="000A1C8E" w:rsidRDefault="002512D3">
      <w:pPr>
        <w:rPr>
          <w:rFonts w:cs="Tahoma"/>
        </w:rPr>
      </w:pPr>
      <w:bookmarkStart w:id="1648" w:name="_97_Windows_Server"/>
      <w:bookmarkStart w:id="1649" w:name="_98_Windows_Server"/>
      <w:bookmarkStart w:id="1650" w:name="_Toc336338370"/>
      <w:bookmarkStart w:id="1651" w:name="Srv_116WinSvr08R2Enterprise"/>
      <w:bookmarkStart w:id="1652" w:name="Srv_100WinSvr08R2Enterprise"/>
      <w:bookmarkEnd w:id="1648"/>
      <w:bookmarkEnd w:id="1649"/>
    </w:p>
    <w:p w:rsidR="006D0B36" w:rsidRPr="000A1C8E" w:rsidRDefault="00A560B6" w:rsidP="007B35CE">
      <w:pPr>
        <w:pStyle w:val="Heading3"/>
        <w:keepNext/>
        <w:ind w:left="360" w:hanging="360"/>
        <w:rPr>
          <w:rFonts w:ascii="Tahoma" w:hAnsi="Tahoma" w:cs="Tahoma"/>
        </w:rPr>
      </w:pPr>
      <w:bookmarkStart w:id="1653" w:name="_109_Windows_Server"/>
      <w:bookmarkStart w:id="1654" w:name="_Toc361829453"/>
      <w:bookmarkEnd w:id="1653"/>
      <w:r w:rsidRPr="000A1C8E">
        <w:rPr>
          <w:rFonts w:ascii="Tahoma" w:hAnsi="Tahoma" w:cs="Tahoma"/>
          <w:caps/>
          <w:color w:val="F66400"/>
          <w:sz w:val="22"/>
          <w:vertAlign w:val="superscript"/>
        </w:rPr>
        <w:t>110</w:t>
      </w:r>
      <w:r w:rsidRPr="000A1C8E">
        <w:rPr>
          <w:rFonts w:ascii="Tahoma" w:hAnsi="Tahoma" w:cs="Tahoma"/>
          <w:color w:val="F66400"/>
          <w:sz w:val="22"/>
        </w:rPr>
        <w:t xml:space="preserve"> Windows Server 2008 R2 Enterprise</w:t>
      </w:r>
      <w:bookmarkEnd w:id="1650"/>
      <w:bookmarkEnd w:id="1654"/>
      <w:r w:rsidRPr="000A1C8E">
        <w:rPr>
          <w:rFonts w:ascii="Tahoma" w:hAnsi="Tahoma" w:cs="Tahoma"/>
          <w:color w:val="F66400"/>
          <w:sz w:val="22"/>
        </w:rPr>
        <w:t xml:space="preserve"> </w:t>
      </w:r>
      <w:bookmarkEnd w:id="1651"/>
    </w:p>
    <w:bookmarkEnd w:id="1647"/>
    <w:bookmarkEnd w:id="1652"/>
    <w:p w:rsidR="00156AE7" w:rsidRPr="000A1C8E" w:rsidRDefault="00156AE7" w:rsidP="008C2FF8">
      <w:pPr>
        <w:ind w:left="900"/>
        <w:rPr>
          <w:rFonts w:cs="Tahoma"/>
        </w:rPr>
      </w:pPr>
    </w:p>
    <w:p w:rsidR="00171927" w:rsidRPr="000A1C8E" w:rsidRDefault="00156AE7" w:rsidP="00171927">
      <w:pPr>
        <w:spacing w:after="60"/>
        <w:ind w:left="720"/>
        <w:rPr>
          <w:rFonts w:cs="Tahoma"/>
        </w:rPr>
      </w:pPr>
      <w:r w:rsidRPr="000A1C8E">
        <w:rPr>
          <w:rFonts w:cs="Tahoma"/>
          <w:b/>
          <w:color w:val="000000"/>
        </w:rPr>
        <w:t>Outorgas de licença associadas ao término da validade da edição do Windows Server Enterprise</w:t>
      </w:r>
    </w:p>
    <w:p w:rsidR="00156AE7" w:rsidRPr="000A1C8E" w:rsidRDefault="00156AE7" w:rsidP="008C2FF8">
      <w:pPr>
        <w:ind w:left="720"/>
        <w:rPr>
          <w:rFonts w:cs="Tahoma"/>
        </w:rPr>
      </w:pPr>
      <w:r w:rsidRPr="000A1C8E">
        <w:rPr>
          <w:rFonts w:cs="Tahoma"/>
          <w:color w:val="000000"/>
        </w:rPr>
        <w:t>O Windows Server 2008 R2 será a última versão da edição do Windows Server Enterprise.</w:t>
      </w:r>
      <w:r w:rsidR="00DC6D8B" w:rsidRPr="000A1C8E">
        <w:rPr>
          <w:rFonts w:cs="Tahoma"/>
          <w:color w:val="000000"/>
        </w:rPr>
        <w:t xml:space="preserve"> </w:t>
      </w:r>
      <w:r w:rsidRPr="000A1C8E">
        <w:rPr>
          <w:rFonts w:cs="Tahoma"/>
          <w:color w:val="000000"/>
        </w:rPr>
        <w:t>Os clientes de Licenciamento por Volume com Software Assurance ativo para licenças do Windows Server 2008 R2 Enterprise em 1</w:t>
      </w:r>
      <w:r w:rsidRPr="000A1C8E">
        <w:rPr>
          <w:rFonts w:cs="Tahoma"/>
          <w:color w:val="000000"/>
          <w:vertAlign w:val="superscript"/>
        </w:rPr>
        <w:t>º</w:t>
      </w:r>
      <w:r w:rsidRPr="000A1C8E">
        <w:rPr>
          <w:rFonts w:cs="Tahoma"/>
          <w:color w:val="000000"/>
        </w:rPr>
        <w:t xml:space="preserve"> de setembro de 2012 ou a partir da data da primeira disponibilização do Windows Server 2012 para download no Volume Licensing Service Center (Centro de Atendimento de Licenciamento por Volume), o que ocorrer primeiro, (“Licenças Qualificadas”) </w:t>
      </w:r>
      <w:r w:rsidRPr="000A1C8E">
        <w:rPr>
          <w:rFonts w:eastAsia="Calibri" w:cs="Tahoma"/>
          <w:szCs w:val="18"/>
        </w:rPr>
        <w:t>poderão atualizar para e usar o software Windows Server 2012 Standard em vez do Windows Server 2008 R2 Enterprise. Para facilitar essa atualização, para cada Licença Qualificada que o cliente possui, ele terá, mediante a disponibilização do Windows Server 2012:</w:t>
      </w:r>
    </w:p>
    <w:p w:rsidR="00171927" w:rsidRPr="000A1C8E" w:rsidRDefault="00171927" w:rsidP="00171927">
      <w:pPr>
        <w:spacing w:after="60"/>
        <w:ind w:left="720"/>
        <w:rPr>
          <w:rFonts w:cs="Tahoma"/>
        </w:rPr>
      </w:pPr>
    </w:p>
    <w:p w:rsidR="00156AE7" w:rsidRPr="000A1C8E" w:rsidRDefault="00156AE7" w:rsidP="00346F4B">
      <w:pPr>
        <w:numPr>
          <w:ilvl w:val="0"/>
          <w:numId w:val="52"/>
        </w:numPr>
        <w:spacing w:after="60"/>
        <w:ind w:left="1440"/>
        <w:rPr>
          <w:rFonts w:cs="Tahoma"/>
        </w:rPr>
      </w:pPr>
      <w:r w:rsidRPr="000A1C8E">
        <w:rPr>
          <w:rFonts w:eastAsia="Calibri" w:cs="Tahoma"/>
          <w:szCs w:val="18"/>
        </w:rPr>
        <w:t>Duas licenças do Windows Server 2012 Standard OU</w:t>
      </w:r>
    </w:p>
    <w:p w:rsidR="00156AE7" w:rsidRPr="000A1C8E" w:rsidRDefault="00156AE7" w:rsidP="00346F4B">
      <w:pPr>
        <w:numPr>
          <w:ilvl w:val="0"/>
          <w:numId w:val="52"/>
        </w:numPr>
        <w:spacing w:after="60"/>
        <w:ind w:left="1440"/>
        <w:rPr>
          <w:rFonts w:cs="Tahoma"/>
        </w:rPr>
      </w:pPr>
      <w:r w:rsidRPr="000A1C8E">
        <w:rPr>
          <w:rFonts w:eastAsia="Calibri" w:cs="Tahoma"/>
          <w:szCs w:val="18"/>
        </w:rPr>
        <w:t>Três, para Licenças de Qualificação adquiridas com SA ou renovadas entre 1º de abril de 2012 a 31 de agosto de 2012 OU</w:t>
      </w:r>
    </w:p>
    <w:p w:rsidR="00156AE7" w:rsidRPr="000A1C8E" w:rsidRDefault="00156AE7" w:rsidP="00346F4B">
      <w:pPr>
        <w:numPr>
          <w:ilvl w:val="0"/>
          <w:numId w:val="52"/>
        </w:numPr>
        <w:spacing w:after="60"/>
        <w:ind w:left="1440"/>
        <w:rPr>
          <w:rFonts w:cs="Tahoma"/>
        </w:rPr>
      </w:pPr>
      <w:r w:rsidRPr="000A1C8E">
        <w:rPr>
          <w:rFonts w:eastAsia="Calibri" w:cs="Tahoma"/>
          <w:szCs w:val="18"/>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rsidR="00156AE7" w:rsidRPr="000A1C8E" w:rsidRDefault="00156AE7" w:rsidP="00346F4B">
      <w:pPr>
        <w:numPr>
          <w:ilvl w:val="0"/>
          <w:numId w:val="52"/>
        </w:numPr>
        <w:spacing w:after="60"/>
        <w:ind w:left="1440"/>
        <w:rPr>
          <w:rFonts w:cs="Tahoma"/>
        </w:rPr>
      </w:pPr>
      <w:r w:rsidRPr="000A1C8E">
        <w:rPr>
          <w:rFonts w:eastAsia="Calibri" w:cs="Tahoma"/>
          <w:szCs w:val="18"/>
        </w:rPr>
        <w:t>As licenças adquiridas sob esta concessão incluirão cobertura do Software Assurance.</w:t>
      </w:r>
      <w:r w:rsidR="00DC6D8B" w:rsidRPr="000A1C8E">
        <w:rPr>
          <w:rFonts w:eastAsia="Calibri" w:cs="Tahoma"/>
          <w:szCs w:val="18"/>
        </w:rPr>
        <w:t xml:space="preserve"> </w:t>
      </w:r>
      <w:r w:rsidRPr="000A1C8E">
        <w:rPr>
          <w:rFonts w:eastAsia="Calibri" w:cs="Tahoma"/>
          <w:szCs w:val="18"/>
        </w:rPr>
        <w:t>Tal cobertura expira quando a cobertura correspondente nas Licenças Qualificadas expirar.</w:t>
      </w:r>
    </w:p>
    <w:p w:rsidR="00156AE7" w:rsidRPr="000A1C8E" w:rsidRDefault="00156AE7" w:rsidP="00346F4B">
      <w:pPr>
        <w:numPr>
          <w:ilvl w:val="0"/>
          <w:numId w:val="52"/>
        </w:numPr>
        <w:spacing w:after="60"/>
        <w:ind w:left="1440"/>
        <w:rPr>
          <w:rFonts w:cs="Tahoma"/>
        </w:rPr>
      </w:pPr>
      <w:r w:rsidRPr="000A1C8E">
        <w:rPr>
          <w:rFonts w:eastAsia="Calibri" w:cs="Tahoma"/>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r w:rsidR="00DC6D8B" w:rsidRPr="000A1C8E">
        <w:rPr>
          <w:rFonts w:eastAsia="Calibri" w:cs="Tahoma"/>
          <w:szCs w:val="18"/>
        </w:rPr>
        <w:t xml:space="preserve"> </w:t>
      </w:r>
    </w:p>
    <w:p w:rsidR="00156AE7" w:rsidRPr="000A1C8E" w:rsidRDefault="00156AE7" w:rsidP="00346F4B">
      <w:pPr>
        <w:numPr>
          <w:ilvl w:val="0"/>
          <w:numId w:val="52"/>
        </w:numPr>
        <w:spacing w:after="60"/>
        <w:ind w:left="1440"/>
        <w:rPr>
          <w:rFonts w:cs="Tahoma"/>
        </w:rPr>
      </w:pPr>
      <w:r w:rsidRPr="000A1C8E">
        <w:rPr>
          <w:rFonts w:eastAsia="Calibri" w:cs="Tahoma"/>
          <w:szCs w:val="18"/>
        </w:rPr>
        <w:t>Na atualização para o Windows Server 2012 Standard sob essa concessão, as Licenças Qualificadas do Windows Server Enterprise existentes do cliente não serão mais válidas.</w:t>
      </w:r>
    </w:p>
    <w:p w:rsidR="00156AE7" w:rsidRPr="000A1C8E" w:rsidRDefault="00156AE7" w:rsidP="00346F4B">
      <w:pPr>
        <w:numPr>
          <w:ilvl w:val="0"/>
          <w:numId w:val="52"/>
        </w:numPr>
        <w:spacing w:after="60"/>
        <w:ind w:left="1440"/>
        <w:rPr>
          <w:rFonts w:cs="Tahoma"/>
        </w:rPr>
      </w:pPr>
      <w:r w:rsidRPr="000A1C8E">
        <w:rPr>
          <w:rFonts w:eastAsia="Calibri" w:cs="Tahoma"/>
          <w:szCs w:val="18"/>
        </w:rPr>
        <w:t>As licenças do Windows Server 2008 R2 Enterprise adquiridas posteriormente no mesmo prazo de registro, como parte de um processo de adequação (“true-up”) programado do cliente Enterprise, Enterprise Subscription, Open Value Subscription ou EES também são Licenças Qualificadas para os propósitos da outorga de licença supracitada.</w:t>
      </w:r>
      <w:r w:rsidR="00DC6D8B" w:rsidRPr="000A1C8E">
        <w:rPr>
          <w:rFonts w:eastAsia="Calibri" w:cs="Tahoma"/>
          <w:szCs w:val="18"/>
        </w:rPr>
        <w:t xml:space="preserve"> </w:t>
      </w:r>
    </w:p>
    <w:p w:rsidR="00156AE7" w:rsidRPr="000A1C8E" w:rsidRDefault="00156AE7" w:rsidP="00346F4B">
      <w:pPr>
        <w:numPr>
          <w:ilvl w:val="0"/>
          <w:numId w:val="52"/>
        </w:numPr>
        <w:spacing w:after="60"/>
        <w:ind w:left="1440"/>
        <w:rPr>
          <w:rFonts w:cs="Tahoma"/>
          <w:spacing w:val="-2"/>
        </w:rPr>
      </w:pPr>
      <w:r w:rsidRPr="000A1C8E">
        <w:rPr>
          <w:rFonts w:eastAsia="Calibri" w:cs="Tahoma"/>
          <w:spacing w:val="-2"/>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047339" w:rsidRPr="000A1C8E" w:rsidRDefault="00047339" w:rsidP="00171927">
      <w:pPr>
        <w:pStyle w:val="EndnoteText"/>
        <w:ind w:left="0"/>
        <w:rPr>
          <w:rFonts w:ascii="Tahoma" w:hAnsi="Tahoma" w:cs="Tahoma"/>
        </w:rPr>
      </w:pPr>
    </w:p>
    <w:p w:rsidR="00171927" w:rsidRPr="000A1C8E" w:rsidRDefault="00171927" w:rsidP="00171927">
      <w:pPr>
        <w:pStyle w:val="EndnoteText"/>
        <w:ind w:left="0"/>
        <w:rPr>
          <w:rFonts w:ascii="Tahoma" w:hAnsi="Tahoma" w:cs="Tahoma"/>
        </w:rPr>
      </w:pPr>
    </w:p>
    <w:p w:rsidR="0033369F" w:rsidRPr="000A1C8E" w:rsidRDefault="0033369F" w:rsidP="00171927">
      <w:pPr>
        <w:pStyle w:val="EndnoteText"/>
        <w:ind w:left="0"/>
        <w:rPr>
          <w:rFonts w:ascii="Tahoma" w:hAnsi="Tahoma" w:cs="Tahoma"/>
        </w:rPr>
      </w:pPr>
    </w:p>
    <w:p w:rsidR="0033369F" w:rsidRPr="000A1C8E" w:rsidRDefault="0033369F" w:rsidP="00171927">
      <w:pPr>
        <w:pStyle w:val="EndnoteText"/>
        <w:ind w:left="0"/>
        <w:rPr>
          <w:rFonts w:ascii="Tahoma" w:hAnsi="Tahoma" w:cs="Tahoma"/>
        </w:rPr>
      </w:pPr>
    </w:p>
    <w:p w:rsidR="0033369F" w:rsidRPr="000A1C8E" w:rsidRDefault="0033369F" w:rsidP="00171927">
      <w:pPr>
        <w:pStyle w:val="EndnoteText"/>
        <w:ind w:left="0"/>
        <w:rPr>
          <w:rFonts w:ascii="Tahoma" w:hAnsi="Tahoma" w:cs="Tahoma"/>
        </w:rPr>
      </w:pPr>
    </w:p>
    <w:p w:rsidR="0033369F" w:rsidRPr="000A1C8E" w:rsidRDefault="0033369F" w:rsidP="00171927">
      <w:pPr>
        <w:pStyle w:val="EndnoteText"/>
        <w:ind w:left="0"/>
        <w:rPr>
          <w:rFonts w:ascii="Tahoma" w:hAnsi="Tahoma" w:cs="Tahoma"/>
        </w:rPr>
      </w:pPr>
    </w:p>
    <w:p w:rsidR="0033369F" w:rsidRPr="000A1C8E" w:rsidRDefault="0033369F" w:rsidP="00171927">
      <w:pPr>
        <w:pStyle w:val="EndnoteText"/>
        <w:ind w:left="0"/>
        <w:rPr>
          <w:rFonts w:ascii="Tahoma" w:hAnsi="Tahoma" w:cs="Tahoma"/>
        </w:rPr>
      </w:pPr>
    </w:p>
    <w:p w:rsidR="0033369F" w:rsidRPr="000A1C8E" w:rsidRDefault="0033369F" w:rsidP="00171927">
      <w:pPr>
        <w:pStyle w:val="EndnoteText"/>
        <w:ind w:left="0"/>
        <w:rPr>
          <w:rFonts w:ascii="Tahoma" w:hAnsi="Tahoma" w:cs="Tahoma"/>
        </w:rPr>
      </w:pPr>
    </w:p>
    <w:p w:rsidR="00EF1978" w:rsidRPr="000A1C8E" w:rsidRDefault="00A560B6" w:rsidP="00A9151E">
      <w:pPr>
        <w:pStyle w:val="Heading3"/>
        <w:keepNext/>
        <w:ind w:left="360" w:hanging="360"/>
        <w:rPr>
          <w:rFonts w:ascii="Tahoma" w:hAnsi="Tahoma" w:cs="Tahoma"/>
        </w:rPr>
      </w:pPr>
      <w:bookmarkStart w:id="1655" w:name="_110_Windows_Server_1"/>
      <w:bookmarkStart w:id="1656" w:name="Srv_1102WinSvr08R2Itanium"/>
      <w:bookmarkStart w:id="1657" w:name="_Toc336338371"/>
      <w:bookmarkStart w:id="1658" w:name="_Toc361829454"/>
      <w:bookmarkStart w:id="1659" w:name="Srv_1132WinSvr08R2Itanium"/>
      <w:bookmarkStart w:id="1660" w:name="Srv_117WinSvr08R2Itanium"/>
      <w:bookmarkStart w:id="1661" w:name="Srv_98WinSvr08StdandHyperV"/>
      <w:bookmarkStart w:id="1662" w:name="Srv_99WinSvr08StdandHyperV"/>
      <w:bookmarkEnd w:id="1655"/>
      <w:r w:rsidRPr="000A1C8E">
        <w:rPr>
          <w:rFonts w:ascii="Tahoma" w:hAnsi="Tahoma" w:cs="Tahoma"/>
          <w:caps/>
          <w:color w:val="F66400"/>
          <w:sz w:val="22"/>
          <w:vertAlign w:val="superscript"/>
        </w:rPr>
        <w:lastRenderedPageBreak/>
        <w:t>111</w:t>
      </w:r>
      <w:r w:rsidRPr="000A1C8E">
        <w:rPr>
          <w:rFonts w:ascii="Tahoma" w:hAnsi="Tahoma" w:cs="Tahoma"/>
          <w:b w:val="0"/>
          <w:caps/>
          <w:vertAlign w:val="superscript"/>
        </w:rPr>
        <w:t xml:space="preserve"> </w:t>
      </w:r>
      <w:r w:rsidRPr="000A1C8E">
        <w:rPr>
          <w:rFonts w:ascii="Tahoma" w:hAnsi="Tahoma" w:cs="Tahoma"/>
          <w:color w:val="F66400"/>
          <w:sz w:val="22"/>
        </w:rPr>
        <w:t>Windows Server 2008 R2 para Sistemas Baseados em Itanium</w:t>
      </w:r>
      <w:bookmarkEnd w:id="1656"/>
      <w:bookmarkEnd w:id="1657"/>
      <w:bookmarkEnd w:id="1658"/>
    </w:p>
    <w:bookmarkEnd w:id="1659"/>
    <w:bookmarkEnd w:id="1660"/>
    <w:p w:rsidR="00376D4B" w:rsidRPr="000A1C8E" w:rsidRDefault="00376D4B" w:rsidP="007E3162">
      <w:pPr>
        <w:ind w:left="360"/>
        <w:rPr>
          <w:rFonts w:cs="Tahoma"/>
        </w:rPr>
      </w:pPr>
    </w:p>
    <w:p w:rsidR="007E3162" w:rsidRPr="000A1C8E" w:rsidRDefault="006533DF" w:rsidP="007E3162">
      <w:pPr>
        <w:spacing w:after="60"/>
        <w:ind w:left="720"/>
        <w:rPr>
          <w:rFonts w:cs="Tahoma"/>
        </w:rPr>
      </w:pPr>
      <w:r w:rsidRPr="000A1C8E">
        <w:rPr>
          <w:rFonts w:cs="Tahoma"/>
          <w:b/>
          <w:color w:val="000000"/>
        </w:rPr>
        <w:t>Outorgas de licença associadas ao término da validade da edição do Windows Server para Sistemas Baseados em Itanium</w:t>
      </w:r>
    </w:p>
    <w:p w:rsidR="006533DF" w:rsidRPr="000A1C8E" w:rsidRDefault="006533DF" w:rsidP="007E3162">
      <w:pPr>
        <w:ind w:left="720"/>
        <w:rPr>
          <w:rFonts w:cs="Tahoma"/>
        </w:rPr>
      </w:pPr>
      <w:r w:rsidRPr="000A1C8E">
        <w:rPr>
          <w:rFonts w:cs="Tahoma"/>
          <w:color w:val="000000"/>
        </w:rPr>
        <w:t>O Windows Server 2008 R2 será a última versão do Windows Server para Sistemas Baseados em Itanium.</w:t>
      </w:r>
      <w:r w:rsidR="00DC6D8B" w:rsidRPr="000A1C8E">
        <w:rPr>
          <w:rFonts w:cs="Tahoma"/>
          <w:color w:val="000000"/>
        </w:rPr>
        <w:t xml:space="preserve"> </w:t>
      </w:r>
      <w:r w:rsidRPr="000A1C8E">
        <w:rPr>
          <w:rFonts w:cs="Tahoma"/>
          <w:color w:val="000000"/>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w:t>
      </w:r>
      <w:r w:rsidRPr="000A1C8E">
        <w:rPr>
          <w:rFonts w:eastAsia="Calibri" w:cs="Tahoma"/>
          <w:szCs w:val="18"/>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disponibilização do Windows Server 2012. </w:t>
      </w:r>
    </w:p>
    <w:p w:rsidR="007E3162" w:rsidRPr="000A1C8E" w:rsidRDefault="007E3162" w:rsidP="007E3162">
      <w:pPr>
        <w:ind w:left="720"/>
        <w:rPr>
          <w:rFonts w:cs="Tahoma"/>
        </w:rPr>
      </w:pPr>
    </w:p>
    <w:p w:rsidR="006533DF" w:rsidRPr="000A1C8E" w:rsidRDefault="006533DF" w:rsidP="00346F4B">
      <w:pPr>
        <w:numPr>
          <w:ilvl w:val="0"/>
          <w:numId w:val="56"/>
        </w:numPr>
        <w:tabs>
          <w:tab w:val="clear" w:pos="360"/>
          <w:tab w:val="num" w:pos="1440"/>
        </w:tabs>
        <w:spacing w:after="60"/>
        <w:ind w:left="1440"/>
        <w:rPr>
          <w:rFonts w:cs="Tahoma"/>
        </w:rPr>
      </w:pPr>
      <w:r w:rsidRPr="000A1C8E">
        <w:rPr>
          <w:rFonts w:cs="Tahoma"/>
          <w:color w:val="000000"/>
        </w:rPr>
        <w:t>Se um cliente tiver um número ímpar de Licenças Qualificadas, o cliente precisará arredondar para baixo para o próximo número par para determinar sua concessão.</w:t>
      </w:r>
      <w:r w:rsidR="00DC6D8B" w:rsidRPr="000A1C8E">
        <w:rPr>
          <w:rFonts w:cs="Tahoma"/>
          <w:color w:val="000000"/>
        </w:rPr>
        <w:t xml:space="preserve"> </w:t>
      </w:r>
      <w:r w:rsidRPr="000A1C8E">
        <w:rPr>
          <w:rFonts w:cs="Tahoma"/>
          <w:color w:val="000000"/>
        </w:rPr>
        <w:t xml:space="preserve">Por exemplo, um cliente que tenha três Licenças Qualificadas receberá no total uma licença do Windows Server 2012 Datacenter. </w:t>
      </w:r>
    </w:p>
    <w:p w:rsidR="006533DF" w:rsidRPr="000A1C8E" w:rsidRDefault="006533DF" w:rsidP="00346F4B">
      <w:pPr>
        <w:pStyle w:val="ListParagraph"/>
        <w:numPr>
          <w:ilvl w:val="0"/>
          <w:numId w:val="56"/>
        </w:numPr>
        <w:tabs>
          <w:tab w:val="clear" w:pos="360"/>
          <w:tab w:val="num" w:pos="1440"/>
        </w:tabs>
        <w:spacing w:after="60"/>
        <w:ind w:left="1440"/>
        <w:contextualSpacing w:val="0"/>
        <w:rPr>
          <w:rFonts w:ascii="Tahoma" w:hAnsi="Tahoma" w:cs="Tahoma"/>
        </w:rPr>
      </w:pPr>
      <w:r w:rsidRPr="000A1C8E">
        <w:rPr>
          <w:rFonts w:ascii="Tahoma" w:eastAsia="Calibri" w:hAnsi="Tahoma" w:cs="Tahoma"/>
          <w:sz w:val="18"/>
          <w:szCs w:val="18"/>
        </w:rPr>
        <w:t>As licenças adquiridas sob esta concessão incluirão cobertura do Software Assurance.</w:t>
      </w:r>
      <w:r w:rsidR="00DC6D8B" w:rsidRPr="000A1C8E">
        <w:rPr>
          <w:rFonts w:ascii="Tahoma" w:eastAsia="Calibri" w:hAnsi="Tahoma" w:cs="Tahoma"/>
          <w:sz w:val="18"/>
          <w:szCs w:val="18"/>
        </w:rPr>
        <w:t xml:space="preserve"> </w:t>
      </w:r>
      <w:r w:rsidRPr="000A1C8E">
        <w:rPr>
          <w:rFonts w:ascii="Tahoma" w:eastAsia="Calibri" w:hAnsi="Tahoma" w:cs="Tahoma"/>
          <w:sz w:val="18"/>
          <w:szCs w:val="18"/>
        </w:rPr>
        <w:t>Tal cobertura expira quando a cobertura correspondente nas Licenças Qualificadas expirar.</w:t>
      </w:r>
    </w:p>
    <w:p w:rsidR="006533DF" w:rsidRPr="000A1C8E" w:rsidRDefault="006533DF" w:rsidP="00346F4B">
      <w:pPr>
        <w:pStyle w:val="ListParagraph"/>
        <w:numPr>
          <w:ilvl w:val="0"/>
          <w:numId w:val="56"/>
        </w:numPr>
        <w:tabs>
          <w:tab w:val="clear" w:pos="360"/>
          <w:tab w:val="num" w:pos="1440"/>
        </w:tabs>
        <w:spacing w:after="60"/>
        <w:ind w:left="1440"/>
        <w:contextualSpacing w:val="0"/>
        <w:rPr>
          <w:rFonts w:ascii="Tahoma" w:hAnsi="Tahoma" w:cs="Tahoma"/>
        </w:rPr>
      </w:pPr>
      <w:r w:rsidRPr="000A1C8E">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6533DF" w:rsidRPr="000A1C8E" w:rsidRDefault="006533DF" w:rsidP="00346F4B">
      <w:pPr>
        <w:numPr>
          <w:ilvl w:val="0"/>
          <w:numId w:val="56"/>
        </w:numPr>
        <w:tabs>
          <w:tab w:val="clear" w:pos="360"/>
          <w:tab w:val="num" w:pos="1440"/>
        </w:tabs>
        <w:spacing w:after="60"/>
        <w:ind w:left="1440"/>
        <w:rPr>
          <w:rFonts w:cs="Tahoma"/>
        </w:rPr>
      </w:pPr>
      <w:r w:rsidRPr="000A1C8E">
        <w:rPr>
          <w:rFonts w:eastAsia="Calibri" w:cs="Tahoma"/>
          <w:szCs w:val="18"/>
        </w:rPr>
        <w:t>Na atualização para o Windows Server 2012 Datacenter sob essa concessão, as Licenças Qualificadas do Windows Server 2008 R2 para Sistemas Baseados em Itanium existentes do cliente não serão mais válidas.</w:t>
      </w:r>
    </w:p>
    <w:p w:rsidR="006533DF" w:rsidRPr="000A1C8E" w:rsidRDefault="006533DF" w:rsidP="00346F4B">
      <w:pPr>
        <w:numPr>
          <w:ilvl w:val="0"/>
          <w:numId w:val="56"/>
        </w:numPr>
        <w:tabs>
          <w:tab w:val="clear" w:pos="360"/>
          <w:tab w:val="num" w:pos="1440"/>
        </w:tabs>
        <w:spacing w:after="60"/>
        <w:ind w:left="1440"/>
        <w:rPr>
          <w:rFonts w:cs="Tahoma"/>
        </w:rPr>
      </w:pPr>
      <w:r w:rsidRPr="000A1C8E">
        <w:rPr>
          <w:rFonts w:cs="Tahoma"/>
          <w:color w:val="000000"/>
        </w:rPr>
        <w:t xml:space="preserve">As licenças do Windows Server 2008 R2 para Sistemas Baseados em Itanium </w:t>
      </w:r>
      <w:r w:rsidRPr="000A1C8E">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 propósitos da outorga de licença supracitada.</w:t>
      </w:r>
      <w:r w:rsidR="00DC6D8B" w:rsidRPr="000A1C8E">
        <w:rPr>
          <w:rFonts w:cs="Tahoma"/>
          <w:bCs/>
          <w:color w:val="000000"/>
          <w:szCs w:val="18"/>
        </w:rPr>
        <w:t xml:space="preserve"> </w:t>
      </w:r>
    </w:p>
    <w:p w:rsidR="006533DF" w:rsidRPr="000A1C8E" w:rsidRDefault="006533DF" w:rsidP="0033369F">
      <w:pPr>
        <w:numPr>
          <w:ilvl w:val="0"/>
          <w:numId w:val="56"/>
        </w:numPr>
        <w:tabs>
          <w:tab w:val="clear" w:pos="360"/>
          <w:tab w:val="num" w:pos="1440"/>
        </w:tabs>
        <w:spacing w:after="60"/>
        <w:ind w:left="1440"/>
        <w:rPr>
          <w:rFonts w:cs="Tahoma"/>
        </w:rPr>
      </w:pPr>
      <w:r w:rsidRPr="000A1C8E">
        <w:rPr>
          <w:rFonts w:cs="Tahoma"/>
          <w:bCs/>
          <w:color w:val="000000"/>
          <w:szCs w:val="18"/>
        </w:rPr>
        <w:t>Não obstante a concessão das licenças do Windows Server 2012 Datacenter e qualquer atualização</w:t>
      </w:r>
      <w:r w:rsidR="0033369F" w:rsidRPr="000A1C8E">
        <w:rPr>
          <w:rFonts w:cs="Tahoma"/>
          <w:bCs/>
          <w:color w:val="000000"/>
          <w:szCs w:val="18"/>
        </w:rPr>
        <w:t> </w:t>
      </w:r>
      <w:r w:rsidRPr="000A1C8E">
        <w:rPr>
          <w:rFonts w:cs="Tahoma"/>
          <w:bCs/>
          <w:color w:val="000000"/>
          <w:szCs w:val="18"/>
        </w:rPr>
        <w:t>para esta versão, as obrigações de pagar montantes devidos e pendentes pelas Licenças Qualificadas e cobertura permanecem em pleno vigor e efeito.</w:t>
      </w:r>
    </w:p>
    <w:p w:rsidR="00D63C1B" w:rsidRPr="000A1C8E" w:rsidRDefault="00D63C1B" w:rsidP="007E3162">
      <w:pPr>
        <w:rPr>
          <w:rFonts w:cs="Tahoma"/>
        </w:rPr>
      </w:pPr>
      <w:bookmarkStart w:id="1663" w:name="_117_Windows_Server"/>
      <w:bookmarkEnd w:id="1661"/>
      <w:bookmarkEnd w:id="1662"/>
      <w:bookmarkEnd w:id="1663"/>
    </w:p>
    <w:p w:rsidR="00586FCE" w:rsidRPr="000A1C8E" w:rsidRDefault="00586FCE" w:rsidP="00EF2279">
      <w:pPr>
        <w:rPr>
          <w:rFonts w:cs="Tahoma"/>
        </w:rPr>
      </w:pPr>
    </w:p>
    <w:p w:rsidR="00FE1A01" w:rsidRPr="000A1C8E" w:rsidRDefault="00A560B6" w:rsidP="00EF2279">
      <w:pPr>
        <w:pStyle w:val="Heading3"/>
        <w:rPr>
          <w:rFonts w:ascii="Tahoma" w:hAnsi="Tahoma" w:cs="Tahoma"/>
        </w:rPr>
      </w:pPr>
      <w:bookmarkStart w:id="1664" w:name="_116_Windows_Server"/>
      <w:bookmarkStart w:id="1665" w:name="_111_Windows_Server"/>
      <w:bookmarkStart w:id="1666" w:name="_Toc336338372"/>
      <w:bookmarkStart w:id="1667" w:name="_Toc361829455"/>
      <w:bookmarkStart w:id="1668" w:name="Srv_101Win2008RemoteCALandExtConn"/>
      <w:bookmarkStart w:id="1669" w:name="Srv_115Win2008RemoteCALandExtConn"/>
      <w:bookmarkStart w:id="1670" w:name="Srv_119Win2008RemoteCALandExtConn"/>
      <w:bookmarkStart w:id="1671" w:name="Srv_101WindowsSvr2008RemoteDesktop"/>
      <w:bookmarkEnd w:id="1664"/>
      <w:bookmarkEnd w:id="1665"/>
      <w:r w:rsidRPr="000A1C8E">
        <w:rPr>
          <w:rStyle w:val="Heading3Char"/>
          <w:rFonts w:ascii="Tahoma" w:hAnsi="Tahoma" w:cs="Tahoma"/>
          <w:b/>
          <w:caps/>
          <w:color w:val="F66400"/>
          <w:sz w:val="22"/>
          <w:vertAlign w:val="superscript"/>
        </w:rPr>
        <w:t xml:space="preserve">112 </w:t>
      </w:r>
      <w:r w:rsidRPr="000A1C8E">
        <w:rPr>
          <w:rFonts w:ascii="Tahoma" w:hAnsi="Tahoma" w:cs="Tahoma"/>
          <w:color w:val="F66400"/>
          <w:sz w:val="22"/>
        </w:rPr>
        <w:t>Windows Server 2012 CAL</w:t>
      </w:r>
      <w:bookmarkEnd w:id="1666"/>
      <w:bookmarkEnd w:id="1667"/>
    </w:p>
    <w:p w:rsidR="00FE1A01" w:rsidRPr="000A1C8E" w:rsidRDefault="00FE1A01" w:rsidP="002A01C2">
      <w:pPr>
        <w:rPr>
          <w:rFonts w:cs="Tahoma"/>
        </w:rPr>
      </w:pPr>
    </w:p>
    <w:p w:rsidR="00FE1A01" w:rsidRPr="000A1C8E" w:rsidRDefault="00FE1A01" w:rsidP="002A01C2">
      <w:pPr>
        <w:ind w:left="720"/>
        <w:rPr>
          <w:rFonts w:cs="Tahoma"/>
        </w:rPr>
      </w:pPr>
      <w:r w:rsidRPr="000A1C8E">
        <w:rPr>
          <w:rFonts w:cs="Tahoma"/>
          <w:szCs w:val="18"/>
        </w:rPr>
        <w:t>A CAL do Windows Server 2012 é a próxima versão da CAL do Windows Server 2008.</w:t>
      </w:r>
    </w:p>
    <w:p w:rsidR="002A01C2" w:rsidRPr="000A1C8E" w:rsidRDefault="002A01C2" w:rsidP="002A01C2">
      <w:pPr>
        <w:ind w:left="720"/>
        <w:rPr>
          <w:rFonts w:cs="Tahoma"/>
        </w:rPr>
      </w:pPr>
    </w:p>
    <w:p w:rsidR="002A01C2" w:rsidRPr="000A1C8E" w:rsidRDefault="00FE1A01" w:rsidP="002A01C2">
      <w:pPr>
        <w:spacing w:after="60"/>
        <w:ind w:left="720"/>
        <w:rPr>
          <w:rFonts w:cs="Tahoma"/>
        </w:rPr>
      </w:pPr>
      <w:r w:rsidRPr="000A1C8E">
        <w:rPr>
          <w:rFonts w:eastAsia="Calibri" w:cs="Tahoma"/>
          <w:b/>
          <w:szCs w:val="18"/>
        </w:rPr>
        <w:t>Usando o Windows Server 2012 como um Servidor Web</w:t>
      </w:r>
    </w:p>
    <w:p w:rsidR="00FE1A01" w:rsidRPr="000A1C8E" w:rsidRDefault="00FE1A01" w:rsidP="002A01C2">
      <w:pPr>
        <w:ind w:left="720"/>
        <w:rPr>
          <w:rFonts w:cs="Tahoma"/>
        </w:rPr>
      </w:pPr>
      <w:r w:rsidRPr="000A1C8E">
        <w:rPr>
          <w:rFonts w:cs="Tahoma"/>
          <w:color w:val="000000"/>
          <w:szCs w:val="18"/>
        </w:rPr>
        <w:t>Quando o Windows Server 2012 Standard ou Datacenter é usado como um Servidor Web, você não precisa de CALs para acessar o software. Uma “Carga de Trabalho da Web” significa:</w:t>
      </w:r>
    </w:p>
    <w:p w:rsidR="002A01C2" w:rsidRPr="000A1C8E" w:rsidRDefault="002A01C2" w:rsidP="002A01C2">
      <w:pPr>
        <w:pStyle w:val="PURBody-Indented"/>
        <w:spacing w:after="0"/>
        <w:ind w:left="720"/>
        <w:rPr>
          <w:rFonts w:ascii="Tahoma" w:hAnsi="Tahoma" w:cs="Tahoma"/>
        </w:rPr>
      </w:pPr>
    </w:p>
    <w:p w:rsidR="002A01C2" w:rsidRPr="000A1C8E" w:rsidRDefault="006707A3" w:rsidP="002A01C2">
      <w:pPr>
        <w:pStyle w:val="PURBody-Indented"/>
        <w:spacing w:after="60"/>
        <w:ind w:left="720"/>
        <w:rPr>
          <w:rFonts w:ascii="Tahoma" w:hAnsi="Tahoma" w:cs="Tahoma"/>
        </w:rPr>
      </w:pPr>
      <w:r w:rsidRPr="000A1C8E">
        <w:rPr>
          <w:rFonts w:ascii="Tahoma" w:hAnsi="Tahoma" w:cs="Tahoma"/>
          <w:b/>
          <w:bCs/>
          <w:sz w:val="18"/>
          <w:szCs w:val="18"/>
        </w:rPr>
        <w:t>Web Workload</w:t>
      </w:r>
      <w:r w:rsidRPr="000A1C8E">
        <w:rPr>
          <w:rFonts w:ascii="Tahoma" w:hAnsi="Tahoma" w:cs="Tahoma"/>
          <w:b/>
          <w:sz w:val="18"/>
          <w:szCs w:val="18"/>
        </w:rPr>
        <w:t xml:space="preserve"> (Soluções da Web na Internet)</w:t>
      </w:r>
    </w:p>
    <w:p w:rsidR="006707A3" w:rsidRPr="000A1C8E" w:rsidRDefault="006707A3" w:rsidP="002A01C2">
      <w:pPr>
        <w:pStyle w:val="PURBody-Indented"/>
        <w:spacing w:after="0"/>
        <w:ind w:left="720"/>
        <w:rPr>
          <w:rFonts w:ascii="Tahoma" w:hAnsi="Tahoma" w:cs="Tahoma"/>
        </w:rPr>
      </w:pPr>
      <w:r w:rsidRPr="000A1C8E">
        <w:rPr>
          <w:rFonts w:ascii="Tahoma" w:hAnsi="Tahoma" w:cs="Tahoma"/>
          <w:sz w:val="18"/>
          <w:szCs w:val="18"/>
        </w:rPr>
        <w:t xml:space="preserve">As “Soluções de Web na Internet” são de conhecimento público e são compostas exclusivamente de páginas da Web, sites, aplicativos da Web, serviços da Web e/ou serviços de email do POP3. Esclarecendo melhor, o acesso ao conteúdo, às informações e aos aplicativos oferecidos pelo software em uma solução de Web na Internet não está limitado aos funcionários de suas afiliadas. </w:t>
      </w:r>
    </w:p>
    <w:p w:rsidR="002A01C2" w:rsidRPr="000A1C8E" w:rsidRDefault="002A01C2" w:rsidP="002A01C2">
      <w:pPr>
        <w:pStyle w:val="PURBody-Indented"/>
        <w:spacing w:after="0"/>
        <w:ind w:firstLine="450"/>
        <w:rPr>
          <w:rFonts w:ascii="Tahoma" w:hAnsi="Tahoma" w:cs="Tahoma"/>
        </w:rPr>
      </w:pPr>
    </w:p>
    <w:p w:rsidR="0033369F" w:rsidRPr="000A1C8E" w:rsidRDefault="0033369F" w:rsidP="002A01C2">
      <w:pPr>
        <w:pStyle w:val="PURBody-Indented"/>
        <w:spacing w:after="0"/>
        <w:ind w:firstLine="450"/>
        <w:rPr>
          <w:rFonts w:ascii="Tahoma" w:hAnsi="Tahoma" w:cs="Tahoma"/>
        </w:rPr>
      </w:pPr>
    </w:p>
    <w:p w:rsidR="0033369F" w:rsidRPr="000A1C8E" w:rsidRDefault="0033369F" w:rsidP="002A01C2">
      <w:pPr>
        <w:pStyle w:val="PURBody-Indented"/>
        <w:spacing w:after="0"/>
        <w:ind w:firstLine="450"/>
        <w:rPr>
          <w:rFonts w:ascii="Tahoma" w:hAnsi="Tahoma" w:cs="Tahoma"/>
        </w:rPr>
      </w:pPr>
    </w:p>
    <w:p w:rsidR="0033369F" w:rsidRPr="000A1C8E" w:rsidRDefault="0033369F" w:rsidP="002A01C2">
      <w:pPr>
        <w:pStyle w:val="PURBody-Indented"/>
        <w:spacing w:after="0"/>
        <w:ind w:firstLine="450"/>
        <w:rPr>
          <w:rFonts w:ascii="Tahoma" w:hAnsi="Tahoma" w:cs="Tahoma"/>
        </w:rPr>
      </w:pPr>
    </w:p>
    <w:p w:rsidR="0033369F" w:rsidRPr="000A1C8E" w:rsidRDefault="0033369F" w:rsidP="002A01C2">
      <w:pPr>
        <w:pStyle w:val="PURBody-Indented"/>
        <w:spacing w:after="0"/>
        <w:ind w:firstLine="450"/>
        <w:rPr>
          <w:rFonts w:ascii="Tahoma" w:hAnsi="Tahoma" w:cs="Tahoma"/>
        </w:rPr>
      </w:pPr>
    </w:p>
    <w:p w:rsidR="0033369F" w:rsidRPr="000A1C8E" w:rsidRDefault="0033369F" w:rsidP="002A01C2">
      <w:pPr>
        <w:pStyle w:val="PURBody-Indented"/>
        <w:spacing w:after="0"/>
        <w:ind w:firstLine="450"/>
        <w:rPr>
          <w:rFonts w:ascii="Tahoma" w:hAnsi="Tahoma" w:cs="Tahoma"/>
        </w:rPr>
      </w:pPr>
    </w:p>
    <w:p w:rsidR="0033369F" w:rsidRPr="000A1C8E" w:rsidRDefault="0033369F" w:rsidP="002A01C2">
      <w:pPr>
        <w:pStyle w:val="PURBody-Indented"/>
        <w:spacing w:after="0"/>
        <w:ind w:firstLine="450"/>
        <w:rPr>
          <w:rFonts w:ascii="Tahoma" w:hAnsi="Tahoma" w:cs="Tahoma"/>
        </w:rPr>
      </w:pPr>
    </w:p>
    <w:p w:rsidR="006707A3" w:rsidRPr="000A1C8E" w:rsidRDefault="006707A3" w:rsidP="002A01C2">
      <w:pPr>
        <w:pStyle w:val="PURBody-Indented"/>
        <w:spacing w:after="0"/>
        <w:ind w:firstLine="450"/>
        <w:rPr>
          <w:rFonts w:ascii="Tahoma" w:hAnsi="Tahoma" w:cs="Tahoma"/>
        </w:rPr>
      </w:pPr>
      <w:r w:rsidRPr="000A1C8E">
        <w:rPr>
          <w:rFonts w:ascii="Tahoma" w:hAnsi="Tahoma" w:cs="Tahoma"/>
          <w:sz w:val="18"/>
          <w:szCs w:val="18"/>
        </w:rPr>
        <w:lastRenderedPageBreak/>
        <w:t>Você poderá usar o software nas “Soluções da Web na Internet” para executar:</w:t>
      </w:r>
    </w:p>
    <w:p w:rsidR="002A01C2" w:rsidRPr="000A1C8E" w:rsidRDefault="002A01C2" w:rsidP="002A01C2">
      <w:pPr>
        <w:pStyle w:val="PURBody-Indented"/>
        <w:spacing w:after="0"/>
        <w:ind w:firstLine="450"/>
        <w:rPr>
          <w:rFonts w:ascii="Tahoma" w:hAnsi="Tahoma" w:cs="Tahoma"/>
        </w:rPr>
      </w:pPr>
    </w:p>
    <w:p w:rsidR="006707A3" w:rsidRPr="000A1C8E" w:rsidRDefault="006707A3" w:rsidP="00346F4B">
      <w:pPr>
        <w:pStyle w:val="PURBullet-Indented"/>
        <w:numPr>
          <w:ilvl w:val="0"/>
          <w:numId w:val="122"/>
        </w:numPr>
        <w:spacing w:after="60" w:line="240" w:lineRule="auto"/>
        <w:ind w:left="1440" w:hanging="360"/>
        <w:contextualSpacing w:val="0"/>
        <w:rPr>
          <w:rFonts w:ascii="Tahoma" w:hAnsi="Tahoma" w:cs="Tahoma"/>
          <w:spacing w:val="-2"/>
        </w:rPr>
      </w:pPr>
      <w:r w:rsidRPr="000A1C8E">
        <w:rPr>
          <w:rFonts w:ascii="Tahoma" w:hAnsi="Tahoma" w:cs="Tahoma"/>
          <w:spacing w:val="-2"/>
          <w:sz w:val="18"/>
          <w:szCs w:val="18"/>
        </w:rPr>
        <w:t>software de servidor Web (por exemplo, o Microsoft Internet Information Services) e gerenciamento de agentes de segurança (por exemplo, o agente System Center Operations Manager).</w:t>
      </w:r>
    </w:p>
    <w:p w:rsidR="006707A3" w:rsidRPr="000A1C8E" w:rsidRDefault="006707A3" w:rsidP="00346F4B">
      <w:pPr>
        <w:pStyle w:val="PURBullet-Indented"/>
        <w:numPr>
          <w:ilvl w:val="0"/>
          <w:numId w:val="122"/>
        </w:numPr>
        <w:spacing w:after="60" w:line="240" w:lineRule="auto"/>
        <w:ind w:left="1440" w:hanging="360"/>
        <w:contextualSpacing w:val="0"/>
        <w:rPr>
          <w:rFonts w:ascii="Tahoma" w:hAnsi="Tahoma" w:cs="Tahoma"/>
        </w:rPr>
      </w:pPr>
      <w:r w:rsidRPr="000A1C8E">
        <w:rPr>
          <w:rFonts w:ascii="Tahoma" w:hAnsi="Tahoma" w:cs="Tahoma"/>
          <w:sz w:val="18"/>
          <w:szCs w:val="18"/>
        </w:rPr>
        <w:t xml:space="preserve">software de mecanismo de banco de dados (por exemplo, Microsoft SQL Server) unicamente para oferecer o suporte a soluções da Internet. </w:t>
      </w:r>
    </w:p>
    <w:p w:rsidR="006707A3" w:rsidRPr="000A1C8E" w:rsidRDefault="006707A3" w:rsidP="00346F4B">
      <w:pPr>
        <w:pStyle w:val="PURBullet-Indented"/>
        <w:numPr>
          <w:ilvl w:val="0"/>
          <w:numId w:val="122"/>
        </w:numPr>
        <w:spacing w:after="60" w:line="240" w:lineRule="auto"/>
        <w:ind w:left="1440" w:hanging="360"/>
        <w:contextualSpacing w:val="0"/>
        <w:rPr>
          <w:rFonts w:ascii="Tahoma" w:hAnsi="Tahoma" w:cs="Tahoma"/>
        </w:rPr>
      </w:pPr>
      <w:r w:rsidRPr="000A1C8E">
        <w:rPr>
          <w:rFonts w:ascii="Tahoma" w:hAnsi="Tahoma" w:cs="Tahoma"/>
          <w:sz w:val="18"/>
          <w:szCs w:val="18"/>
        </w:rPr>
        <w:t>serviço DNS (Domain Name System) para fornecer resolução de nomes da Internet aos endereços IP, desde que não seja a função exclusiva dessa instância do servidor.</w:t>
      </w:r>
    </w:p>
    <w:p w:rsidR="00F1020A" w:rsidRPr="000A1C8E" w:rsidRDefault="00F1020A">
      <w:pPr>
        <w:rPr>
          <w:rFonts w:cs="Tahoma"/>
        </w:rPr>
      </w:pPr>
    </w:p>
    <w:p w:rsidR="002A01C2" w:rsidRPr="000A1C8E" w:rsidRDefault="00FE1A01" w:rsidP="002A01C2">
      <w:pPr>
        <w:spacing w:after="60"/>
        <w:ind w:left="720"/>
        <w:rPr>
          <w:rFonts w:cs="Tahoma"/>
        </w:rPr>
      </w:pPr>
      <w:r w:rsidRPr="000A1C8E">
        <w:rPr>
          <w:rFonts w:eastAsia="Calibri" w:cs="Tahoma"/>
          <w:b/>
          <w:szCs w:val="18"/>
        </w:rPr>
        <w:t>Usando o Windows Server 2012 para High Performance Computing (HPC)</w:t>
      </w:r>
    </w:p>
    <w:p w:rsidR="00376D4B" w:rsidRPr="000A1C8E" w:rsidRDefault="00FE1A01" w:rsidP="0033369F">
      <w:pPr>
        <w:ind w:left="720"/>
        <w:rPr>
          <w:rFonts w:cs="Tahoma"/>
        </w:rPr>
      </w:pPr>
      <w:r w:rsidRPr="000A1C8E">
        <w:rPr>
          <w:rFonts w:cs="Tahoma"/>
          <w:color w:val="000000"/>
        </w:rPr>
        <w:t>Quando o Windows Server 2012 Standard ou Datacenter é usado para High Performance Computing, você</w:t>
      </w:r>
      <w:r w:rsidR="0033369F" w:rsidRPr="000A1C8E">
        <w:rPr>
          <w:rFonts w:cs="Tahoma"/>
          <w:color w:val="000000"/>
        </w:rPr>
        <w:t> </w:t>
      </w:r>
      <w:r w:rsidRPr="000A1C8E">
        <w:rPr>
          <w:rFonts w:cs="Tahoma"/>
          <w:color w:val="000000"/>
        </w:rPr>
        <w:t>não precisa de CALs para acessar o software. Uma “Carga de Trabalho High Performance Computing (“HPC”)” significa uma carga de trabalho na qual o software para servidores é usado para executar um Nó</w:t>
      </w:r>
      <w:r w:rsidR="0033369F" w:rsidRPr="000A1C8E">
        <w:rPr>
          <w:rFonts w:cs="Tahoma"/>
          <w:color w:val="000000"/>
        </w:rPr>
        <w:t> </w:t>
      </w:r>
      <w:r w:rsidRPr="000A1C8E">
        <w:rPr>
          <w:rFonts w:cs="Tahoma"/>
          <w:color w:val="000000"/>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w:t>
      </w:r>
      <w:r w:rsidR="0033369F" w:rsidRPr="000A1C8E">
        <w:rPr>
          <w:rFonts w:cs="Tahoma"/>
          <w:color w:val="000000"/>
        </w:rPr>
        <w:t> </w:t>
      </w:r>
      <w:r w:rsidRPr="000A1C8E">
        <w:rPr>
          <w:rFonts w:cs="Tahoma"/>
          <w:color w:val="000000"/>
        </w:rPr>
        <w:t>Direitos de Uso de Produto para obter detalhes adicionais.</w:t>
      </w:r>
      <w:bookmarkEnd w:id="1668"/>
      <w:bookmarkEnd w:id="1669"/>
      <w:bookmarkEnd w:id="1670"/>
    </w:p>
    <w:p w:rsidR="00376D4B" w:rsidRPr="000A1C8E" w:rsidRDefault="00376D4B" w:rsidP="002A01C2">
      <w:pPr>
        <w:pStyle w:val="ListParagraph"/>
        <w:ind w:left="0"/>
        <w:contextualSpacing w:val="0"/>
        <w:rPr>
          <w:rFonts w:ascii="Tahoma" w:hAnsi="Tahoma" w:cs="Tahoma"/>
        </w:rPr>
      </w:pPr>
    </w:p>
    <w:p w:rsidR="00F745E1" w:rsidRPr="000A1C8E" w:rsidRDefault="00F745E1" w:rsidP="002A01C2">
      <w:pPr>
        <w:rPr>
          <w:rFonts w:cs="Tahoma"/>
        </w:rPr>
      </w:pPr>
    </w:p>
    <w:p w:rsidR="00F745E1" w:rsidRPr="000A1C8E" w:rsidRDefault="00A560B6" w:rsidP="00F745E1">
      <w:pPr>
        <w:pStyle w:val="Heading3"/>
        <w:ind w:left="360" w:hanging="360"/>
        <w:rPr>
          <w:rFonts w:ascii="Tahoma" w:hAnsi="Tahoma" w:cs="Tahoma"/>
        </w:rPr>
      </w:pPr>
      <w:bookmarkStart w:id="1672" w:name="_114_Windows_Server"/>
      <w:bookmarkStart w:id="1673" w:name="_112_Windows_Server"/>
      <w:bookmarkStart w:id="1674" w:name="_Toc336338373"/>
      <w:bookmarkStart w:id="1675" w:name="_Toc361829456"/>
      <w:bookmarkStart w:id="1676" w:name="Srv_111WinSvr08R2Datacenter"/>
      <w:bookmarkStart w:id="1677" w:name="Srv_115WinSvr08R2Datacenter"/>
      <w:bookmarkEnd w:id="1672"/>
      <w:bookmarkEnd w:id="1673"/>
      <w:r w:rsidRPr="000A1C8E">
        <w:rPr>
          <w:rFonts w:ascii="Tahoma" w:hAnsi="Tahoma" w:cs="Tahoma"/>
          <w:caps/>
          <w:color w:val="F66400"/>
          <w:sz w:val="22"/>
          <w:vertAlign w:val="superscript"/>
        </w:rPr>
        <w:t xml:space="preserve">113 </w:t>
      </w:r>
      <w:r w:rsidRPr="000A1C8E">
        <w:rPr>
          <w:rFonts w:ascii="Tahoma" w:hAnsi="Tahoma" w:cs="Tahoma"/>
          <w:color w:val="F66400"/>
          <w:sz w:val="22"/>
        </w:rPr>
        <w:t>Windows Server 2008 R2 Datacenter</w:t>
      </w:r>
      <w:bookmarkEnd w:id="1674"/>
      <w:bookmarkEnd w:id="1675"/>
      <w:r w:rsidRPr="000A1C8E">
        <w:rPr>
          <w:rFonts w:ascii="Tahoma" w:hAnsi="Tahoma" w:cs="Tahoma"/>
          <w:color w:val="F66400"/>
          <w:sz w:val="22"/>
        </w:rPr>
        <w:t xml:space="preserve"> </w:t>
      </w:r>
    </w:p>
    <w:bookmarkEnd w:id="1676"/>
    <w:bookmarkEnd w:id="1677"/>
    <w:p w:rsidR="00F745E1" w:rsidRPr="000A1C8E" w:rsidRDefault="00F745E1" w:rsidP="00F745E1">
      <w:pPr>
        <w:ind w:left="900"/>
        <w:rPr>
          <w:rFonts w:cs="Tahoma"/>
        </w:rPr>
      </w:pPr>
    </w:p>
    <w:p w:rsidR="002A01C2" w:rsidRPr="000A1C8E" w:rsidRDefault="00F745E1" w:rsidP="002A01C2">
      <w:pPr>
        <w:spacing w:after="60"/>
        <w:ind w:left="720"/>
        <w:rPr>
          <w:rFonts w:cs="Tahoma"/>
        </w:rPr>
      </w:pPr>
      <w:r w:rsidRPr="000A1C8E">
        <w:rPr>
          <w:rFonts w:cs="Tahoma"/>
          <w:b/>
          <w:color w:val="000000"/>
        </w:rPr>
        <w:t>Outorgas de licença associadas à alteração no modelo de licenciamento para Windows Server Datacenter</w:t>
      </w:r>
    </w:p>
    <w:p w:rsidR="00F745E1" w:rsidRPr="000A1C8E" w:rsidRDefault="00F745E1" w:rsidP="0033369F">
      <w:pPr>
        <w:spacing w:after="200"/>
        <w:ind w:left="720"/>
        <w:rPr>
          <w:rFonts w:cs="Tahoma"/>
        </w:rPr>
      </w:pPr>
      <w:r w:rsidRPr="000A1C8E">
        <w:rPr>
          <w:rFonts w:cs="Tahoma"/>
          <w:color w:val="000000"/>
        </w:rPr>
        <w:t>O Windows Server 2012 Datacenter será licenciado sob um novo modelo de licenciamento no qual cada licença poderá abranger até dois processadores físicos. Os clientes de Licenciamento por Volume com Software Assurance ativo para licenças do Windows Server 2008 R2 Datacenter em 1º de setembro de 2012 ou a partir da data da primeira disponibilização do Windows Server 2012 para download no Volume Licensing Service Center (Centro de Atendimento de Licenciamento por Volume), o que ocorrer primeiro, (“Licenças Qualificadas”) poderão</w:t>
      </w:r>
      <w:r w:rsidRPr="000A1C8E">
        <w:rPr>
          <w:rFonts w:eastAsia="Calibri" w:cs="Tahoma"/>
          <w:szCs w:val="18"/>
        </w:rPr>
        <w:t xml:space="preserve"> atualizar para e usar o software Windows Server 2012 Datacenter em vez</w:t>
      </w:r>
      <w:r w:rsidR="0033369F" w:rsidRPr="000A1C8E">
        <w:rPr>
          <w:rFonts w:eastAsia="Calibri" w:cs="Tahoma"/>
          <w:szCs w:val="18"/>
        </w:rPr>
        <w:t> </w:t>
      </w:r>
      <w:r w:rsidRPr="000A1C8E">
        <w:rPr>
          <w:rFonts w:eastAsia="Calibri" w:cs="Tahoma"/>
          <w:szCs w:val="18"/>
        </w:rPr>
        <w:t xml:space="preserve">do Windows Server 2008 R2 Datacenter. Para facilitar essa atualização, para cada duas Licenças Qualificadas que o cliente possui, ele terá uma licença do processador Windows Server 2012 Datacenter mediante a disponibilização do Windows Server 2012. </w:t>
      </w:r>
    </w:p>
    <w:p w:rsidR="00F745E1" w:rsidRPr="000A1C8E" w:rsidRDefault="00F745E1" w:rsidP="004F6A95">
      <w:pPr>
        <w:numPr>
          <w:ilvl w:val="0"/>
          <w:numId w:val="52"/>
        </w:numPr>
        <w:spacing w:afterLines="60" w:after="144"/>
        <w:ind w:left="1440" w:hanging="274"/>
        <w:rPr>
          <w:rFonts w:cs="Tahoma"/>
          <w:spacing w:val="-2"/>
        </w:rPr>
      </w:pPr>
      <w:r w:rsidRPr="000A1C8E">
        <w:rPr>
          <w:rFonts w:cs="Tahoma"/>
          <w:color w:val="000000"/>
          <w:spacing w:val="-2"/>
        </w:rPr>
        <w:t>Se um cliente tiver um número ímpar de Licenças Qualificadas, o cliente precisará arredondar para baixo para o próximo número par para determinar sua concessão.</w:t>
      </w:r>
      <w:r w:rsidR="00DC6D8B" w:rsidRPr="000A1C8E">
        <w:rPr>
          <w:rFonts w:cs="Tahoma"/>
          <w:color w:val="000000"/>
          <w:spacing w:val="-2"/>
        </w:rPr>
        <w:t xml:space="preserve"> </w:t>
      </w:r>
      <w:r w:rsidRPr="000A1C8E">
        <w:rPr>
          <w:rFonts w:cs="Tahoma"/>
          <w:color w:val="000000"/>
          <w:spacing w:val="-2"/>
        </w:rPr>
        <w:t xml:space="preserve">Por exemplo, um cliente que tenha três Licenças Qualificadas receberá no total uma licença do Windows Server 2012 Datacenter. </w:t>
      </w:r>
    </w:p>
    <w:p w:rsidR="00F745E1" w:rsidRPr="000A1C8E" w:rsidRDefault="00F745E1" w:rsidP="004F6A95">
      <w:pPr>
        <w:numPr>
          <w:ilvl w:val="0"/>
          <w:numId w:val="52"/>
        </w:numPr>
        <w:tabs>
          <w:tab w:val="left" w:pos="990"/>
        </w:tabs>
        <w:spacing w:afterLines="60" w:after="144"/>
        <w:ind w:left="1440" w:hanging="274"/>
        <w:rPr>
          <w:rFonts w:cs="Tahoma"/>
        </w:rPr>
      </w:pPr>
      <w:r w:rsidRPr="000A1C8E">
        <w:rPr>
          <w:rFonts w:eastAsia="Calibri" w:cs="Tahoma"/>
          <w:szCs w:val="18"/>
        </w:rPr>
        <w:t>As licenças adquiridas sob esta concessão incluirão cobertura do Software Assurance.</w:t>
      </w:r>
      <w:r w:rsidR="00DC6D8B" w:rsidRPr="000A1C8E">
        <w:rPr>
          <w:rFonts w:eastAsia="Calibri" w:cs="Tahoma"/>
          <w:szCs w:val="18"/>
        </w:rPr>
        <w:t xml:space="preserve"> </w:t>
      </w:r>
      <w:r w:rsidRPr="000A1C8E">
        <w:rPr>
          <w:rFonts w:eastAsia="Calibri" w:cs="Tahoma"/>
          <w:szCs w:val="18"/>
        </w:rPr>
        <w:t>Tal cobertura expira quando a cobertura correspondente nas Licenças Qualificadas expirar.</w:t>
      </w:r>
    </w:p>
    <w:p w:rsidR="00F745E1" w:rsidRPr="000A1C8E" w:rsidRDefault="00F745E1" w:rsidP="004F6A95">
      <w:pPr>
        <w:numPr>
          <w:ilvl w:val="0"/>
          <w:numId w:val="52"/>
        </w:numPr>
        <w:tabs>
          <w:tab w:val="left" w:pos="990"/>
        </w:tabs>
        <w:spacing w:afterLines="60" w:after="144"/>
        <w:ind w:left="1440" w:hanging="274"/>
        <w:rPr>
          <w:rFonts w:cs="Tahoma"/>
        </w:rPr>
      </w:pPr>
      <w:r w:rsidRPr="000A1C8E">
        <w:rPr>
          <w:rFonts w:eastAsia="Calibri" w:cs="Tahoma"/>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F745E1" w:rsidRPr="000A1C8E" w:rsidRDefault="00F745E1" w:rsidP="004F6A95">
      <w:pPr>
        <w:numPr>
          <w:ilvl w:val="0"/>
          <w:numId w:val="56"/>
        </w:numPr>
        <w:spacing w:afterLines="60" w:after="144"/>
        <w:ind w:left="1440" w:hanging="274"/>
        <w:rPr>
          <w:rFonts w:cs="Tahoma"/>
        </w:rPr>
      </w:pPr>
      <w:r w:rsidRPr="000A1C8E">
        <w:rPr>
          <w:rFonts w:eastAsia="Calibri" w:cs="Tahoma"/>
          <w:szCs w:val="18"/>
        </w:rPr>
        <w:t>Na atualização para o Windows Server 2012 Datacenter sob essa concessão, as Licenças Qualificadas do Windows Server 2008 R2 Datacenter existentes do cliente não serão mais válidas.</w:t>
      </w:r>
    </w:p>
    <w:p w:rsidR="00F745E1" w:rsidRPr="000A1C8E" w:rsidRDefault="00F745E1" w:rsidP="004F6A95">
      <w:pPr>
        <w:numPr>
          <w:ilvl w:val="0"/>
          <w:numId w:val="56"/>
        </w:numPr>
        <w:spacing w:afterLines="60" w:after="144"/>
        <w:ind w:left="1440" w:hanging="274"/>
        <w:rPr>
          <w:rFonts w:cs="Tahoma"/>
        </w:rPr>
      </w:pPr>
      <w:r w:rsidRPr="000A1C8E">
        <w:rPr>
          <w:rFonts w:cs="Tahoma"/>
          <w:color w:val="000000"/>
        </w:rPr>
        <w:t xml:space="preserve">As licenças do Windows Server 2008 R2 Datacenter </w:t>
      </w:r>
      <w:r w:rsidRPr="000A1C8E">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 propósitos da concessão supracitada.</w:t>
      </w:r>
      <w:r w:rsidR="00DC6D8B" w:rsidRPr="000A1C8E">
        <w:rPr>
          <w:rFonts w:cs="Tahoma"/>
          <w:bCs/>
          <w:color w:val="000000"/>
          <w:szCs w:val="18"/>
        </w:rPr>
        <w:t xml:space="preserve"> </w:t>
      </w:r>
    </w:p>
    <w:p w:rsidR="00FD1141" w:rsidRPr="000A1C8E" w:rsidRDefault="00FD1141" w:rsidP="004F6A95">
      <w:pPr>
        <w:numPr>
          <w:ilvl w:val="0"/>
          <w:numId w:val="56"/>
        </w:numPr>
        <w:spacing w:afterLines="60" w:after="144"/>
        <w:ind w:left="1440" w:hanging="274"/>
        <w:rPr>
          <w:rFonts w:cs="Tahoma"/>
        </w:rPr>
      </w:pPr>
      <w:r w:rsidRPr="000A1C8E">
        <w:rPr>
          <w:rFonts w:cs="Tahoma"/>
        </w:rPr>
        <w:t xml:space="preserve">Licenças de um único processador do Windows Server Datacenter adquiridas depois de 1º de setembro de 2012 com cobertura de Software Assurance também são Licenças Qualificadas para os propósitos da concessão supracitada. </w:t>
      </w:r>
    </w:p>
    <w:p w:rsidR="00F745E1" w:rsidRPr="000A1C8E" w:rsidRDefault="00F745E1" w:rsidP="004F6A95">
      <w:pPr>
        <w:numPr>
          <w:ilvl w:val="0"/>
          <w:numId w:val="56"/>
        </w:numPr>
        <w:spacing w:afterLines="60" w:after="144"/>
        <w:ind w:left="1440" w:hanging="274"/>
        <w:rPr>
          <w:rFonts w:cs="Tahoma"/>
        </w:rPr>
      </w:pPr>
      <w:r w:rsidRPr="000A1C8E">
        <w:rPr>
          <w:rFonts w:cs="Tahoma"/>
          <w:bCs/>
          <w:color w:val="000000"/>
          <w:szCs w:val="18"/>
        </w:rPr>
        <w:t>Não obstante a concessão das licenças do Windows Server 2012 Datacenter e qualquer atualização para esta versão, as obrigações de pagar montantes devidos e pendentes pelas Licenças Qualificadas e cobertura permanecem em pleno vigor e efeito.</w:t>
      </w:r>
    </w:p>
    <w:p w:rsidR="00FD1141" w:rsidRPr="000A1C8E" w:rsidRDefault="00BF7C75" w:rsidP="00FD1141">
      <w:pPr>
        <w:ind w:left="720"/>
        <w:rPr>
          <w:rFonts w:cs="Tahoma"/>
        </w:rPr>
      </w:pPr>
      <w:r w:rsidRPr="000A1C8E">
        <w:rPr>
          <w:rFonts w:cs="Tahoma"/>
          <w:color w:val="000000"/>
          <w:szCs w:val="18"/>
        </w:rPr>
        <w:lastRenderedPageBreak/>
        <w:t>Windows Server 2012 Datacenter – 1 SKU de Licença de Processador; o Windows Server 2012 está mudando para um Processador mais o modelo de licenciamento de CAL, com cada licença abrangendo dois processadores.</w:t>
      </w:r>
      <w:r w:rsidR="00DC6D8B" w:rsidRPr="000A1C8E">
        <w:rPr>
          <w:rFonts w:cs="Tahoma"/>
          <w:color w:val="000000"/>
          <w:szCs w:val="18"/>
        </w:rPr>
        <w:t xml:space="preserve"> </w:t>
      </w:r>
      <w:r w:rsidRPr="000A1C8E">
        <w:rPr>
          <w:rFonts w:cs="Tahoma"/>
          <w:color w:val="000000"/>
          <w:szCs w:val="18"/>
        </w:rPr>
        <w:t>A oferta no. P71-01031 foi intencionalmente incluída na lista de preços de setembro e não deve ser usada para nenhum programa que não seja o SPLA.</w:t>
      </w:r>
      <w:r w:rsidR="00DC6D8B" w:rsidRPr="000A1C8E">
        <w:rPr>
          <w:rFonts w:cs="Tahoma"/>
          <w:color w:val="000000"/>
          <w:szCs w:val="18"/>
        </w:rPr>
        <w:t xml:space="preserve"> </w:t>
      </w:r>
      <w:r w:rsidRPr="000A1C8E">
        <w:rPr>
          <w:rFonts w:cs="Tahoma"/>
          <w:color w:val="000000"/>
          <w:szCs w:val="18"/>
        </w:rPr>
        <w:t>Essa oferta abrange um único processador; os clientes que a adquirirem não serão cobertos pelos direitos de uso atuais.</w:t>
      </w:r>
      <w:r w:rsidR="00DC6D8B" w:rsidRPr="000A1C8E">
        <w:rPr>
          <w:rFonts w:cs="Tahoma"/>
          <w:color w:val="000000"/>
          <w:szCs w:val="18"/>
        </w:rPr>
        <w:t xml:space="preserve"> </w:t>
      </w:r>
      <w:r w:rsidRPr="000A1C8E">
        <w:rPr>
          <w:rFonts w:cs="Tahoma"/>
          <w:color w:val="000000"/>
          <w:szCs w:val="18"/>
        </w:rPr>
        <w:t xml:space="preserve">Essa SKU só deve ser usada pelos clientes SPLA. A oferta correta para todos os programas </w:t>
      </w:r>
      <w:r w:rsidRPr="000A1C8E">
        <w:rPr>
          <w:rFonts w:cs="Tahoma"/>
          <w:szCs w:val="18"/>
        </w:rPr>
        <w:t>que não sejam o SPLA é a oferta no. P71-07280. Os clientes que já adquiriram a oferta no. P71-01031, consulte a concessão de migração acima.</w:t>
      </w:r>
    </w:p>
    <w:p w:rsidR="00202A44" w:rsidRPr="000A1C8E" w:rsidRDefault="00202A44" w:rsidP="00376D4B">
      <w:pPr>
        <w:ind w:left="720"/>
        <w:rPr>
          <w:rFonts w:cs="Tahoma"/>
        </w:rPr>
      </w:pPr>
    </w:p>
    <w:p w:rsidR="00F745E1" w:rsidRPr="000A1C8E" w:rsidRDefault="00202A44" w:rsidP="00BA1490">
      <w:pPr>
        <w:pStyle w:val="PURBody-Indented"/>
        <w:ind w:left="720"/>
        <w:rPr>
          <w:rFonts w:ascii="Tahoma" w:hAnsi="Tahoma" w:cs="Tahoma"/>
        </w:rPr>
      </w:pPr>
      <w:r w:rsidRPr="000A1C8E">
        <w:rPr>
          <w:rFonts w:ascii="Tahoma" w:hAnsi="Tahoma" w:cs="Tahoma"/>
          <w:color w:val="000000"/>
          <w:sz w:val="18"/>
          <w:szCs w:val="18"/>
        </w:rPr>
        <w:t xml:space="preserve">Windows Server 2012 Datacenter: </w:t>
      </w:r>
      <w:r w:rsidRPr="000A1C8E">
        <w:rPr>
          <w:rFonts w:ascii="Tahoma" w:hAnsi="Tahoma" w:cs="Tahoma"/>
          <w:sz w:val="18"/>
          <w:szCs w:val="18"/>
        </w:rPr>
        <w:t>Você poderá executar uma instância do Windows Server Datacenter, Enterprise, Standard ou Essentials (a mesma ou qualquer versão anterior) em vez do Windows Server 2012 Datacenter em qualquer OSE em seu servidor licenciado.</w:t>
      </w:r>
    </w:p>
    <w:p w:rsidR="00BF7C75" w:rsidRPr="000A1C8E" w:rsidRDefault="00BF7C75" w:rsidP="00F745E1">
      <w:pPr>
        <w:pStyle w:val="ListParagraph"/>
        <w:ind w:left="0"/>
        <w:contextualSpacing w:val="0"/>
        <w:rPr>
          <w:rFonts w:ascii="Tahoma" w:hAnsi="Tahoma" w:cs="Tahoma"/>
          <w:sz w:val="18"/>
          <w:szCs w:val="18"/>
        </w:rPr>
      </w:pPr>
    </w:p>
    <w:p w:rsidR="002A01C2" w:rsidRPr="000A1C8E" w:rsidRDefault="002A01C2" w:rsidP="00F745E1">
      <w:pPr>
        <w:pStyle w:val="ListParagraph"/>
        <w:ind w:left="0"/>
        <w:contextualSpacing w:val="0"/>
        <w:rPr>
          <w:rFonts w:ascii="Tahoma" w:hAnsi="Tahoma" w:cs="Tahoma"/>
          <w:sz w:val="18"/>
          <w:szCs w:val="18"/>
        </w:rPr>
      </w:pPr>
    </w:p>
    <w:p w:rsidR="00F745E1" w:rsidRPr="000A1C8E" w:rsidRDefault="00A560B6" w:rsidP="00F745E1">
      <w:pPr>
        <w:pStyle w:val="Heading3"/>
        <w:rPr>
          <w:rFonts w:ascii="Tahoma" w:hAnsi="Tahoma" w:cs="Tahoma"/>
        </w:rPr>
      </w:pPr>
      <w:bookmarkStart w:id="1678" w:name="_118_Windows_Server"/>
      <w:bookmarkStart w:id="1679" w:name="_110_Windows_Server"/>
      <w:bookmarkStart w:id="1680" w:name="_113_Windows_Server"/>
      <w:bookmarkStart w:id="1681" w:name="_Toc336338374"/>
      <w:bookmarkStart w:id="1682" w:name="_Toc361829457"/>
      <w:bookmarkStart w:id="1683" w:name="Srv_102WindowsSvr08R2Std"/>
      <w:bookmarkStart w:id="1684" w:name="Srv_114WindowsSvr08R2Std"/>
      <w:bookmarkStart w:id="1685" w:name="Srv_118WindowsSvr08R2Std"/>
      <w:bookmarkStart w:id="1686" w:name="Srv_99WindowsSvr08R2ItaniumSys"/>
      <w:bookmarkStart w:id="1687" w:name="Srv_100WindowsSvr08R2ItaniumSys"/>
      <w:bookmarkEnd w:id="1678"/>
      <w:bookmarkEnd w:id="1679"/>
      <w:bookmarkEnd w:id="1680"/>
      <w:r w:rsidRPr="000A1C8E">
        <w:rPr>
          <w:rStyle w:val="Heading3Char"/>
          <w:rFonts w:ascii="Tahoma" w:hAnsi="Tahoma" w:cs="Tahoma"/>
          <w:b/>
          <w:caps/>
          <w:color w:val="F66400"/>
          <w:sz w:val="22"/>
          <w:vertAlign w:val="superscript"/>
        </w:rPr>
        <w:t xml:space="preserve">114 </w:t>
      </w:r>
      <w:r w:rsidRPr="000A1C8E">
        <w:rPr>
          <w:rStyle w:val="Heading3Char"/>
          <w:rFonts w:ascii="Tahoma" w:hAnsi="Tahoma" w:cs="Tahoma"/>
          <w:b/>
          <w:color w:val="F66400"/>
          <w:sz w:val="22"/>
        </w:rPr>
        <w:t>Windows Server 2008 R2 Standard</w:t>
      </w:r>
      <w:bookmarkEnd w:id="1681"/>
      <w:bookmarkEnd w:id="1682"/>
      <w:r w:rsidRPr="000A1C8E">
        <w:rPr>
          <w:rStyle w:val="Heading3Char"/>
          <w:rFonts w:ascii="Tahoma" w:hAnsi="Tahoma" w:cs="Tahoma"/>
          <w:b/>
          <w:color w:val="F66400"/>
          <w:sz w:val="22"/>
        </w:rPr>
        <w:t xml:space="preserve"> </w:t>
      </w:r>
    </w:p>
    <w:bookmarkEnd w:id="1683"/>
    <w:bookmarkEnd w:id="1684"/>
    <w:bookmarkEnd w:id="1685"/>
    <w:p w:rsidR="00376D4B" w:rsidRPr="000A1C8E" w:rsidRDefault="00376D4B" w:rsidP="002A01C2">
      <w:pPr>
        <w:tabs>
          <w:tab w:val="left" w:pos="360"/>
        </w:tabs>
        <w:ind w:left="360"/>
        <w:rPr>
          <w:rFonts w:cs="Tahoma"/>
        </w:rPr>
      </w:pPr>
    </w:p>
    <w:p w:rsidR="002A01C2" w:rsidRPr="000A1C8E" w:rsidRDefault="00F745E1" w:rsidP="002A01C2">
      <w:pPr>
        <w:spacing w:after="60"/>
        <w:ind w:left="720"/>
        <w:rPr>
          <w:rFonts w:cs="Tahoma"/>
        </w:rPr>
      </w:pPr>
      <w:r w:rsidRPr="000A1C8E">
        <w:rPr>
          <w:rFonts w:cs="Tahoma"/>
          <w:b/>
          <w:color w:val="000000"/>
        </w:rPr>
        <w:t>Outorgas de licença associadas à alteração no modelo de licenciamento para Windows Server Standard</w:t>
      </w:r>
    </w:p>
    <w:p w:rsidR="00F745E1" w:rsidRPr="000A1C8E" w:rsidRDefault="00F745E1" w:rsidP="00346F4B">
      <w:pPr>
        <w:numPr>
          <w:ilvl w:val="0"/>
          <w:numId w:val="52"/>
        </w:numPr>
        <w:tabs>
          <w:tab w:val="left" w:pos="1260"/>
          <w:tab w:val="left" w:pos="1440"/>
        </w:tabs>
        <w:ind w:left="1440"/>
        <w:rPr>
          <w:rFonts w:cs="Tahoma"/>
        </w:rPr>
      </w:pPr>
      <w:r w:rsidRPr="000A1C8E">
        <w:rPr>
          <w:rFonts w:cs="Tahoma"/>
          <w:color w:val="000000"/>
        </w:rPr>
        <w:t>O Windows Server 2008 R2 Standard será a última versão do Windows Server licenciada sob o modelo de licenciamento de Servidor/CAL. O Windows Server 2012 Standard será licenciado sob um novo modelo de licenciamento no qual cada licença poderá licenciar até dois processadores físicos. Os clientes de Licenciamento por Volume com Software Assurance ativo para licenças do Windows Server 2008 R2 Standard em 1º de setembro de 2012 ou a partir da data da primeira disponibilização do Windows Server 2012 para download no Volume Licensing Service Center (Centro de Atendimento de Licenciamento por Volume), o que ocorrer primeiro, (“Licenças Qualificadas”) poderão</w:t>
      </w:r>
      <w:r w:rsidRPr="000A1C8E">
        <w:rPr>
          <w:rFonts w:eastAsia="Calibri" w:cs="Tahoma"/>
          <w:szCs w:val="18"/>
        </w:rPr>
        <w:t xml:space="preserve"> atualizar para e usar o software Windows Server 2012 Standard em vez do Windows Server 2008 R2 Standard. Para facilitar essa atualização, para cada Licença Qualificada que o cliente possui, ele terá, mediante a disponibilização do Windows Server 2012:</w:t>
      </w:r>
    </w:p>
    <w:p w:rsidR="00F745E1" w:rsidRPr="000A1C8E" w:rsidRDefault="00F745E1" w:rsidP="00346F4B">
      <w:pPr>
        <w:numPr>
          <w:ilvl w:val="0"/>
          <w:numId w:val="52"/>
        </w:numPr>
        <w:tabs>
          <w:tab w:val="left" w:pos="1260"/>
          <w:tab w:val="left" w:pos="1440"/>
        </w:tabs>
        <w:ind w:left="1440"/>
        <w:rPr>
          <w:rFonts w:cs="Tahoma"/>
        </w:rPr>
      </w:pPr>
      <w:r w:rsidRPr="000A1C8E">
        <w:rPr>
          <w:rFonts w:eastAsia="Calibri" w:cs="Tahoma"/>
          <w:szCs w:val="18"/>
        </w:rPr>
        <w:t>Uma licença do Windows Server 2012 Standard OU</w:t>
      </w:r>
    </w:p>
    <w:p w:rsidR="00F745E1" w:rsidRPr="000A1C8E" w:rsidRDefault="00F745E1" w:rsidP="00346F4B">
      <w:pPr>
        <w:numPr>
          <w:ilvl w:val="0"/>
          <w:numId w:val="52"/>
        </w:numPr>
        <w:tabs>
          <w:tab w:val="left" w:pos="1260"/>
          <w:tab w:val="left" w:pos="1440"/>
        </w:tabs>
        <w:ind w:left="1440"/>
        <w:rPr>
          <w:rFonts w:cs="Tahoma"/>
        </w:rPr>
      </w:pPr>
      <w:r w:rsidRPr="000A1C8E">
        <w:rPr>
          <w:rFonts w:eastAsia="Calibri" w:cs="Tahoma"/>
          <w:szCs w:val="18"/>
        </w:rPr>
        <w:t>Duas licenças do Windows Server 2012 Standard se o número real de processadores físicos no servidor no qual a Licença Qualificada está atribuída exceder duas. (Em tais casos, os clientes devem criar um registro de configuração do hardware físico oferecendo suporte ao software antes da expiração da cobertura de Software Assurance sob o contrato atual, quer usando a ferramenta Microsoft MAP ou qualquer software equivalente. Essa concessão está disponível somente para uma Licença Qualificada por servidor.)</w:t>
      </w:r>
    </w:p>
    <w:p w:rsidR="00F745E1" w:rsidRPr="000A1C8E" w:rsidRDefault="00F745E1" w:rsidP="00346F4B">
      <w:pPr>
        <w:numPr>
          <w:ilvl w:val="0"/>
          <w:numId w:val="52"/>
        </w:numPr>
        <w:tabs>
          <w:tab w:val="left" w:pos="1260"/>
          <w:tab w:val="left" w:pos="1440"/>
        </w:tabs>
        <w:ind w:left="1440"/>
        <w:rPr>
          <w:rFonts w:cs="Tahoma"/>
        </w:rPr>
      </w:pPr>
      <w:r w:rsidRPr="000A1C8E">
        <w:rPr>
          <w:rFonts w:eastAsia="Calibri" w:cs="Tahoma"/>
          <w:szCs w:val="18"/>
        </w:rPr>
        <w:t>As licenças adquiridas sob esta concessão incluirão cobertura do Software Assurance.</w:t>
      </w:r>
      <w:r w:rsidR="00DC6D8B" w:rsidRPr="000A1C8E">
        <w:rPr>
          <w:rFonts w:eastAsia="Calibri" w:cs="Tahoma"/>
          <w:szCs w:val="18"/>
        </w:rPr>
        <w:t xml:space="preserve"> </w:t>
      </w:r>
      <w:r w:rsidRPr="000A1C8E">
        <w:rPr>
          <w:rFonts w:eastAsia="Calibri" w:cs="Tahoma"/>
          <w:szCs w:val="18"/>
        </w:rPr>
        <w:t>Tal cobertura expira quando a cobertura correspondente nas Licenças Qualificadas expirar.</w:t>
      </w:r>
    </w:p>
    <w:p w:rsidR="00F745E1" w:rsidRPr="000A1C8E" w:rsidRDefault="00F745E1" w:rsidP="00346F4B">
      <w:pPr>
        <w:numPr>
          <w:ilvl w:val="0"/>
          <w:numId w:val="52"/>
        </w:numPr>
        <w:tabs>
          <w:tab w:val="left" w:pos="1260"/>
          <w:tab w:val="left" w:pos="1440"/>
        </w:tabs>
        <w:ind w:left="1440"/>
        <w:rPr>
          <w:rFonts w:cs="Tahoma"/>
        </w:rPr>
      </w:pPr>
      <w:r w:rsidRPr="000A1C8E">
        <w:rPr>
          <w:rFonts w:eastAsia="Calibri" w:cs="Tahoma"/>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F745E1" w:rsidRPr="000A1C8E" w:rsidRDefault="00F745E1" w:rsidP="00346F4B">
      <w:pPr>
        <w:numPr>
          <w:ilvl w:val="0"/>
          <w:numId w:val="52"/>
        </w:numPr>
        <w:tabs>
          <w:tab w:val="left" w:pos="1260"/>
          <w:tab w:val="left" w:pos="1440"/>
        </w:tabs>
        <w:ind w:left="1440"/>
        <w:rPr>
          <w:rFonts w:cs="Tahoma"/>
        </w:rPr>
      </w:pPr>
      <w:r w:rsidRPr="000A1C8E">
        <w:rPr>
          <w:rFonts w:eastAsia="Calibri" w:cs="Tahoma"/>
          <w:szCs w:val="18"/>
        </w:rPr>
        <w:t>Na atualização para o Windows Server 2012 Standard sob essa concessão, as licenças do Windows Server 2008 R2 Standard existentes do cliente não serão mais válidas.</w:t>
      </w:r>
    </w:p>
    <w:p w:rsidR="00F745E1" w:rsidRPr="000A1C8E" w:rsidRDefault="00F745E1" w:rsidP="00346F4B">
      <w:pPr>
        <w:numPr>
          <w:ilvl w:val="0"/>
          <w:numId w:val="56"/>
        </w:numPr>
        <w:tabs>
          <w:tab w:val="left" w:pos="1440"/>
        </w:tabs>
        <w:ind w:left="1440"/>
        <w:rPr>
          <w:rFonts w:cs="Tahoma"/>
        </w:rPr>
      </w:pPr>
      <w:r w:rsidRPr="000A1C8E">
        <w:rPr>
          <w:rFonts w:cs="Tahoma"/>
          <w:color w:val="000000"/>
        </w:rPr>
        <w:t xml:space="preserve">As licenças do Windows Server 2008 R2 Standard </w:t>
      </w:r>
      <w:r w:rsidRPr="000A1C8E">
        <w:rPr>
          <w:rFonts w:cs="Tahoma"/>
          <w:bCs/>
          <w:color w:val="000000"/>
          <w:szCs w:val="18"/>
        </w:rPr>
        <w:t>adquiridas posteriormente no mesmo prazo de registro, como parte de um processo de adequação (“true-up”) programado do cliente Enterprise, Enterprise Subscription, Open Value Subscription ou EES também são Licenças Qualificadas para os propósitos da outorga de licença supracitada.</w:t>
      </w:r>
    </w:p>
    <w:p w:rsidR="00F745E1" w:rsidRPr="000A1C8E" w:rsidRDefault="00F745E1" w:rsidP="00346F4B">
      <w:pPr>
        <w:numPr>
          <w:ilvl w:val="0"/>
          <w:numId w:val="56"/>
        </w:numPr>
        <w:tabs>
          <w:tab w:val="left" w:pos="1440"/>
        </w:tabs>
        <w:ind w:left="1440"/>
        <w:rPr>
          <w:rFonts w:cs="Tahoma"/>
        </w:rPr>
      </w:pPr>
      <w:r w:rsidRPr="000A1C8E">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F745E1" w:rsidRPr="000A1C8E" w:rsidRDefault="00F745E1" w:rsidP="002A01C2">
      <w:pPr>
        <w:tabs>
          <w:tab w:val="left" w:pos="1440"/>
        </w:tabs>
        <w:ind w:left="1440"/>
        <w:rPr>
          <w:rFonts w:cs="Tahoma"/>
        </w:rPr>
      </w:pPr>
    </w:p>
    <w:bookmarkEnd w:id="1686"/>
    <w:bookmarkEnd w:id="1687"/>
    <w:p w:rsidR="002A01C2" w:rsidRPr="000A1C8E" w:rsidRDefault="005403C8" w:rsidP="002A01C2">
      <w:pPr>
        <w:pStyle w:val="PURBody-Indented"/>
        <w:spacing w:after="60"/>
        <w:ind w:left="720"/>
        <w:rPr>
          <w:rFonts w:ascii="Tahoma" w:hAnsi="Tahoma" w:cs="Tahoma"/>
        </w:rPr>
      </w:pPr>
      <w:r w:rsidRPr="000A1C8E">
        <w:rPr>
          <w:rFonts w:ascii="Tahoma" w:hAnsi="Tahoma" w:cs="Tahoma"/>
          <w:b/>
          <w:color w:val="000000"/>
          <w:sz w:val="18"/>
          <w:szCs w:val="18"/>
        </w:rPr>
        <w:t>Windows Server 2012 Standard</w:t>
      </w:r>
    </w:p>
    <w:p w:rsidR="005403C8" w:rsidRPr="000A1C8E" w:rsidRDefault="005403C8" w:rsidP="002A01C2">
      <w:pPr>
        <w:pStyle w:val="PURBody-Indented"/>
        <w:spacing w:after="0"/>
        <w:ind w:left="720"/>
        <w:rPr>
          <w:rFonts w:ascii="Tahoma" w:hAnsi="Tahoma" w:cs="Tahoma"/>
        </w:rPr>
      </w:pPr>
      <w:r w:rsidRPr="000A1C8E">
        <w:rPr>
          <w:rFonts w:ascii="Tahoma" w:hAnsi="Tahoma" w:cs="Tahoma"/>
          <w:sz w:val="18"/>
        </w:rPr>
        <w:t>Você poderá executar uma instância do Windows Server Enterprise, Standard ou Essentials (a mesma ou qualquer versão anterior) em vez do Windows Server 2012 Standard em qualquer OSE em seu servidor licenciado.</w:t>
      </w:r>
    </w:p>
    <w:p w:rsidR="00F745E1" w:rsidRPr="000A1C8E" w:rsidRDefault="00F745E1" w:rsidP="002A01C2">
      <w:pPr>
        <w:pStyle w:val="ListParagraph"/>
        <w:ind w:left="0"/>
        <w:contextualSpacing w:val="0"/>
        <w:rPr>
          <w:rFonts w:ascii="Tahoma" w:hAnsi="Tahoma" w:cs="Tahoma"/>
        </w:rPr>
      </w:pPr>
    </w:p>
    <w:p w:rsidR="00103AD5" w:rsidRPr="000A1C8E" w:rsidRDefault="00103AD5" w:rsidP="002A01C2">
      <w:pPr>
        <w:pStyle w:val="ListParagraph"/>
        <w:ind w:left="0"/>
        <w:contextualSpacing w:val="0"/>
        <w:rPr>
          <w:rFonts w:ascii="Tahoma" w:hAnsi="Tahoma" w:cs="Tahoma"/>
        </w:rPr>
      </w:pPr>
    </w:p>
    <w:p w:rsidR="00B54BAC" w:rsidRPr="000A1C8E" w:rsidRDefault="00B54BAC" w:rsidP="002A01C2">
      <w:pPr>
        <w:pStyle w:val="ListParagraph"/>
        <w:ind w:left="0"/>
        <w:contextualSpacing w:val="0"/>
        <w:rPr>
          <w:rFonts w:ascii="Tahoma" w:hAnsi="Tahoma" w:cs="Tahoma"/>
        </w:rPr>
      </w:pPr>
    </w:p>
    <w:p w:rsidR="00816F76" w:rsidRPr="000A1C8E" w:rsidRDefault="00A560B6" w:rsidP="00EF2279">
      <w:pPr>
        <w:pStyle w:val="Heading3"/>
        <w:rPr>
          <w:rFonts w:ascii="Tahoma" w:hAnsi="Tahoma" w:cs="Tahoma"/>
        </w:rPr>
      </w:pPr>
      <w:bookmarkStart w:id="1688" w:name="_119_Windows_Web"/>
      <w:bookmarkStart w:id="1689" w:name="_111_Windows_Web"/>
      <w:bookmarkStart w:id="1690" w:name="_114_Windows_Web"/>
      <w:bookmarkStart w:id="1691" w:name="_115_Windows_Web"/>
      <w:bookmarkStart w:id="1692" w:name="_Toc336338375"/>
      <w:bookmarkStart w:id="1693" w:name="_Toc361829458"/>
      <w:bookmarkStart w:id="1694" w:name="Srv_111WinSmallBizSVR2011Addon"/>
      <w:bookmarkStart w:id="1695" w:name="Srv_116WinSmallBizSVR2011Addon"/>
      <w:bookmarkStart w:id="1696" w:name="Srv_120WinSmallBizSVR2011Addon"/>
      <w:bookmarkEnd w:id="1671"/>
      <w:bookmarkEnd w:id="1688"/>
      <w:bookmarkEnd w:id="1689"/>
      <w:bookmarkEnd w:id="1690"/>
      <w:bookmarkEnd w:id="1691"/>
      <w:r w:rsidRPr="000A1C8E">
        <w:rPr>
          <w:rFonts w:ascii="Tahoma" w:hAnsi="Tahoma" w:cs="Tahoma"/>
          <w:caps/>
          <w:color w:val="EE6000"/>
          <w:sz w:val="22"/>
          <w:szCs w:val="18"/>
          <w:vertAlign w:val="superscript"/>
        </w:rPr>
        <w:lastRenderedPageBreak/>
        <w:t>115</w:t>
      </w:r>
      <w:r w:rsidRPr="000A1C8E">
        <w:rPr>
          <w:rFonts w:ascii="Tahoma" w:hAnsi="Tahoma" w:cs="Tahoma"/>
          <w:color w:val="EE6000"/>
          <w:sz w:val="22"/>
          <w:szCs w:val="18"/>
        </w:rPr>
        <w:t xml:space="preserve"> </w:t>
      </w:r>
      <w:r w:rsidRPr="000A1C8E">
        <w:rPr>
          <w:rFonts w:ascii="Tahoma" w:hAnsi="Tahoma" w:cs="Tahoma"/>
          <w:color w:val="F66400"/>
          <w:sz w:val="22"/>
        </w:rPr>
        <w:t>Windows Web Server</w:t>
      </w:r>
      <w:r w:rsidR="00C83286" w:rsidRPr="000A1C8E">
        <w:rPr>
          <w:rFonts w:ascii="Tahoma" w:hAnsi="Tahoma" w:cs="Tahoma"/>
          <w:color w:val="F66400"/>
          <w:sz w:val="22"/>
          <w:vertAlign w:val="superscript"/>
        </w:rPr>
        <w:t>®</w:t>
      </w:r>
      <w:r w:rsidRPr="000A1C8E">
        <w:rPr>
          <w:rFonts w:ascii="Tahoma" w:hAnsi="Tahoma" w:cs="Tahoma"/>
          <w:color w:val="F66400"/>
          <w:sz w:val="22"/>
        </w:rPr>
        <w:t xml:space="preserve"> 2008 R2</w:t>
      </w:r>
      <w:bookmarkEnd w:id="1692"/>
      <w:bookmarkEnd w:id="1693"/>
    </w:p>
    <w:p w:rsidR="00816F76" w:rsidRPr="000A1C8E" w:rsidRDefault="00816F76" w:rsidP="00CE7FAD">
      <w:pPr>
        <w:rPr>
          <w:rFonts w:cs="Tahoma"/>
        </w:rPr>
      </w:pPr>
    </w:p>
    <w:p w:rsidR="00CE7FAD" w:rsidRPr="000A1C8E" w:rsidRDefault="00816F76" w:rsidP="00CE7FAD">
      <w:pPr>
        <w:tabs>
          <w:tab w:val="left" w:pos="720"/>
        </w:tabs>
        <w:spacing w:after="60"/>
        <w:ind w:left="720"/>
        <w:rPr>
          <w:rFonts w:cs="Tahoma"/>
        </w:rPr>
      </w:pPr>
      <w:r w:rsidRPr="000A1C8E">
        <w:rPr>
          <w:rFonts w:cs="Tahoma"/>
          <w:b/>
          <w:color w:val="000000"/>
        </w:rPr>
        <w:t>Outorgas de licença associadas ao término da validade do Windows Web Server</w:t>
      </w:r>
    </w:p>
    <w:p w:rsidR="00816F76" w:rsidRPr="000A1C8E" w:rsidRDefault="00816F76" w:rsidP="00CE7FAD">
      <w:pPr>
        <w:tabs>
          <w:tab w:val="left" w:pos="720"/>
        </w:tabs>
        <w:ind w:left="720"/>
        <w:rPr>
          <w:rFonts w:cs="Tahoma"/>
        </w:rPr>
      </w:pPr>
      <w:r w:rsidRPr="000A1C8E">
        <w:rPr>
          <w:rFonts w:cs="Tahoma"/>
          <w:color w:val="000000"/>
        </w:rPr>
        <w:t>O Windows Server 2008 R2 será a última versão da edição do Windows Web Server. Os clientes de Licenciamento por Volume com Software Assurance ativo para licenças do Windows Web Server 2008 R2 em 1</w:t>
      </w:r>
      <w:r w:rsidRPr="000A1C8E">
        <w:rPr>
          <w:rFonts w:cs="Tahoma"/>
          <w:color w:val="000000"/>
          <w:vertAlign w:val="superscript"/>
        </w:rPr>
        <w:t>º</w:t>
      </w:r>
      <w:r w:rsidRPr="000A1C8E">
        <w:rPr>
          <w:rFonts w:cs="Tahoma"/>
          <w:color w:val="000000"/>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0A1C8E">
        <w:rPr>
          <w:rFonts w:eastAsia="Calibri" w:cs="Tahoma"/>
          <w:szCs w:val="18"/>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rsidR="00CE7FAD" w:rsidRPr="000A1C8E" w:rsidRDefault="00CE7FAD" w:rsidP="00CE7FAD">
      <w:pPr>
        <w:tabs>
          <w:tab w:val="left" w:pos="720"/>
        </w:tabs>
        <w:ind w:left="720"/>
        <w:rPr>
          <w:rFonts w:cs="Tahoma"/>
        </w:rPr>
      </w:pPr>
    </w:p>
    <w:p w:rsidR="00816F76" w:rsidRPr="000A1C8E" w:rsidRDefault="00816F76" w:rsidP="00346F4B">
      <w:pPr>
        <w:numPr>
          <w:ilvl w:val="0"/>
          <w:numId w:val="56"/>
        </w:numPr>
        <w:tabs>
          <w:tab w:val="clear" w:pos="360"/>
          <w:tab w:val="num" w:pos="1440"/>
        </w:tabs>
        <w:spacing w:after="60"/>
        <w:ind w:left="1440"/>
        <w:rPr>
          <w:rFonts w:cs="Tahoma"/>
        </w:rPr>
      </w:pPr>
      <w:r w:rsidRPr="000A1C8E">
        <w:rPr>
          <w:rFonts w:cs="Tahoma"/>
          <w:color w:val="000000"/>
        </w:rPr>
        <w:t>Se um cliente tiver um número ímpar de licenças do Web Server, o cliente precisará arredondar para cima para o próximo número par para determinar sua concessão.</w:t>
      </w:r>
      <w:r w:rsidR="00DC6D8B" w:rsidRPr="000A1C8E">
        <w:rPr>
          <w:rFonts w:cs="Tahoma"/>
          <w:color w:val="000000"/>
        </w:rPr>
        <w:t xml:space="preserve"> </w:t>
      </w:r>
      <w:r w:rsidRPr="000A1C8E">
        <w:rPr>
          <w:rFonts w:cs="Tahoma"/>
          <w:color w:val="000000"/>
        </w:rPr>
        <w:t>Por exemplo, um cliente que tenha três licenças do Web Server receberá no total duas licenças do Windows Server 2012 Standard.</w:t>
      </w:r>
    </w:p>
    <w:p w:rsidR="00816F76" w:rsidRPr="000A1C8E" w:rsidRDefault="00816F76" w:rsidP="00346F4B">
      <w:pPr>
        <w:numPr>
          <w:ilvl w:val="0"/>
          <w:numId w:val="56"/>
        </w:numPr>
        <w:tabs>
          <w:tab w:val="clear" w:pos="360"/>
          <w:tab w:val="num" w:pos="1440"/>
        </w:tabs>
        <w:spacing w:after="60"/>
        <w:ind w:left="1440"/>
        <w:rPr>
          <w:rFonts w:cs="Tahoma"/>
        </w:rPr>
      </w:pPr>
      <w:r w:rsidRPr="000A1C8E">
        <w:rPr>
          <w:rFonts w:eastAsia="Calibri" w:cs="Tahoma"/>
          <w:szCs w:val="18"/>
        </w:rPr>
        <w:t>Na atualização para o Windows Server 2012 Standard sob essa concessão, as licenças existentes do Windows Web Server 2008 R2 do cliente permanecerão válidas.</w:t>
      </w:r>
    </w:p>
    <w:p w:rsidR="00816F76" w:rsidRPr="000A1C8E" w:rsidRDefault="00816F76" w:rsidP="00346F4B">
      <w:pPr>
        <w:pStyle w:val="ListParagraph"/>
        <w:numPr>
          <w:ilvl w:val="0"/>
          <w:numId w:val="56"/>
        </w:numPr>
        <w:tabs>
          <w:tab w:val="clear" w:pos="360"/>
          <w:tab w:val="num" w:pos="1440"/>
        </w:tabs>
        <w:spacing w:after="60"/>
        <w:ind w:left="1440"/>
        <w:contextualSpacing w:val="0"/>
        <w:rPr>
          <w:rFonts w:ascii="Tahoma" w:hAnsi="Tahoma" w:cs="Tahoma"/>
        </w:rPr>
      </w:pPr>
      <w:r w:rsidRPr="000A1C8E">
        <w:rPr>
          <w:rFonts w:ascii="Tahoma" w:eastAsia="Calibri" w:hAnsi="Tahoma" w:cs="Tahoma"/>
          <w:sz w:val="18"/>
          <w:szCs w:val="18"/>
        </w:rPr>
        <w:t>As licenças adquiridas sob esta concessão incluirão cobertura do Software Assurance.</w:t>
      </w:r>
      <w:r w:rsidR="00DC6D8B" w:rsidRPr="000A1C8E">
        <w:rPr>
          <w:rFonts w:ascii="Tahoma" w:eastAsia="Calibri" w:hAnsi="Tahoma" w:cs="Tahoma"/>
          <w:sz w:val="18"/>
          <w:szCs w:val="18"/>
        </w:rPr>
        <w:t xml:space="preserve"> </w:t>
      </w:r>
      <w:r w:rsidRPr="000A1C8E">
        <w:rPr>
          <w:rFonts w:ascii="Tahoma" w:eastAsia="Calibri" w:hAnsi="Tahoma" w:cs="Tahoma"/>
          <w:sz w:val="18"/>
          <w:szCs w:val="18"/>
        </w:rPr>
        <w:t>Tal cobertura expira quando a cobertura correspondente nas Licenças Qualificadas expirar.</w:t>
      </w:r>
    </w:p>
    <w:p w:rsidR="00816F76" w:rsidRPr="000A1C8E" w:rsidRDefault="00816F76" w:rsidP="00346F4B">
      <w:pPr>
        <w:pStyle w:val="ListParagraph"/>
        <w:numPr>
          <w:ilvl w:val="0"/>
          <w:numId w:val="56"/>
        </w:numPr>
        <w:tabs>
          <w:tab w:val="clear" w:pos="360"/>
          <w:tab w:val="num" w:pos="1440"/>
        </w:tabs>
        <w:spacing w:after="60"/>
        <w:ind w:left="1440"/>
        <w:contextualSpacing w:val="0"/>
        <w:rPr>
          <w:rFonts w:ascii="Tahoma" w:hAnsi="Tahoma" w:cs="Tahoma"/>
        </w:rPr>
      </w:pPr>
      <w:r w:rsidRPr="000A1C8E">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816F76" w:rsidRPr="000A1C8E" w:rsidRDefault="00816F76" w:rsidP="00346F4B">
      <w:pPr>
        <w:numPr>
          <w:ilvl w:val="0"/>
          <w:numId w:val="56"/>
        </w:numPr>
        <w:tabs>
          <w:tab w:val="clear" w:pos="360"/>
          <w:tab w:val="num" w:pos="1440"/>
        </w:tabs>
        <w:spacing w:after="60"/>
        <w:ind w:left="1440"/>
        <w:rPr>
          <w:rFonts w:cs="Tahoma"/>
        </w:rPr>
      </w:pPr>
      <w:r w:rsidRPr="000A1C8E">
        <w:rPr>
          <w:rFonts w:cs="Tahoma"/>
          <w:color w:val="000000"/>
        </w:rPr>
        <w:t xml:space="preserve">As licenças do Windows Web Server 2008 R2 </w:t>
      </w:r>
      <w:r w:rsidRPr="000A1C8E">
        <w:rPr>
          <w:rFonts w:cs="Tahoma"/>
          <w:bCs/>
          <w:color w:val="000000"/>
          <w:szCs w:val="18"/>
        </w:rPr>
        <w:t xml:space="preserve">adquiridas posteriormente no mesmo prazo de registro, como parte de um processo de adequação (“true-up”) programado do cliente Enterprise, Enterprise Subscription, Open Value Subscription ou EES também são Licenças Qualificadas para os propósitos da concessão supracitada. </w:t>
      </w:r>
    </w:p>
    <w:p w:rsidR="00816F76" w:rsidRPr="000A1C8E" w:rsidRDefault="00816F76" w:rsidP="00346F4B">
      <w:pPr>
        <w:numPr>
          <w:ilvl w:val="0"/>
          <w:numId w:val="56"/>
        </w:numPr>
        <w:tabs>
          <w:tab w:val="clear" w:pos="360"/>
          <w:tab w:val="num" w:pos="1440"/>
        </w:tabs>
        <w:spacing w:after="60"/>
        <w:ind w:left="1440"/>
        <w:rPr>
          <w:rFonts w:cs="Tahoma"/>
          <w:spacing w:val="-2"/>
        </w:rPr>
      </w:pPr>
      <w:r w:rsidRPr="000A1C8E">
        <w:rPr>
          <w:rFonts w:cs="Tahoma"/>
          <w:bCs/>
          <w:color w:val="000000"/>
          <w:spacing w:val="-2"/>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CE7FAD" w:rsidRPr="000A1C8E" w:rsidRDefault="00CE7FAD" w:rsidP="00CE7FAD">
      <w:pPr>
        <w:ind w:left="1440"/>
        <w:rPr>
          <w:rFonts w:cs="Tahoma"/>
        </w:rPr>
      </w:pPr>
    </w:p>
    <w:p w:rsidR="00CE7FAD" w:rsidRPr="000A1C8E" w:rsidRDefault="00816F76" w:rsidP="00CE7FAD">
      <w:pPr>
        <w:spacing w:after="60"/>
        <w:ind w:left="720"/>
        <w:rPr>
          <w:rFonts w:cs="Tahoma"/>
        </w:rPr>
      </w:pPr>
      <w:r w:rsidRPr="000A1C8E">
        <w:rPr>
          <w:rFonts w:eastAsia="Calibri" w:cs="Tahoma"/>
          <w:b/>
          <w:szCs w:val="18"/>
        </w:rPr>
        <w:t>Informações adicionais sobre o uso do Windows Server 2012 como um Servidor Web</w:t>
      </w:r>
    </w:p>
    <w:p w:rsidR="00816F76" w:rsidRPr="000A1C8E" w:rsidRDefault="00816F76" w:rsidP="00CE7FAD">
      <w:pPr>
        <w:ind w:left="720"/>
        <w:rPr>
          <w:rFonts w:cs="Tahoma"/>
        </w:rPr>
      </w:pPr>
      <w:r w:rsidRPr="000A1C8E">
        <w:rPr>
          <w:rFonts w:eastAsia="Calibri" w:cs="Tahoma"/>
          <w:szCs w:val="18"/>
        </w:rPr>
        <w:t xml:space="preserve">Quando o Windows Server 2012 Standard ou Datacenter é usado como um Servidor Web, você não precisa de CALs para acessar o software. Uma </w:t>
      </w:r>
      <w:r w:rsidRPr="000A1C8E">
        <w:rPr>
          <w:rFonts w:cs="Tahoma"/>
        </w:rPr>
        <w:t>“Carga de Trabalho da Web” significa uma carga de trabalho na qual</w:t>
      </w:r>
      <w:r w:rsidRPr="000A1C8E">
        <w:rPr>
          <w:rFonts w:cs="Tahoma"/>
          <w:bCs/>
        </w:rPr>
        <w:t xml:space="preserve"> </w:t>
      </w:r>
      <w:r w:rsidRPr="000A1C8E">
        <w:rPr>
          <w:rFonts w:cs="Tahoma"/>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0A1C8E">
        <w:rPr>
          <w:rFonts w:cs="Tahoma"/>
          <w:u w:val="single"/>
        </w:rPr>
        <w:t xml:space="preserve"> </w:t>
      </w:r>
      <w:r w:rsidRPr="000A1C8E">
        <w:rPr>
          <w:rFonts w:cs="Tahoma"/>
        </w:rPr>
        <w:t>limitado para seus funcionários.</w:t>
      </w:r>
      <w:r w:rsidR="00DC6D8B" w:rsidRPr="000A1C8E">
        <w:rPr>
          <w:rFonts w:cs="Tahoma"/>
        </w:rPr>
        <w:t xml:space="preserve"> </w:t>
      </w:r>
      <w:r w:rsidRPr="000A1C8E">
        <w:rPr>
          <w:rFonts w:eastAsia="Calibri" w:cs="Tahoma"/>
          <w:szCs w:val="18"/>
        </w:rPr>
        <w:t>Consulte os Direitos de Uso de Produto para obter detalhes adicionais.</w:t>
      </w:r>
      <w:r w:rsidR="00DC6D8B" w:rsidRPr="000A1C8E">
        <w:rPr>
          <w:rFonts w:eastAsia="Calibri" w:cs="Tahoma"/>
          <w:szCs w:val="18"/>
        </w:rPr>
        <w:t xml:space="preserve"> </w:t>
      </w:r>
    </w:p>
    <w:p w:rsidR="00816F76" w:rsidRPr="000A1C8E" w:rsidRDefault="00816F76" w:rsidP="00CE7FAD">
      <w:pPr>
        <w:rPr>
          <w:rFonts w:cs="Tahoma"/>
        </w:rPr>
      </w:pPr>
    </w:p>
    <w:p w:rsidR="002512D3" w:rsidRPr="000A1C8E" w:rsidRDefault="002512D3">
      <w:pPr>
        <w:rPr>
          <w:rFonts w:cs="Tahoma"/>
        </w:rPr>
      </w:pPr>
      <w:bookmarkStart w:id="1697" w:name="_Toc336338376"/>
    </w:p>
    <w:p w:rsidR="00532ABF" w:rsidRPr="000A1C8E" w:rsidRDefault="00A560B6" w:rsidP="007B35CE">
      <w:pPr>
        <w:pStyle w:val="Heading2"/>
        <w:keepNext/>
        <w:ind w:hanging="720"/>
        <w:rPr>
          <w:rFonts w:ascii="Tahoma" w:hAnsi="Tahoma" w:cs="Tahoma"/>
        </w:rPr>
      </w:pPr>
      <w:bookmarkStart w:id="1698" w:name="_112_Windows_Small_1"/>
      <w:bookmarkStart w:id="1699" w:name="_115_Windows_Small"/>
      <w:bookmarkStart w:id="1700" w:name="_Toc361829459"/>
      <w:bookmarkEnd w:id="1698"/>
      <w:bookmarkEnd w:id="1699"/>
      <w:r w:rsidRPr="000A1C8E">
        <w:rPr>
          <w:rFonts w:ascii="Tahoma" w:hAnsi="Tahoma" w:cs="Tahoma"/>
          <w:caps/>
          <w:color w:val="F8701C"/>
          <w:sz w:val="22"/>
          <w:szCs w:val="22"/>
          <w:vertAlign w:val="superscript"/>
        </w:rPr>
        <w:t>116</w:t>
      </w:r>
      <w:r w:rsidRPr="000A1C8E">
        <w:rPr>
          <w:rFonts w:ascii="Tahoma" w:hAnsi="Tahoma" w:cs="Tahoma"/>
          <w:color w:val="F8701C"/>
          <w:sz w:val="22"/>
          <w:szCs w:val="22"/>
        </w:rPr>
        <w:t xml:space="preserve"> Windows Small Business Server (SBS) 2008 Premium</w:t>
      </w:r>
      <w:bookmarkEnd w:id="1697"/>
      <w:bookmarkEnd w:id="1700"/>
    </w:p>
    <w:bookmarkEnd w:id="1694"/>
    <w:bookmarkEnd w:id="1695"/>
    <w:bookmarkEnd w:id="1696"/>
    <w:p w:rsidR="00515A83" w:rsidRPr="000A1C8E" w:rsidRDefault="00515A83" w:rsidP="007B35CE">
      <w:pPr>
        <w:keepNext/>
        <w:ind w:left="907"/>
        <w:rPr>
          <w:rFonts w:cs="Tahoma"/>
        </w:rPr>
      </w:pPr>
    </w:p>
    <w:p w:rsidR="00532ABF" w:rsidRPr="000A1C8E" w:rsidRDefault="00532ABF" w:rsidP="00376D4B">
      <w:pPr>
        <w:ind w:left="720"/>
        <w:rPr>
          <w:rFonts w:cs="Tahoma"/>
        </w:rPr>
      </w:pPr>
      <w:r w:rsidRPr="000A1C8E">
        <w:rPr>
          <w:rFonts w:cs="Tahoma"/>
        </w:rPr>
        <w:t>Os clientes com cobertura de Software Assurance ativa para licenças do SBS 2008 Premium, a partir de 1º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DC6D8B" w:rsidRPr="000A1C8E">
        <w:rPr>
          <w:rFonts w:cs="Tahoma"/>
        </w:rPr>
        <w:t xml:space="preserve"> </w:t>
      </w:r>
      <w:r w:rsidRPr="000A1C8E">
        <w:rPr>
          <w:rFonts w:cs="Tahoma"/>
        </w:rPr>
        <w:t>A partir de 1º de janeiro de 2011 para cada licença qualificada do SBS 2008 Premium que possuir, o cliente será considerado possuidor de uma licença para cada SBS 2011 Standard e SBS 2011 Premium Add-on com cobertura de Software Assurance ativa.</w:t>
      </w:r>
      <w:r w:rsidR="00DC6D8B" w:rsidRPr="000A1C8E">
        <w:rPr>
          <w:rFonts w:cs="Tahoma"/>
        </w:rPr>
        <w:t xml:space="preserve"> </w:t>
      </w:r>
    </w:p>
    <w:p w:rsidR="00532ABF" w:rsidRPr="000A1C8E" w:rsidRDefault="00532ABF" w:rsidP="00376D4B">
      <w:pPr>
        <w:ind w:left="720"/>
        <w:rPr>
          <w:rFonts w:cs="Tahoma"/>
        </w:rPr>
      </w:pPr>
    </w:p>
    <w:p w:rsidR="00532ABF" w:rsidRPr="000A1C8E" w:rsidRDefault="00532ABF" w:rsidP="00B54BAC">
      <w:pPr>
        <w:ind w:left="720"/>
        <w:rPr>
          <w:rFonts w:cs="Tahoma"/>
        </w:rPr>
      </w:pPr>
      <w:r w:rsidRPr="000A1C8E">
        <w:rPr>
          <w:rFonts w:cs="Tahoma"/>
        </w:rPr>
        <w:t>Os clientes com cobertura de Software Assurance ativa para Pacote de CALs do SBS 2008 para Usuários e</w:t>
      </w:r>
      <w:r w:rsidR="00B54BAC" w:rsidRPr="000A1C8E">
        <w:rPr>
          <w:rFonts w:cs="Tahoma"/>
        </w:rPr>
        <w:t> </w:t>
      </w:r>
      <w:r w:rsidRPr="000A1C8E">
        <w:rPr>
          <w:rFonts w:cs="Tahoma"/>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DC6D8B" w:rsidRPr="000A1C8E">
        <w:rPr>
          <w:rFonts w:cs="Tahoma"/>
        </w:rPr>
        <w:t xml:space="preserve"> </w:t>
      </w:r>
      <w:r w:rsidRPr="000A1C8E">
        <w:rPr>
          <w:rFonts w:cs="Tahoma"/>
        </w:rPr>
        <w:t xml:space="preserve">A partir de 1º de janeiro de 2011, para cada Pacote de CALs do SBS 2008 qualificada para Usuários e Dispositivos Premium, o cliente será considerado possuidor de um Pacote de CALs do SBS 2011 e um Pacote de CALS Complementares do SBS 2011 Premium com cobertura de Software Assurance ativa. </w:t>
      </w:r>
    </w:p>
    <w:p w:rsidR="00532ABF" w:rsidRPr="000A1C8E" w:rsidRDefault="00532ABF" w:rsidP="00B54BAC">
      <w:pPr>
        <w:ind w:left="720"/>
        <w:rPr>
          <w:rFonts w:cs="Tahoma"/>
        </w:rPr>
      </w:pPr>
      <w:r w:rsidRPr="000A1C8E">
        <w:rPr>
          <w:rFonts w:cs="Tahoma"/>
        </w:rPr>
        <w:lastRenderedPageBreak/>
        <w:t>O direito de usar o software sob esta oferta expirará quando o direito de usar o software sob as licenças qualificadas expirar.</w:t>
      </w:r>
      <w:r w:rsidR="00DC6D8B" w:rsidRPr="000A1C8E">
        <w:rPr>
          <w:rFonts w:cs="Tahoma"/>
        </w:rPr>
        <w:t xml:space="preserve"> </w:t>
      </w:r>
      <w:r w:rsidRPr="000A1C8E">
        <w:rPr>
          <w:rFonts w:cs="Tahoma"/>
        </w:rPr>
        <w:t>O uso do software do cliente sob esta oferta está sujeito aos termos e às condições do contrato de Licenciamento por Volume do cliente, aos direitos de uso de produto para SBS 2011 Standard e</w:t>
      </w:r>
      <w:r w:rsidR="00B54BAC" w:rsidRPr="000A1C8E">
        <w:rPr>
          <w:rFonts w:cs="Tahoma"/>
        </w:rPr>
        <w:t> </w:t>
      </w:r>
      <w:r w:rsidRPr="000A1C8E">
        <w:rPr>
          <w:rFonts w:cs="Tahoma"/>
        </w:rPr>
        <w:t>SBS 2011 Premium Add-on e estes termos e condições.</w:t>
      </w:r>
      <w:r w:rsidR="00DC6D8B" w:rsidRPr="000A1C8E">
        <w:rPr>
          <w:rFonts w:cs="Tahoma"/>
        </w:rPr>
        <w:t xml:space="preserve"> </w:t>
      </w:r>
      <w:r w:rsidRPr="000A1C8E">
        <w:rPr>
          <w:rFonts w:cs="Tahoma"/>
        </w:rPr>
        <w:t>Esta nota de condição do produto junto com a evidência das licenças qualificadas comprovam os direitos concedidos sob esta oferta.</w:t>
      </w:r>
      <w:r w:rsidR="00DC6D8B" w:rsidRPr="000A1C8E">
        <w:rPr>
          <w:rFonts w:cs="Tahoma"/>
        </w:rPr>
        <w:t xml:space="preserve"> </w:t>
      </w:r>
      <w:r w:rsidRPr="000A1C8E">
        <w:rPr>
          <w:rFonts w:cs="Tahoma"/>
        </w:rPr>
        <w:t>Quando a cobertura sobre a licença qualificada expirar na licença qualificada, o cliente estará qualificado para renovar o Software Assurance para licenças do SBS Premium Add-on e CAL Suites.</w:t>
      </w:r>
    </w:p>
    <w:p w:rsidR="00296B89" w:rsidRPr="000A1C8E" w:rsidRDefault="00296B89" w:rsidP="00EF2279">
      <w:pPr>
        <w:ind w:left="900"/>
        <w:rPr>
          <w:rFonts w:cs="Tahoma"/>
        </w:rPr>
      </w:pPr>
    </w:p>
    <w:p w:rsidR="00D16723" w:rsidRPr="000A1C8E" w:rsidRDefault="00D16723">
      <w:pPr>
        <w:rPr>
          <w:rFonts w:cs="Tahoma"/>
        </w:rPr>
      </w:pPr>
      <w:bookmarkStart w:id="1701" w:name="_119_Windows_Small"/>
      <w:bookmarkStart w:id="1702" w:name="_100_SBS_2008"/>
      <w:bookmarkStart w:id="1703" w:name="_101_SBS_2008"/>
      <w:bookmarkStart w:id="1704" w:name="_105_SBS_2008"/>
      <w:bookmarkStart w:id="1705" w:name="_125_Windows_Web"/>
      <w:bookmarkEnd w:id="1701"/>
      <w:bookmarkEnd w:id="1702"/>
      <w:bookmarkEnd w:id="1703"/>
      <w:bookmarkEnd w:id="1704"/>
      <w:bookmarkEnd w:id="1705"/>
    </w:p>
    <w:p w:rsidR="00E06578" w:rsidRPr="000A1C8E" w:rsidRDefault="00A560B6" w:rsidP="00EF2279">
      <w:pPr>
        <w:pStyle w:val="Heading2"/>
        <w:ind w:left="0"/>
        <w:rPr>
          <w:rFonts w:ascii="Tahoma" w:hAnsi="Tahoma" w:cs="Tahoma"/>
        </w:rPr>
      </w:pPr>
      <w:bookmarkStart w:id="1706" w:name="_122_Windows_Small"/>
      <w:bookmarkStart w:id="1707" w:name="_120_Windows_Small"/>
      <w:bookmarkStart w:id="1708" w:name="_110_Windows_Small"/>
      <w:bookmarkStart w:id="1709" w:name="_116_Windows_Small"/>
      <w:bookmarkStart w:id="1710" w:name="_Toc336338378"/>
      <w:bookmarkStart w:id="1711" w:name="_Toc361829460"/>
      <w:bookmarkEnd w:id="1706"/>
      <w:bookmarkEnd w:id="1707"/>
      <w:bookmarkEnd w:id="1708"/>
      <w:bookmarkEnd w:id="1709"/>
      <w:r w:rsidRPr="000A1C8E">
        <w:rPr>
          <w:rFonts w:ascii="Tahoma" w:hAnsi="Tahoma" w:cs="Tahoma"/>
          <w:caps/>
          <w:color w:val="EE6000"/>
          <w:sz w:val="22"/>
          <w:szCs w:val="18"/>
          <w:vertAlign w:val="superscript"/>
        </w:rPr>
        <w:t xml:space="preserve">117 </w:t>
      </w:r>
      <w:r w:rsidRPr="000A1C8E">
        <w:rPr>
          <w:rFonts w:ascii="Tahoma" w:hAnsi="Tahoma" w:cs="Tahoma"/>
          <w:color w:val="F8701C"/>
          <w:sz w:val="22"/>
          <w:szCs w:val="22"/>
        </w:rPr>
        <w:t>Windows Small Business Server (SBS) 2011 CAL Suite</w:t>
      </w:r>
      <w:bookmarkEnd w:id="1710"/>
      <w:bookmarkEnd w:id="1711"/>
    </w:p>
    <w:p w:rsidR="00E06578" w:rsidRPr="000A1C8E" w:rsidRDefault="00E06578" w:rsidP="000F0F4D">
      <w:pPr>
        <w:ind w:left="900"/>
        <w:rPr>
          <w:rFonts w:cs="Tahoma"/>
        </w:rPr>
      </w:pPr>
    </w:p>
    <w:p w:rsidR="000F0F4D" w:rsidRPr="000A1C8E" w:rsidRDefault="00836655" w:rsidP="000F0F4D">
      <w:pPr>
        <w:spacing w:after="60"/>
        <w:ind w:left="720"/>
        <w:rPr>
          <w:rFonts w:cs="Tahoma"/>
        </w:rPr>
      </w:pPr>
      <w:r w:rsidRPr="000A1C8E">
        <w:rPr>
          <w:rFonts w:cs="Tahoma"/>
          <w:b/>
          <w:color w:val="000000"/>
        </w:rPr>
        <w:t>Outorgas de licença associadas ao término da validade do Pacote de CALs do SBS 2011</w:t>
      </w:r>
    </w:p>
    <w:p w:rsidR="00836655" w:rsidRPr="000A1C8E" w:rsidRDefault="00836655" w:rsidP="000F0F4D">
      <w:pPr>
        <w:ind w:left="720"/>
        <w:rPr>
          <w:rFonts w:cs="Tahoma"/>
        </w:rPr>
      </w:pPr>
      <w:r w:rsidRPr="000A1C8E">
        <w:rPr>
          <w:rFonts w:cs="Tahoma"/>
        </w:rPr>
        <w:t>Os clientes com cobertura do Software Assurance ativa para o Pacote de CALs do SBS 2011 (“CALs Qualificadas”) estão qualificados para acessar o software Windows Server Standard e Exchange Server 2010 Standard.</w:t>
      </w:r>
      <w:r w:rsidR="00DC6D8B" w:rsidRPr="000A1C8E">
        <w:rPr>
          <w:rFonts w:cs="Tahoma"/>
        </w:rPr>
        <w:t xml:space="preserve"> </w:t>
      </w:r>
      <w:r w:rsidRPr="000A1C8E">
        <w:rPr>
          <w:rFonts w:eastAsia="Calibri" w:cs="Tahoma"/>
          <w:szCs w:val="18"/>
        </w:rPr>
        <w:t xml:space="preserve">Para facilitar tal acesso, para cada CAL Qualificada que o cliente possui, ele receberá uma CAL para cada licença do Windows Server e Exchange Server 2010, como pode ser visto na tabela a seguir. </w:t>
      </w:r>
    </w:p>
    <w:p w:rsidR="000F0F4D" w:rsidRPr="000A1C8E"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A1C8E"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A1C8E" w:rsidRDefault="00836655" w:rsidP="000A5032">
            <w:pPr>
              <w:spacing w:after="200" w:line="276" w:lineRule="auto"/>
              <w:rPr>
                <w:rFonts w:eastAsia="Calibri" w:cs="Tahoma"/>
                <w:szCs w:val="18"/>
              </w:rPr>
            </w:pPr>
            <w:r w:rsidRPr="000A1C8E">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A1C8E" w:rsidRDefault="00836655" w:rsidP="000A5032">
            <w:pPr>
              <w:spacing w:after="200" w:line="276" w:lineRule="auto"/>
              <w:rPr>
                <w:rFonts w:eastAsia="Calibri" w:cs="Tahoma"/>
                <w:szCs w:val="18"/>
              </w:rPr>
            </w:pPr>
            <w:r w:rsidRPr="000A1C8E">
              <w:rPr>
                <w:rFonts w:cs="Tahoma"/>
                <w:b/>
                <w:color w:val="000000"/>
              </w:rPr>
              <w:t>Outorga de Licença</w:t>
            </w:r>
          </w:p>
        </w:tc>
      </w:tr>
      <w:tr w:rsidR="00836655" w:rsidRPr="000A1C8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A1C8E" w:rsidRDefault="00836655" w:rsidP="00B54BAC">
            <w:pPr>
              <w:spacing w:line="276" w:lineRule="auto"/>
              <w:rPr>
                <w:rFonts w:eastAsia="Calibri" w:cs="Tahoma"/>
                <w:szCs w:val="18"/>
              </w:rPr>
            </w:pPr>
            <w:r w:rsidRPr="000A1C8E">
              <w:rPr>
                <w:rFonts w:eastAsia="Calibri" w:cs="Tahoma"/>
                <w:szCs w:val="18"/>
              </w:rPr>
              <w:t>Pacote de CALs do SBS 2011 com cobertura do Software Assurance até 31 de julho de</w:t>
            </w:r>
            <w:r w:rsidR="00B54BAC" w:rsidRPr="000A1C8E">
              <w:rPr>
                <w:rFonts w:eastAsia="Calibri" w:cs="Tahoma"/>
                <w:szCs w:val="18"/>
              </w:rPr>
              <w:t> </w:t>
            </w:r>
            <w:r w:rsidRPr="000A1C8E">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A1C8E" w:rsidRDefault="00836655" w:rsidP="00CA14C9">
            <w:pPr>
              <w:spacing w:line="276" w:lineRule="auto"/>
              <w:rPr>
                <w:rFonts w:cs="Tahoma"/>
              </w:rPr>
            </w:pPr>
            <w:r w:rsidRPr="000A1C8E">
              <w:rPr>
                <w:rFonts w:eastAsia="Calibri" w:cs="Tahoma"/>
                <w:szCs w:val="18"/>
              </w:rPr>
              <w:t>CAL do Windows Server 2008 R2</w:t>
            </w:r>
          </w:p>
          <w:p w:rsidR="00836655" w:rsidRPr="000A1C8E" w:rsidRDefault="00836655" w:rsidP="00CA14C9">
            <w:pPr>
              <w:spacing w:line="276" w:lineRule="auto"/>
              <w:rPr>
                <w:rFonts w:eastAsia="Calibri" w:cs="Tahoma"/>
                <w:szCs w:val="18"/>
              </w:rPr>
            </w:pPr>
            <w:r w:rsidRPr="000A1C8E">
              <w:rPr>
                <w:rFonts w:eastAsia="Calibri" w:cs="Tahoma"/>
                <w:szCs w:val="18"/>
              </w:rPr>
              <w:t>CAL do Exchange Server 2010</w:t>
            </w:r>
          </w:p>
        </w:tc>
      </w:tr>
      <w:tr w:rsidR="00836655" w:rsidRPr="000A1C8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A1C8E" w:rsidRDefault="00836655" w:rsidP="00CA14C9">
            <w:pPr>
              <w:spacing w:line="276" w:lineRule="auto"/>
              <w:rPr>
                <w:rFonts w:eastAsia="Calibri" w:cs="Tahoma"/>
                <w:szCs w:val="18"/>
              </w:rPr>
            </w:pPr>
            <w:r w:rsidRPr="000A1C8E">
              <w:rPr>
                <w:rFonts w:eastAsia="Calibri" w:cs="Tahoma"/>
                <w:szCs w:val="18"/>
              </w:rPr>
              <w:t>Pacote de CALs do SBS 2011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A1C8E" w:rsidRDefault="00836655" w:rsidP="00CA14C9">
            <w:pPr>
              <w:spacing w:line="276" w:lineRule="auto"/>
              <w:rPr>
                <w:rFonts w:cs="Tahoma"/>
              </w:rPr>
            </w:pPr>
            <w:r w:rsidRPr="000A1C8E">
              <w:rPr>
                <w:rFonts w:eastAsia="Calibri" w:cs="Tahoma"/>
                <w:szCs w:val="18"/>
              </w:rPr>
              <w:t>CAL do Windows Server 2012 com Software Assurance</w:t>
            </w:r>
          </w:p>
          <w:p w:rsidR="00836655" w:rsidRPr="000A1C8E" w:rsidRDefault="00836655" w:rsidP="00CA14C9">
            <w:pPr>
              <w:spacing w:line="276" w:lineRule="auto"/>
              <w:rPr>
                <w:rFonts w:eastAsia="Calibri" w:cs="Tahoma"/>
                <w:szCs w:val="18"/>
              </w:rPr>
            </w:pPr>
            <w:r w:rsidRPr="000A1C8E">
              <w:rPr>
                <w:rFonts w:eastAsia="Calibri" w:cs="Tahoma"/>
                <w:szCs w:val="18"/>
              </w:rPr>
              <w:t>CAL do Exchange Server 2010 com Software Assurance</w:t>
            </w:r>
          </w:p>
        </w:tc>
      </w:tr>
    </w:tbl>
    <w:p w:rsidR="000F0F4D" w:rsidRPr="000A1C8E" w:rsidRDefault="000F0F4D" w:rsidP="000F0F4D">
      <w:pPr>
        <w:pStyle w:val="ListParagraph"/>
        <w:contextualSpacing w:val="0"/>
        <w:rPr>
          <w:rFonts w:ascii="Tahoma" w:hAnsi="Tahoma" w:cs="Tahoma"/>
          <w:sz w:val="18"/>
          <w:szCs w:val="18"/>
        </w:rPr>
      </w:pPr>
    </w:p>
    <w:p w:rsidR="00836655" w:rsidRPr="000A1C8E" w:rsidRDefault="00836655" w:rsidP="000F0F4D">
      <w:pPr>
        <w:pStyle w:val="ListParagraph"/>
        <w:contextualSpacing w:val="0"/>
        <w:rPr>
          <w:rFonts w:ascii="Tahoma" w:hAnsi="Tahoma" w:cs="Tahoma"/>
          <w:sz w:val="18"/>
          <w:szCs w:val="18"/>
        </w:rPr>
      </w:pPr>
      <w:r w:rsidRPr="000A1C8E">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rsidR="000F0F4D" w:rsidRPr="000A1C8E" w:rsidRDefault="000F0F4D" w:rsidP="000F0F4D">
      <w:pPr>
        <w:pStyle w:val="ListParagraph"/>
        <w:contextualSpacing w:val="0"/>
        <w:rPr>
          <w:rFonts w:ascii="Tahoma" w:hAnsi="Tahoma" w:cs="Tahoma"/>
          <w:sz w:val="18"/>
          <w:szCs w:val="18"/>
        </w:rPr>
      </w:pPr>
    </w:p>
    <w:p w:rsidR="00836655" w:rsidRPr="000A1C8E" w:rsidRDefault="00836655" w:rsidP="000F0F4D">
      <w:pPr>
        <w:pStyle w:val="ListParagraph"/>
        <w:contextualSpacing w:val="0"/>
        <w:rPr>
          <w:rFonts w:ascii="Tahoma" w:hAnsi="Tahoma" w:cs="Tahoma"/>
          <w:sz w:val="18"/>
          <w:szCs w:val="18"/>
        </w:rPr>
      </w:pPr>
      <w:r w:rsidRPr="000A1C8E">
        <w:rPr>
          <w:rFonts w:ascii="Tahoma" w:eastAsia="Calibri"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0F0F4D" w:rsidRPr="000A1C8E" w:rsidRDefault="000F0F4D" w:rsidP="000F0F4D">
      <w:pPr>
        <w:pStyle w:val="ListParagraph"/>
        <w:contextualSpacing w:val="0"/>
        <w:rPr>
          <w:rFonts w:ascii="Tahoma" w:hAnsi="Tahoma" w:cs="Tahoma"/>
          <w:sz w:val="18"/>
          <w:szCs w:val="18"/>
        </w:rPr>
      </w:pPr>
    </w:p>
    <w:p w:rsidR="00836655" w:rsidRPr="000A1C8E" w:rsidRDefault="00836655" w:rsidP="000F0F4D">
      <w:pPr>
        <w:pStyle w:val="ListParagraph"/>
        <w:contextualSpacing w:val="0"/>
        <w:rPr>
          <w:rFonts w:ascii="Tahoma" w:hAnsi="Tahoma" w:cs="Tahoma"/>
          <w:sz w:val="18"/>
          <w:szCs w:val="18"/>
        </w:rPr>
      </w:pPr>
      <w:r w:rsidRPr="000A1C8E">
        <w:rPr>
          <w:rFonts w:ascii="Tahoma" w:eastAsia="Calibri" w:hAnsi="Tahoma" w:cs="Tahoma"/>
          <w:sz w:val="18"/>
          <w:szCs w:val="18"/>
        </w:rPr>
        <w:t>Para cada CAL Qualificada adquirida sob Open Value Subscription, um cliente pode comprar um Pacote de CALs do SBS 2011, conforme cotado ou:</w:t>
      </w:r>
    </w:p>
    <w:p w:rsidR="000F0F4D" w:rsidRPr="000A1C8E" w:rsidRDefault="000F0F4D" w:rsidP="000F0F4D">
      <w:pPr>
        <w:pStyle w:val="ListParagraph"/>
        <w:contextualSpacing w:val="0"/>
        <w:rPr>
          <w:rFonts w:ascii="Tahoma" w:hAnsi="Tahoma" w:cs="Tahoma"/>
          <w:sz w:val="18"/>
          <w:szCs w:val="18"/>
        </w:rPr>
      </w:pPr>
    </w:p>
    <w:p w:rsidR="00836655" w:rsidRPr="000A1C8E" w:rsidRDefault="00836655" w:rsidP="00346F4B">
      <w:pPr>
        <w:pStyle w:val="ListParagraph"/>
        <w:numPr>
          <w:ilvl w:val="1"/>
          <w:numId w:val="100"/>
        </w:numPr>
        <w:tabs>
          <w:tab w:val="clear" w:pos="1440"/>
        </w:tabs>
        <w:spacing w:after="60"/>
        <w:ind w:left="1800"/>
        <w:contextualSpacing w:val="0"/>
        <w:rPr>
          <w:rFonts w:ascii="Tahoma" w:hAnsi="Tahoma" w:cs="Tahoma"/>
          <w:sz w:val="18"/>
          <w:szCs w:val="18"/>
        </w:rPr>
      </w:pPr>
      <w:r w:rsidRPr="000A1C8E">
        <w:rPr>
          <w:rFonts w:ascii="Tahoma" w:eastAsia="Calibri" w:hAnsi="Tahoma" w:cs="Tahoma"/>
          <w:sz w:val="18"/>
          <w:szCs w:val="18"/>
        </w:rPr>
        <w:t>Uma CAL para cada Windows Server 2012 Standard e Exchange Server 2010 para contratos que expiram em ou depois de 1</w:t>
      </w:r>
      <w:r w:rsidRPr="000A1C8E">
        <w:rPr>
          <w:rFonts w:ascii="Tahoma" w:eastAsia="Calibri" w:hAnsi="Tahoma" w:cs="Tahoma"/>
          <w:sz w:val="18"/>
          <w:szCs w:val="18"/>
          <w:vertAlign w:val="superscript"/>
        </w:rPr>
        <w:t>º</w:t>
      </w:r>
      <w:r w:rsidRPr="000A1C8E">
        <w:rPr>
          <w:rFonts w:ascii="Tahoma" w:eastAsia="Calibri" w:hAnsi="Tahoma" w:cs="Tahoma"/>
          <w:sz w:val="18"/>
          <w:szCs w:val="18"/>
        </w:rPr>
        <w:t xml:space="preserve"> de agosto de 2012 e</w:t>
      </w:r>
    </w:p>
    <w:p w:rsidR="00836655" w:rsidRPr="000A1C8E" w:rsidRDefault="00836655" w:rsidP="00346F4B">
      <w:pPr>
        <w:pStyle w:val="ListParagraph"/>
        <w:numPr>
          <w:ilvl w:val="1"/>
          <w:numId w:val="100"/>
        </w:numPr>
        <w:tabs>
          <w:tab w:val="clear" w:pos="1440"/>
        </w:tabs>
        <w:spacing w:after="60"/>
        <w:ind w:left="1800"/>
        <w:contextualSpacing w:val="0"/>
        <w:rPr>
          <w:rFonts w:ascii="Tahoma" w:hAnsi="Tahoma" w:cs="Tahoma"/>
          <w:sz w:val="18"/>
          <w:szCs w:val="18"/>
        </w:rPr>
      </w:pPr>
      <w:r w:rsidRPr="000A1C8E">
        <w:rPr>
          <w:rFonts w:ascii="Tahoma" w:eastAsia="Calibri" w:hAnsi="Tahoma" w:cs="Tahoma"/>
          <w:sz w:val="18"/>
          <w:szCs w:val="18"/>
        </w:rPr>
        <w:t>Uma CAL para cada Windows Server 2008 e Exchange Server 2010 Standard para contratos que expiram em julho de 2012.</w:t>
      </w:r>
    </w:p>
    <w:p w:rsidR="000F0F4D" w:rsidRPr="000A1C8E" w:rsidRDefault="000F0F4D" w:rsidP="000F0F4D">
      <w:pPr>
        <w:ind w:left="720"/>
        <w:rPr>
          <w:rFonts w:cs="Tahoma"/>
          <w:szCs w:val="18"/>
        </w:rPr>
      </w:pPr>
    </w:p>
    <w:p w:rsidR="00836655" w:rsidRPr="000A1C8E" w:rsidRDefault="00836655" w:rsidP="000F0F4D">
      <w:pPr>
        <w:ind w:left="720"/>
        <w:rPr>
          <w:rFonts w:cs="Tahoma"/>
          <w:szCs w:val="18"/>
        </w:rPr>
      </w:pPr>
      <w:r w:rsidRPr="000A1C8E">
        <w:rPr>
          <w:rFonts w:eastAsia="Calibri" w:cs="Tahoma"/>
          <w:szCs w:val="18"/>
        </w:rPr>
        <w:t>No uso da CAL do Windows Server e CAL Padrão do Exchange Server 2010 sob essa concessão, as CALs Qualificadas do Pacote de CALs do SBS 2011 padrão existentes dos clientes não serão mais válidas.</w:t>
      </w:r>
    </w:p>
    <w:p w:rsidR="000F0F4D" w:rsidRPr="000A1C8E" w:rsidRDefault="000F0F4D" w:rsidP="000F0F4D">
      <w:pPr>
        <w:ind w:left="720"/>
        <w:rPr>
          <w:rFonts w:cs="Tahoma"/>
          <w:szCs w:val="18"/>
        </w:rPr>
      </w:pPr>
    </w:p>
    <w:p w:rsidR="00836655" w:rsidRPr="000A1C8E" w:rsidRDefault="00836655" w:rsidP="000F0F4D">
      <w:pPr>
        <w:ind w:left="720"/>
        <w:rPr>
          <w:rFonts w:cs="Tahoma"/>
          <w:szCs w:val="18"/>
        </w:rPr>
      </w:pPr>
      <w:r w:rsidRPr="000A1C8E">
        <w:rPr>
          <w:rFonts w:cs="Tahoma"/>
          <w:color w:val="000000"/>
          <w:szCs w:val="18"/>
        </w:rPr>
        <w:t>O Pacote de CAL do SBS 2011</w:t>
      </w:r>
      <w:r w:rsidRPr="000A1C8E">
        <w:rPr>
          <w:rFonts w:cs="Tahoma"/>
          <w:bCs/>
          <w:color w:val="000000"/>
          <w:szCs w:val="18"/>
        </w:rPr>
        <w:t xml:space="preserve"> adquirido posteriormente no mesmo prazo de registro, como parte de um processo de adequação (“true-up”) programado do cliente Open Value Subscription ou EES também são CALs Qualificadas para os propósitos da concessão supracitada.</w:t>
      </w:r>
      <w:r w:rsidRPr="000A1C8E">
        <w:rPr>
          <w:rFonts w:eastAsia="Calibri" w:cs="Tahoma"/>
          <w:szCs w:val="18"/>
        </w:rPr>
        <w:t xml:space="preserve"> </w:t>
      </w:r>
    </w:p>
    <w:p w:rsidR="009B1D83" w:rsidRPr="000A1C8E" w:rsidRDefault="009B1D83" w:rsidP="000F0F4D">
      <w:pPr>
        <w:ind w:left="900"/>
        <w:rPr>
          <w:rFonts w:cs="Tahoma"/>
          <w:szCs w:val="18"/>
        </w:rPr>
      </w:pPr>
    </w:p>
    <w:p w:rsidR="00586FCE" w:rsidRPr="000A1C8E" w:rsidRDefault="00586FCE" w:rsidP="000F0F4D">
      <w:pPr>
        <w:ind w:left="900"/>
        <w:rPr>
          <w:rFonts w:cs="Tahoma"/>
          <w:szCs w:val="18"/>
        </w:rPr>
      </w:pPr>
    </w:p>
    <w:p w:rsidR="00B54BAC" w:rsidRPr="000A1C8E" w:rsidRDefault="00B54BAC" w:rsidP="000F0F4D">
      <w:pPr>
        <w:ind w:left="900"/>
        <w:rPr>
          <w:rFonts w:cs="Tahoma"/>
          <w:szCs w:val="18"/>
        </w:rPr>
      </w:pPr>
    </w:p>
    <w:p w:rsidR="00B54BAC" w:rsidRPr="000A1C8E" w:rsidRDefault="00B54BAC" w:rsidP="000F0F4D">
      <w:pPr>
        <w:ind w:left="900"/>
        <w:rPr>
          <w:rFonts w:cs="Tahoma"/>
          <w:szCs w:val="18"/>
        </w:rPr>
      </w:pPr>
    </w:p>
    <w:p w:rsidR="00B54BAC" w:rsidRPr="000A1C8E" w:rsidRDefault="00B54BAC" w:rsidP="000F0F4D">
      <w:pPr>
        <w:ind w:left="900"/>
        <w:rPr>
          <w:rFonts w:cs="Tahoma"/>
          <w:szCs w:val="18"/>
        </w:rPr>
      </w:pPr>
    </w:p>
    <w:p w:rsidR="00E06578" w:rsidRPr="000A1C8E" w:rsidRDefault="00A560B6" w:rsidP="00BD3A67">
      <w:pPr>
        <w:pStyle w:val="Heading2"/>
        <w:ind w:left="346" w:hanging="346"/>
        <w:rPr>
          <w:rFonts w:ascii="Tahoma" w:hAnsi="Tahoma" w:cs="Tahoma"/>
        </w:rPr>
      </w:pPr>
      <w:bookmarkStart w:id="1712" w:name="_124_Windows_Small"/>
      <w:bookmarkStart w:id="1713" w:name="_112_Windows_Small"/>
      <w:bookmarkStart w:id="1714" w:name="_117_Windows_Small"/>
      <w:bookmarkStart w:id="1715" w:name="_118_Pacote_de"/>
      <w:bookmarkStart w:id="1716" w:name="_Toc336338380"/>
      <w:bookmarkStart w:id="1717" w:name="_Toc361829461"/>
      <w:bookmarkEnd w:id="1712"/>
      <w:bookmarkEnd w:id="1713"/>
      <w:bookmarkEnd w:id="1714"/>
      <w:bookmarkEnd w:id="1715"/>
      <w:r w:rsidRPr="000A1C8E">
        <w:rPr>
          <w:rFonts w:ascii="Tahoma" w:hAnsi="Tahoma" w:cs="Tahoma"/>
          <w:caps/>
          <w:color w:val="EE6000"/>
          <w:sz w:val="22"/>
          <w:szCs w:val="18"/>
          <w:vertAlign w:val="superscript"/>
        </w:rPr>
        <w:lastRenderedPageBreak/>
        <w:t>118</w:t>
      </w:r>
      <w:r w:rsidRPr="000A1C8E">
        <w:rPr>
          <w:rFonts w:ascii="Tahoma" w:hAnsi="Tahoma" w:cs="Tahoma"/>
          <w:color w:val="EE6000"/>
          <w:sz w:val="22"/>
          <w:szCs w:val="18"/>
        </w:rPr>
        <w:t xml:space="preserve"> </w:t>
      </w:r>
      <w:r w:rsidRPr="000A1C8E">
        <w:rPr>
          <w:rFonts w:ascii="Tahoma" w:hAnsi="Tahoma" w:cs="Tahoma"/>
          <w:color w:val="F8701C"/>
          <w:sz w:val="22"/>
          <w:szCs w:val="22"/>
        </w:rPr>
        <w:t>Pacote de CALs Complementares do Windows Small Business Server (SBS) 2011 Premium</w:t>
      </w:r>
      <w:bookmarkEnd w:id="1716"/>
      <w:bookmarkEnd w:id="1717"/>
    </w:p>
    <w:p w:rsidR="00E06578" w:rsidRPr="000A1C8E" w:rsidRDefault="00E06578" w:rsidP="00910113">
      <w:pPr>
        <w:ind w:left="720"/>
        <w:rPr>
          <w:rFonts w:cs="Tahoma"/>
        </w:rPr>
      </w:pPr>
    </w:p>
    <w:p w:rsidR="00910113" w:rsidRPr="000A1C8E" w:rsidRDefault="00836655" w:rsidP="00910113">
      <w:pPr>
        <w:spacing w:after="60"/>
        <w:ind w:left="720"/>
        <w:rPr>
          <w:rFonts w:cs="Tahoma"/>
        </w:rPr>
      </w:pPr>
      <w:r w:rsidRPr="000A1C8E">
        <w:rPr>
          <w:rFonts w:cs="Tahoma"/>
          <w:b/>
          <w:color w:val="000000"/>
        </w:rPr>
        <w:t>Outorgas de licença associadas ao término da validade do Pacote de CALs do Complemento do SBS 2011 Premium</w:t>
      </w:r>
    </w:p>
    <w:p w:rsidR="002512D3" w:rsidRPr="000A1C8E" w:rsidRDefault="00836655" w:rsidP="00B54BAC">
      <w:pPr>
        <w:ind w:left="720"/>
        <w:rPr>
          <w:rFonts w:cs="Tahoma"/>
          <w:spacing w:val="-2"/>
        </w:rPr>
      </w:pPr>
      <w:r w:rsidRPr="000A1C8E">
        <w:rPr>
          <w:rFonts w:cs="Tahoma"/>
          <w:spacing w:val="-2"/>
        </w:rPr>
        <w:t>Os clientes com cobertura do Software Assurance ativa para o Pacote de CALs do Complemento do SBS 2011 Premium (“CALs Qualificadas”) estão qualificados para acessar os softwares Windows Server Standard e SQL</w:t>
      </w:r>
      <w:r w:rsidR="00B54BAC" w:rsidRPr="000A1C8E">
        <w:rPr>
          <w:rFonts w:cs="Tahoma"/>
          <w:spacing w:val="-2"/>
        </w:rPr>
        <w:t> </w:t>
      </w:r>
      <w:r w:rsidRPr="000A1C8E">
        <w:rPr>
          <w:rFonts w:cs="Tahoma"/>
          <w:spacing w:val="-2"/>
        </w:rPr>
        <w:t>Server 2012 Standard.</w:t>
      </w:r>
      <w:r w:rsidR="00DC6D8B" w:rsidRPr="000A1C8E">
        <w:rPr>
          <w:rFonts w:cs="Tahoma"/>
          <w:spacing w:val="-2"/>
        </w:rPr>
        <w:t xml:space="preserve"> </w:t>
      </w:r>
      <w:r w:rsidRPr="000A1C8E">
        <w:rPr>
          <w:rFonts w:cs="Tahoma"/>
          <w:spacing w:val="-2"/>
        </w:rPr>
        <w:t>A partir de 1</w:t>
      </w:r>
      <w:r w:rsidRPr="000A1C8E">
        <w:rPr>
          <w:rFonts w:cs="Tahoma"/>
          <w:spacing w:val="-2"/>
          <w:vertAlign w:val="superscript"/>
        </w:rPr>
        <w:t>º</w:t>
      </w:r>
      <w:r w:rsidRPr="000A1C8E">
        <w:rPr>
          <w:rFonts w:cs="Tahoma"/>
          <w:spacing w:val="-2"/>
        </w:rPr>
        <w:t xml:space="preserve"> de agosto de 2012, para cada Pacote de CALs qualificadas do Complemento do SBS 2011 Premium que o cliente possuir, o cliente será considerado possuidor de uma CAL do Windows Server 2012 e uma CAL do SQL Server 2012 com cobertura de Software Assurance. </w:t>
      </w:r>
      <w:r w:rsidRPr="000A1C8E">
        <w:rPr>
          <w:rFonts w:eastAsia="Calibri" w:cs="Tahoma"/>
          <w:spacing w:val="-2"/>
          <w:szCs w:val="18"/>
        </w:rPr>
        <w:t>Para facilitar tal uso, para cada Licença Qualificada que o cliente possui, ele receberá uma CAL para cada Windows Server e</w:t>
      </w:r>
      <w:r w:rsidR="00B54BAC" w:rsidRPr="000A1C8E">
        <w:rPr>
          <w:rFonts w:eastAsia="Calibri" w:cs="Tahoma"/>
          <w:spacing w:val="-2"/>
          <w:szCs w:val="18"/>
        </w:rPr>
        <w:t> </w:t>
      </w:r>
      <w:r w:rsidRPr="000A1C8E">
        <w:rPr>
          <w:rFonts w:eastAsia="Calibri" w:cs="Tahoma"/>
          <w:spacing w:val="-2"/>
          <w:szCs w:val="18"/>
        </w:rPr>
        <w:t xml:space="preserve">SQL Server 2012 (licenciada sob o modelo de Servidor/CAL), como pode ser visto na tabela a seguir. </w:t>
      </w:r>
    </w:p>
    <w:p w:rsidR="00836655" w:rsidRPr="000A1C8E" w:rsidRDefault="00836655" w:rsidP="00910113">
      <w:pPr>
        <w:ind w:left="720"/>
        <w:rPr>
          <w:rFonts w:cs="Tahoma"/>
        </w:rPr>
      </w:pPr>
    </w:p>
    <w:p w:rsidR="00910113" w:rsidRPr="000A1C8E" w:rsidRDefault="00910113" w:rsidP="00910113">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A1C8E"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A1C8E" w:rsidRDefault="00836655" w:rsidP="000A5032">
            <w:pPr>
              <w:spacing w:after="200" w:line="276" w:lineRule="auto"/>
              <w:rPr>
                <w:rFonts w:eastAsia="Calibri" w:cs="Tahoma"/>
                <w:szCs w:val="18"/>
              </w:rPr>
            </w:pPr>
            <w:r w:rsidRPr="000A1C8E">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A1C8E" w:rsidRDefault="00836655" w:rsidP="000A5032">
            <w:pPr>
              <w:spacing w:after="200" w:line="276" w:lineRule="auto"/>
              <w:rPr>
                <w:rFonts w:eastAsia="Calibri" w:cs="Tahoma"/>
                <w:szCs w:val="18"/>
              </w:rPr>
            </w:pPr>
            <w:r w:rsidRPr="000A1C8E">
              <w:rPr>
                <w:rFonts w:cs="Tahoma"/>
                <w:b/>
                <w:color w:val="000000"/>
              </w:rPr>
              <w:t>Outorga de Licença</w:t>
            </w:r>
          </w:p>
        </w:tc>
      </w:tr>
      <w:tr w:rsidR="00836655" w:rsidRPr="000A1C8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A1C8E" w:rsidRDefault="00836655" w:rsidP="00CA14C9">
            <w:pPr>
              <w:spacing w:line="276" w:lineRule="auto"/>
              <w:rPr>
                <w:rFonts w:eastAsia="Calibri" w:cs="Tahoma"/>
                <w:szCs w:val="18"/>
              </w:rPr>
            </w:pPr>
            <w:r w:rsidRPr="000A1C8E">
              <w:rPr>
                <w:rFonts w:eastAsia="Calibri" w:cs="Tahoma"/>
                <w:szCs w:val="18"/>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A1C8E" w:rsidRDefault="00836655" w:rsidP="00CA14C9">
            <w:pPr>
              <w:spacing w:line="276" w:lineRule="auto"/>
              <w:rPr>
                <w:rFonts w:cs="Tahoma"/>
              </w:rPr>
            </w:pPr>
            <w:r w:rsidRPr="000A1C8E">
              <w:rPr>
                <w:rFonts w:eastAsia="Calibri" w:cs="Tahoma"/>
                <w:szCs w:val="18"/>
              </w:rPr>
              <w:t>CAL do Windows Server 2008 R2</w:t>
            </w:r>
          </w:p>
          <w:p w:rsidR="00836655" w:rsidRPr="000A1C8E" w:rsidRDefault="00836655" w:rsidP="00CA14C9">
            <w:pPr>
              <w:spacing w:line="276" w:lineRule="auto"/>
              <w:rPr>
                <w:rFonts w:eastAsia="Calibri" w:cs="Tahoma"/>
                <w:szCs w:val="18"/>
              </w:rPr>
            </w:pPr>
            <w:r w:rsidRPr="000A1C8E">
              <w:rPr>
                <w:rFonts w:eastAsia="Calibri" w:cs="Tahoma"/>
                <w:szCs w:val="18"/>
              </w:rPr>
              <w:t>CAL do SQL Server 2012</w:t>
            </w:r>
          </w:p>
        </w:tc>
      </w:tr>
      <w:tr w:rsidR="00836655" w:rsidRPr="000A1C8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A1C8E" w:rsidRDefault="00836655" w:rsidP="00B54BAC">
            <w:pPr>
              <w:spacing w:line="276" w:lineRule="auto"/>
              <w:rPr>
                <w:rFonts w:eastAsia="Calibri" w:cs="Tahoma"/>
                <w:szCs w:val="18"/>
              </w:rPr>
            </w:pPr>
            <w:r w:rsidRPr="000A1C8E">
              <w:rPr>
                <w:rFonts w:eastAsia="Calibri" w:cs="Tahoma"/>
                <w:szCs w:val="18"/>
              </w:rPr>
              <w:t>Pacote de CALs do Complemento do SBS 2011 Premium com cobertura do Software Assurance em ou depois de 1o. de agosto de</w:t>
            </w:r>
            <w:r w:rsidR="00B54BAC" w:rsidRPr="000A1C8E">
              <w:rPr>
                <w:rFonts w:eastAsia="Calibri" w:cs="Tahoma"/>
                <w:szCs w:val="18"/>
              </w:rPr>
              <w:t> </w:t>
            </w:r>
            <w:r w:rsidRPr="000A1C8E">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A1C8E" w:rsidRDefault="00836655" w:rsidP="00CA14C9">
            <w:pPr>
              <w:spacing w:line="276" w:lineRule="auto"/>
              <w:rPr>
                <w:rFonts w:cs="Tahoma"/>
              </w:rPr>
            </w:pPr>
            <w:r w:rsidRPr="000A1C8E">
              <w:rPr>
                <w:rFonts w:eastAsia="Calibri" w:cs="Tahoma"/>
                <w:szCs w:val="18"/>
              </w:rPr>
              <w:t>CAL do Windows Server 2012 com Software Assurance</w:t>
            </w:r>
          </w:p>
          <w:p w:rsidR="00836655" w:rsidRPr="000A1C8E" w:rsidRDefault="00836655" w:rsidP="00CA14C9">
            <w:pPr>
              <w:spacing w:line="276" w:lineRule="auto"/>
              <w:rPr>
                <w:rFonts w:eastAsia="Calibri" w:cs="Tahoma"/>
                <w:szCs w:val="18"/>
              </w:rPr>
            </w:pPr>
            <w:r w:rsidRPr="000A1C8E">
              <w:rPr>
                <w:rFonts w:eastAsia="Calibri" w:cs="Tahoma"/>
                <w:szCs w:val="18"/>
              </w:rPr>
              <w:t>CAL do SQL Server 2012 com Software Assurance</w:t>
            </w:r>
          </w:p>
        </w:tc>
      </w:tr>
    </w:tbl>
    <w:p w:rsidR="00836655" w:rsidRPr="000A1C8E" w:rsidRDefault="00836655" w:rsidP="00910113">
      <w:pPr>
        <w:rPr>
          <w:rFonts w:cs="Tahoma"/>
          <w:szCs w:val="18"/>
        </w:rPr>
      </w:pPr>
      <w:r w:rsidRPr="000A1C8E">
        <w:rPr>
          <w:rFonts w:eastAsia="Calibri" w:cs="Tahoma"/>
          <w:szCs w:val="18"/>
        </w:rPr>
        <w:t xml:space="preserve"> </w:t>
      </w:r>
    </w:p>
    <w:p w:rsidR="00836655" w:rsidRPr="000A1C8E" w:rsidRDefault="00836655" w:rsidP="00910113">
      <w:pPr>
        <w:pStyle w:val="ListParagraph"/>
        <w:contextualSpacing w:val="0"/>
        <w:rPr>
          <w:rFonts w:ascii="Tahoma" w:hAnsi="Tahoma" w:cs="Tahoma"/>
          <w:sz w:val="18"/>
          <w:szCs w:val="18"/>
        </w:rPr>
      </w:pPr>
      <w:r w:rsidRPr="000A1C8E">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w:t>
      </w:r>
      <w:r w:rsidR="00DC6D8B" w:rsidRPr="000A1C8E">
        <w:rPr>
          <w:rFonts w:ascii="Tahoma" w:eastAsia="Calibri" w:hAnsi="Tahoma" w:cs="Tahoma"/>
          <w:sz w:val="18"/>
          <w:szCs w:val="18"/>
        </w:rPr>
        <w:t xml:space="preserve"> </w:t>
      </w:r>
      <w:r w:rsidRPr="000A1C8E">
        <w:rPr>
          <w:rFonts w:ascii="Tahoma" w:eastAsia="Calibri" w:hAnsi="Tahoma" w:cs="Tahoma"/>
          <w:sz w:val="18"/>
          <w:szCs w:val="18"/>
        </w:rPr>
        <w:t>Os clientes com Software Assurance em CALs Qualificadas que expiram em julho de 2012 poderão, até 31 de dezembro de 2012, adquirir o Software Assurance nas CALs concedidas sob esta oferta.</w:t>
      </w:r>
    </w:p>
    <w:p w:rsidR="00910113" w:rsidRPr="000A1C8E" w:rsidRDefault="00910113" w:rsidP="00910113">
      <w:pPr>
        <w:pStyle w:val="ListParagraph"/>
        <w:contextualSpacing w:val="0"/>
        <w:rPr>
          <w:rFonts w:ascii="Tahoma" w:hAnsi="Tahoma" w:cs="Tahoma"/>
          <w:sz w:val="18"/>
          <w:szCs w:val="18"/>
        </w:rPr>
      </w:pPr>
    </w:p>
    <w:p w:rsidR="00836655" w:rsidRPr="000A1C8E" w:rsidRDefault="00836655" w:rsidP="00910113">
      <w:pPr>
        <w:pStyle w:val="ListParagraph"/>
        <w:contextualSpacing w:val="0"/>
        <w:rPr>
          <w:rFonts w:ascii="Tahoma" w:hAnsi="Tahoma" w:cs="Tahoma"/>
          <w:sz w:val="18"/>
          <w:szCs w:val="18"/>
        </w:rPr>
      </w:pPr>
      <w:r w:rsidRPr="000A1C8E">
        <w:rPr>
          <w:rFonts w:ascii="Tahoma" w:eastAsia="Calibri"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910113" w:rsidRPr="000A1C8E" w:rsidRDefault="00910113" w:rsidP="00910113">
      <w:pPr>
        <w:pStyle w:val="ListParagraph"/>
        <w:contextualSpacing w:val="0"/>
        <w:rPr>
          <w:rFonts w:ascii="Tahoma" w:hAnsi="Tahoma" w:cs="Tahoma"/>
          <w:sz w:val="18"/>
          <w:szCs w:val="18"/>
        </w:rPr>
      </w:pPr>
    </w:p>
    <w:p w:rsidR="00836655" w:rsidRPr="000A1C8E" w:rsidRDefault="00836655" w:rsidP="00910113">
      <w:pPr>
        <w:pStyle w:val="ListParagraph"/>
        <w:contextualSpacing w:val="0"/>
        <w:rPr>
          <w:rFonts w:ascii="Tahoma" w:hAnsi="Tahoma" w:cs="Tahoma"/>
          <w:sz w:val="18"/>
          <w:szCs w:val="18"/>
        </w:rPr>
      </w:pPr>
      <w:r w:rsidRPr="000A1C8E">
        <w:rPr>
          <w:rFonts w:ascii="Tahoma" w:eastAsia="Calibri" w:hAnsi="Tahoma" w:cs="Tahoma"/>
          <w:sz w:val="18"/>
          <w:szCs w:val="18"/>
        </w:rPr>
        <w:t>Para cada CAL Qualificada adquirida sob Open Value Subscription, um cliente pode comprar um Pacote de CALs do Complemento do SBS 2011 Premium, conforme cotado ou:</w:t>
      </w:r>
    </w:p>
    <w:p w:rsidR="00910113" w:rsidRPr="000A1C8E" w:rsidRDefault="00910113" w:rsidP="00910113">
      <w:pPr>
        <w:pStyle w:val="ListParagraph"/>
        <w:contextualSpacing w:val="0"/>
        <w:rPr>
          <w:rFonts w:ascii="Tahoma" w:hAnsi="Tahoma" w:cs="Tahoma"/>
          <w:sz w:val="18"/>
          <w:szCs w:val="18"/>
        </w:rPr>
      </w:pPr>
    </w:p>
    <w:p w:rsidR="00836655" w:rsidRPr="000A1C8E"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0A1C8E">
        <w:rPr>
          <w:rFonts w:ascii="Tahoma" w:eastAsia="Calibri" w:hAnsi="Tahoma" w:cs="Tahoma"/>
          <w:sz w:val="18"/>
          <w:szCs w:val="18"/>
        </w:rPr>
        <w:t>Uma CAL para cada Windows Server 2012 e SQL Server 2012 para contratos que expiram em ou depois de 1</w:t>
      </w:r>
      <w:r w:rsidRPr="000A1C8E">
        <w:rPr>
          <w:rFonts w:ascii="Tahoma" w:eastAsia="Calibri" w:hAnsi="Tahoma" w:cs="Tahoma"/>
          <w:sz w:val="18"/>
          <w:szCs w:val="18"/>
          <w:vertAlign w:val="superscript"/>
        </w:rPr>
        <w:t>º</w:t>
      </w:r>
      <w:r w:rsidRPr="000A1C8E">
        <w:rPr>
          <w:rFonts w:ascii="Tahoma" w:eastAsia="Calibri" w:hAnsi="Tahoma" w:cs="Tahoma"/>
          <w:sz w:val="18"/>
          <w:szCs w:val="18"/>
        </w:rPr>
        <w:t xml:space="preserve"> de agosto de 2012 ou</w:t>
      </w:r>
    </w:p>
    <w:p w:rsidR="00836655" w:rsidRPr="000A1C8E"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0A1C8E">
        <w:rPr>
          <w:rFonts w:ascii="Tahoma" w:eastAsia="Calibri" w:hAnsi="Tahoma" w:cs="Tahoma"/>
          <w:sz w:val="18"/>
          <w:szCs w:val="18"/>
        </w:rPr>
        <w:t>Uma CAL para cada Windows Server 2008 e SQL Server 2012 para contratos que expiram em julho de 2012.</w:t>
      </w:r>
    </w:p>
    <w:p w:rsidR="00910113" w:rsidRPr="000A1C8E" w:rsidRDefault="00910113" w:rsidP="00910113">
      <w:pPr>
        <w:pStyle w:val="ListParagraph"/>
        <w:ind w:left="1800"/>
        <w:contextualSpacing w:val="0"/>
        <w:rPr>
          <w:rFonts w:ascii="Tahoma" w:hAnsi="Tahoma" w:cs="Tahoma"/>
          <w:sz w:val="18"/>
          <w:szCs w:val="18"/>
        </w:rPr>
      </w:pPr>
    </w:p>
    <w:p w:rsidR="00836655" w:rsidRPr="000A1C8E" w:rsidRDefault="00836655" w:rsidP="00910113">
      <w:pPr>
        <w:ind w:left="720"/>
        <w:rPr>
          <w:rFonts w:cs="Tahoma"/>
          <w:szCs w:val="18"/>
        </w:rPr>
      </w:pPr>
      <w:r w:rsidRPr="000A1C8E">
        <w:rPr>
          <w:rFonts w:eastAsia="Calibri" w:cs="Tahoma"/>
          <w:szCs w:val="18"/>
        </w:rPr>
        <w:t>No uso das CALs do Windows Server 2012 e CALs do SQL Server 2012 sob essa concessão, os Pacotes de CALs Qualificadas do Complemento do SBS Premium existentes do cliente não serão mais válidas.</w:t>
      </w:r>
    </w:p>
    <w:p w:rsidR="00910113" w:rsidRPr="000A1C8E" w:rsidRDefault="00910113" w:rsidP="00910113">
      <w:pPr>
        <w:ind w:left="720"/>
        <w:rPr>
          <w:rFonts w:cs="Tahoma"/>
          <w:szCs w:val="18"/>
        </w:rPr>
      </w:pPr>
    </w:p>
    <w:p w:rsidR="00836655" w:rsidRPr="000A1C8E" w:rsidRDefault="00836655" w:rsidP="00B54BAC">
      <w:pPr>
        <w:ind w:left="720"/>
        <w:rPr>
          <w:rFonts w:cs="Tahoma"/>
          <w:szCs w:val="18"/>
        </w:rPr>
      </w:pPr>
      <w:r w:rsidRPr="000A1C8E">
        <w:rPr>
          <w:rFonts w:cs="Tahoma"/>
          <w:color w:val="000000"/>
          <w:szCs w:val="18"/>
        </w:rPr>
        <w:t>Os Pacotes de CALs do Complemento do SBS 2011 Premium</w:t>
      </w:r>
      <w:r w:rsidRPr="000A1C8E">
        <w:rPr>
          <w:rFonts w:cs="Tahoma"/>
          <w:bCs/>
          <w:color w:val="000000"/>
          <w:szCs w:val="18"/>
        </w:rPr>
        <w:t xml:space="preserve"> adquiridas posteriormente no mesmo prazo de</w:t>
      </w:r>
      <w:r w:rsidR="00B54BAC" w:rsidRPr="000A1C8E">
        <w:rPr>
          <w:rFonts w:cs="Tahoma"/>
          <w:bCs/>
          <w:color w:val="000000"/>
          <w:szCs w:val="18"/>
        </w:rPr>
        <w:t> </w:t>
      </w:r>
      <w:r w:rsidRPr="000A1C8E">
        <w:rPr>
          <w:rFonts w:cs="Tahoma"/>
          <w:bCs/>
          <w:color w:val="000000"/>
          <w:szCs w:val="18"/>
        </w:rPr>
        <w:t>registro, como parte de um processo de adequação (“true-up”) programado do cliente Open Value Subscription ou EES também são CALs Qualificadas para os propósitos da concessão supracitada.</w:t>
      </w:r>
      <w:r w:rsidRPr="000A1C8E">
        <w:rPr>
          <w:rFonts w:eastAsia="Calibri" w:cs="Tahoma"/>
          <w:szCs w:val="18"/>
        </w:rPr>
        <w:t xml:space="preserve"> </w:t>
      </w:r>
    </w:p>
    <w:p w:rsidR="00836655" w:rsidRPr="000A1C8E" w:rsidRDefault="00836655" w:rsidP="00910113">
      <w:pPr>
        <w:rPr>
          <w:rFonts w:cs="Tahoma"/>
          <w:szCs w:val="18"/>
        </w:rPr>
      </w:pPr>
    </w:p>
    <w:p w:rsidR="00836655" w:rsidRPr="000A1C8E" w:rsidRDefault="00836655" w:rsidP="00910113">
      <w:pPr>
        <w:widowControl w:val="0"/>
        <w:jc w:val="both"/>
        <w:rPr>
          <w:rFonts w:cs="Tahoma"/>
        </w:rPr>
      </w:pPr>
      <w:bookmarkStart w:id="1718" w:name="_123_Windows_Azure"/>
      <w:bookmarkEnd w:id="1718"/>
    </w:p>
    <w:p w:rsidR="00B54BAC" w:rsidRPr="000A1C8E" w:rsidRDefault="00B54BAC" w:rsidP="00910113">
      <w:pPr>
        <w:widowControl w:val="0"/>
        <w:jc w:val="both"/>
        <w:rPr>
          <w:rFonts w:cs="Tahoma"/>
        </w:rPr>
      </w:pPr>
    </w:p>
    <w:p w:rsidR="00B54BAC" w:rsidRPr="000A1C8E" w:rsidRDefault="00B54BAC" w:rsidP="00910113">
      <w:pPr>
        <w:widowControl w:val="0"/>
        <w:jc w:val="both"/>
        <w:rPr>
          <w:rFonts w:cs="Tahoma"/>
        </w:rPr>
      </w:pPr>
    </w:p>
    <w:p w:rsidR="00836655" w:rsidRPr="000A1C8E" w:rsidRDefault="00A560B6" w:rsidP="007B35CE">
      <w:pPr>
        <w:pStyle w:val="Heading2"/>
        <w:keepNext/>
        <w:ind w:left="0"/>
        <w:rPr>
          <w:rFonts w:ascii="Tahoma" w:hAnsi="Tahoma" w:cs="Tahoma"/>
        </w:rPr>
      </w:pPr>
      <w:bookmarkStart w:id="1719" w:name="_124_Windows_Small_1"/>
      <w:bookmarkStart w:id="1720" w:name="_114_Windows_Small"/>
      <w:bookmarkStart w:id="1721" w:name="_118_Windows_Small"/>
      <w:bookmarkStart w:id="1722" w:name="_Toc336338381"/>
      <w:bookmarkStart w:id="1723" w:name="_Toc361829462"/>
      <w:bookmarkEnd w:id="1719"/>
      <w:bookmarkEnd w:id="1720"/>
      <w:bookmarkEnd w:id="1721"/>
      <w:r w:rsidRPr="000A1C8E">
        <w:rPr>
          <w:rFonts w:ascii="Tahoma" w:hAnsi="Tahoma" w:cs="Tahoma"/>
          <w:color w:val="F8701C"/>
          <w:sz w:val="22"/>
          <w:szCs w:val="22"/>
          <w:vertAlign w:val="superscript"/>
        </w:rPr>
        <w:lastRenderedPageBreak/>
        <w:t xml:space="preserve">119 </w:t>
      </w:r>
      <w:r w:rsidRPr="000A1C8E">
        <w:rPr>
          <w:rFonts w:ascii="Tahoma" w:hAnsi="Tahoma" w:cs="Tahoma"/>
          <w:color w:val="F8701C"/>
          <w:sz w:val="22"/>
          <w:szCs w:val="22"/>
        </w:rPr>
        <w:t>Windows Small Business Server 2011 Essentials</w:t>
      </w:r>
      <w:bookmarkEnd w:id="1722"/>
      <w:bookmarkEnd w:id="1723"/>
    </w:p>
    <w:p w:rsidR="003C1BA8" w:rsidRPr="000A1C8E" w:rsidRDefault="003C1BA8" w:rsidP="007B35CE">
      <w:pPr>
        <w:keepNext/>
        <w:rPr>
          <w:rFonts w:cs="Tahoma"/>
        </w:rPr>
      </w:pPr>
    </w:p>
    <w:p w:rsidR="00910113" w:rsidRPr="000A1C8E" w:rsidRDefault="00836655" w:rsidP="00910113">
      <w:pPr>
        <w:spacing w:after="60"/>
        <w:ind w:left="720"/>
        <w:rPr>
          <w:rFonts w:cs="Tahoma"/>
        </w:rPr>
      </w:pPr>
      <w:r w:rsidRPr="000A1C8E">
        <w:rPr>
          <w:rFonts w:cs="Tahoma"/>
          <w:b/>
          <w:bCs/>
          <w:color w:val="000000"/>
        </w:rPr>
        <w:t>Outorgas de licença associadas ao término da validade do Windows Small Business Server (SBS) 2011 Essentials</w:t>
      </w:r>
      <w:r w:rsidRPr="000A1C8E">
        <w:rPr>
          <w:rFonts w:cs="Tahoma"/>
          <w:color w:val="000000"/>
        </w:rPr>
        <w:t xml:space="preserve"> </w:t>
      </w:r>
    </w:p>
    <w:p w:rsidR="00836655" w:rsidRPr="000A1C8E" w:rsidRDefault="00836655" w:rsidP="00047B15">
      <w:pPr>
        <w:ind w:left="720"/>
        <w:rPr>
          <w:rFonts w:cs="Tahoma"/>
        </w:rPr>
      </w:pPr>
      <w:r w:rsidRPr="000A1C8E">
        <w:rPr>
          <w:rFonts w:cs="Tahoma"/>
        </w:rPr>
        <w:t>O Windows SBS 2011 Essentials será a última versão do Windows SBS Essentials. Os clientes de Licenciamento por Volume com Software Assurance ativo para licenças do Windows SBS 2011 Essentials em</w:t>
      </w:r>
      <w:r w:rsidR="00047B15">
        <w:rPr>
          <w:rFonts w:cs="Tahoma"/>
        </w:rPr>
        <w:t> </w:t>
      </w:r>
      <w:r w:rsidRPr="000A1C8E">
        <w:rPr>
          <w:rFonts w:cs="Tahoma"/>
        </w:rPr>
        <w:t>1</w:t>
      </w:r>
      <w:r w:rsidRPr="000A1C8E">
        <w:rPr>
          <w:rFonts w:cs="Tahoma"/>
          <w:vertAlign w:val="superscript"/>
        </w:rPr>
        <w:t>º</w:t>
      </w:r>
      <w:r w:rsidRPr="000A1C8E">
        <w:rPr>
          <w:rFonts w:cs="Tahoma"/>
        </w:rPr>
        <w:t xml:space="preserve"> de novembro de 2012 ou a partir da data da primeira disponibilização do Windows Server 2012 Essentials para download no Volume Licensing Service Center (Centro de Atendimento de Licenciamento por</w:t>
      </w:r>
      <w:r w:rsidR="00047B15">
        <w:rPr>
          <w:rFonts w:cs="Tahoma"/>
        </w:rPr>
        <w:t> </w:t>
      </w:r>
      <w:r w:rsidRPr="000A1C8E">
        <w:rPr>
          <w:rFonts w:cs="Tahoma"/>
        </w:rPr>
        <w:t xml:space="preserve">Volume), o que ocorrer primeiro, (“Licenças Qualificadas”) poderão </w:t>
      </w:r>
      <w:r w:rsidRPr="000A1C8E">
        <w:rPr>
          <w:rFonts w:cs="Tahoma"/>
          <w:u w:val="single"/>
        </w:rPr>
        <w:t>atualizar para e</w:t>
      </w:r>
      <w:r w:rsidRPr="000A1C8E">
        <w:rPr>
          <w:rFonts w:cs="Tahoma"/>
        </w:rPr>
        <w:t xml:space="preserve"> usar o software Windows Server 2012 Essentials </w:t>
      </w:r>
      <w:r w:rsidRPr="000A1C8E">
        <w:rPr>
          <w:rFonts w:cs="Tahoma"/>
          <w:u w:val="single"/>
        </w:rPr>
        <w:t>em vez do SBS Essentials</w:t>
      </w:r>
      <w:r w:rsidR="00B37689" w:rsidRPr="00B37689">
        <w:rPr>
          <w:rFonts w:cs="Tahoma"/>
        </w:rPr>
        <w:t>.</w:t>
      </w:r>
      <w:r w:rsidRPr="000A1C8E">
        <w:rPr>
          <w:rFonts w:cs="Tahoma"/>
        </w:rPr>
        <w:t xml:space="preserve"> Para facilitar tal uso, para cada Licença Qualificada que o cliente possui, ele terá uma licença do processador Windows Server 2012 Essentials mediante a disponibilização do Windows Server Essentials.</w:t>
      </w:r>
      <w:r w:rsidR="00DC6D8B" w:rsidRPr="000A1C8E">
        <w:rPr>
          <w:rFonts w:cs="Tahoma"/>
        </w:rPr>
        <w:t xml:space="preserve"> </w:t>
      </w:r>
      <w:r w:rsidRPr="000A1C8E">
        <w:rPr>
          <w:rFonts w:cs="Tahoma"/>
        </w:rPr>
        <w:t>O uso do Windows Server 2012 Essentials será regido sob os termos de licença deste produto nos Direitos de uso do Produto e nos termos e nas condições dos contratos de Licenciamento por Volume dos clientes.</w:t>
      </w:r>
    </w:p>
    <w:p w:rsidR="00836655" w:rsidRPr="000A1C8E" w:rsidRDefault="00836655" w:rsidP="00910113">
      <w:pPr>
        <w:ind w:left="720"/>
        <w:rPr>
          <w:rFonts w:cs="Tahoma"/>
        </w:rPr>
      </w:pPr>
    </w:p>
    <w:p w:rsidR="00836655" w:rsidRPr="000A1C8E" w:rsidRDefault="00836655" w:rsidP="00910113">
      <w:pPr>
        <w:ind w:left="720"/>
        <w:rPr>
          <w:rFonts w:cs="Tahoma"/>
        </w:rPr>
      </w:pPr>
      <w:r w:rsidRPr="000A1C8E">
        <w:rPr>
          <w:rFonts w:cs="Tahoma"/>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836655" w:rsidRPr="000A1C8E" w:rsidRDefault="00836655" w:rsidP="00910113">
      <w:pPr>
        <w:ind w:left="720"/>
        <w:rPr>
          <w:rFonts w:cs="Tahoma"/>
        </w:rPr>
      </w:pPr>
    </w:p>
    <w:p w:rsidR="00836655" w:rsidRPr="000A1C8E" w:rsidRDefault="00836655" w:rsidP="00910113">
      <w:pPr>
        <w:ind w:left="720"/>
        <w:rPr>
          <w:rFonts w:cs="Tahoma"/>
        </w:rPr>
      </w:pPr>
      <w:r w:rsidRPr="000A1C8E">
        <w:rPr>
          <w:rFonts w:cs="Tahoma"/>
        </w:rPr>
        <w:t>Na atualização para o Windows Server 2012 Essentials sob essa concessão, as Licenças Qualificadas do SBS Essentials existentes do cliente não serão mais válidas.</w:t>
      </w:r>
    </w:p>
    <w:p w:rsidR="00836655" w:rsidRPr="000A1C8E" w:rsidRDefault="00836655" w:rsidP="00910113">
      <w:pPr>
        <w:ind w:left="720"/>
        <w:rPr>
          <w:rFonts w:cs="Tahoma"/>
        </w:rPr>
      </w:pPr>
    </w:p>
    <w:p w:rsidR="00000330" w:rsidRPr="000A1C8E" w:rsidRDefault="00836655" w:rsidP="00D16723">
      <w:pPr>
        <w:ind w:left="720"/>
        <w:rPr>
          <w:rFonts w:cs="Tahoma"/>
        </w:rPr>
      </w:pPr>
      <w:r w:rsidRPr="000A1C8E">
        <w:rPr>
          <w:rFonts w:cs="Tahoma"/>
        </w:rPr>
        <w:t>As licenças do SBS Essentials adquiridas posteriormente no mesmo prazo de registro, como parte de um processo de adequação (“true-up”) programado do cliente Open Value Subscription ou EES também são Licenças Qualificadas para os propósitos da concessão supracitada.</w:t>
      </w:r>
    </w:p>
    <w:sectPr w:rsidR="00000330" w:rsidRPr="000A1C8E"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7E7" w:rsidRDefault="006C57E7">
      <w:r>
        <w:separator/>
      </w:r>
    </w:p>
  </w:endnote>
  <w:endnote w:type="continuationSeparator" w:id="0">
    <w:p w:rsidR="006C57E7" w:rsidRDefault="006C57E7">
      <w:r>
        <w:continuationSeparator/>
      </w:r>
    </w:p>
  </w:endnote>
  <w:endnote w:type="continuationNotice" w:id="1">
    <w:p w:rsidR="006C57E7" w:rsidRDefault="006C57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eiryo">
    <w:panose1 w:val="020B0604030504040204"/>
    <w:charset w:val="80"/>
    <w:family w:val="swiss"/>
    <w:pitch w:val="variable"/>
    <w:sig w:usb0="E10102FF" w:usb1="EAC7FFFF" w:usb2="00010012" w:usb3="00000000" w:csb0="0002009F" w:csb1="00000000"/>
  </w:font>
  <w:font w:name="PMingLiU">
    <w:altName w:val="新細明體"/>
    <w:panose1 w:val="02020500000000000000"/>
    <w:charset w:val="88"/>
    <w:family w:val="auto"/>
    <w:notTrueType/>
    <w:pitch w:val="variable"/>
    <w:sig w:usb0="00000001" w:usb1="08080000" w:usb2="00000010" w:usb3="00000000" w:csb0="00100000"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565" w:rsidRDefault="00140565">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r w:rsidR="006C57E7">
      <w:fldChar w:fldCharType="begin"/>
    </w:r>
    <w:r w:rsidR="006C57E7">
      <w:instrText xml:space="preserve"> NUMPAGES </w:instrText>
    </w:r>
    <w:r w:rsidR="006C57E7">
      <w:fldChar w:fldCharType="separate"/>
    </w:r>
    <w:r w:rsidR="00D00248">
      <w:rPr>
        <w:noProof/>
      </w:rPr>
      <w:t>208</w:t>
    </w:r>
    <w:r w:rsidR="006C57E7">
      <w:rPr>
        <w:noProof/>
      </w:rPr>
      <w:fldChar w:fldCharType="end"/>
    </w:r>
    <w:r>
      <w:t xml:space="preserve"> Publicado em abril de 2009</w:t>
    </w:r>
  </w:p>
  <w:p w:rsidR="00140565" w:rsidRDefault="00140565">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565" w:rsidRDefault="00140565" w:rsidP="004F6A95"/>
  <w:p w:rsidR="00140565" w:rsidRPr="009D7C8E" w:rsidRDefault="00140565" w:rsidP="004F6A95">
    <w:pPr>
      <w:pStyle w:val="Footer"/>
      <w:pBdr>
        <w:top w:val="single" w:sz="6" w:space="1" w:color="808080"/>
      </w:pBdr>
      <w:tabs>
        <w:tab w:val="clear" w:pos="5155"/>
        <w:tab w:val="clear" w:pos="10325"/>
        <w:tab w:val="right" w:pos="9356"/>
      </w:tabs>
      <w:rPr>
        <w:rFonts w:ascii="Trebuchet MS" w:hAnsi="Trebuchet MS"/>
        <w:color w:val="808080"/>
        <w:sz w:val="14"/>
      </w:rPr>
    </w:pPr>
    <w:r>
      <w:rPr>
        <w:rFonts w:ascii="Trebuchet MS" w:hAnsi="Trebuchet MS"/>
        <w:color w:val="808080"/>
        <w:sz w:val="14"/>
      </w:rPr>
      <w:t xml:space="preserve">© 2013 Microsoft Corporation. Todos os direitos reservados. </w:t>
    </w:r>
    <w:r>
      <w:rPr>
        <w:rFonts w:ascii="Trebuchet MS" w:hAnsi="Trebuchet MS"/>
        <w:color w:val="808080"/>
        <w:sz w:val="14"/>
      </w:rPr>
      <w:tab/>
      <w:t xml:space="preserve">Página </w:t>
    </w:r>
    <w:r w:rsidRPr="00E47ADA">
      <w:rPr>
        <w:szCs w:val="18"/>
      </w:rPr>
      <w:fldChar w:fldCharType="begin"/>
    </w:r>
    <w:r w:rsidRPr="00E47ADA">
      <w:rPr>
        <w:szCs w:val="18"/>
      </w:rPr>
      <w:instrText xml:space="preserve"> PAGE </w:instrText>
    </w:r>
    <w:r w:rsidRPr="00E47ADA">
      <w:rPr>
        <w:szCs w:val="18"/>
      </w:rPr>
      <w:fldChar w:fldCharType="separate"/>
    </w:r>
    <w:r w:rsidR="00645BA7">
      <w:rPr>
        <w:noProof/>
        <w:szCs w:val="18"/>
      </w:rPr>
      <w:t>1</w:t>
    </w:r>
    <w:r w:rsidRPr="00E47ADA">
      <w:rPr>
        <w:szCs w:val="18"/>
      </w:rPr>
      <w:fldChar w:fldCharType="end"/>
    </w:r>
    <w:r>
      <w:rPr>
        <w:rFonts w:ascii="Trebuchet MS" w:hAnsi="Trebuchet MS"/>
        <w:color w:val="808080"/>
        <w:sz w:val="14"/>
      </w:rPr>
      <w:t xml:space="preserve"> de </w:t>
    </w:r>
    <w:r w:rsidRPr="00E47ADA">
      <w:rPr>
        <w:noProof/>
        <w:szCs w:val="18"/>
      </w:rPr>
      <w:fldChar w:fldCharType="begin"/>
    </w:r>
    <w:r w:rsidRPr="00E47ADA">
      <w:rPr>
        <w:noProof/>
        <w:szCs w:val="18"/>
      </w:rPr>
      <w:instrText xml:space="preserve"> NUMPAGES </w:instrText>
    </w:r>
    <w:r w:rsidRPr="00E47ADA">
      <w:rPr>
        <w:noProof/>
        <w:szCs w:val="18"/>
      </w:rPr>
      <w:fldChar w:fldCharType="separate"/>
    </w:r>
    <w:r w:rsidR="00645BA7">
      <w:rPr>
        <w:noProof/>
        <w:szCs w:val="18"/>
      </w:rPr>
      <w:t>210</w:t>
    </w:r>
    <w:r w:rsidRPr="00E47ADA">
      <w:rPr>
        <w:noProof/>
        <w:szCs w:val="18"/>
      </w:rPr>
      <w:fldChar w:fldCharType="end"/>
    </w:r>
    <w:r w:rsidRPr="00E47ADA">
      <w:rPr>
        <w:rFonts w:ascii="Trebuchet MS" w:hAnsi="Trebuchet MS"/>
        <w:color w:val="808080"/>
        <w:sz w:val="14"/>
      </w:rPr>
      <w:t xml:space="preserve"> Publicado em </w:t>
    </w:r>
    <w:r w:rsidRPr="004F6A95">
      <w:rPr>
        <w:rFonts w:ascii="Trebuchet MS" w:hAnsi="Trebuchet MS"/>
        <w:color w:val="808080"/>
        <w:sz w:val="14"/>
      </w:rPr>
      <w:t>Agosto</w:t>
    </w:r>
    <w:r w:rsidRPr="00E47ADA">
      <w:rPr>
        <w:rFonts w:ascii="Trebuchet MS" w:hAnsi="Trebuchet MS"/>
        <w:color w:val="808080"/>
        <w:sz w:val="14"/>
      </w:rPr>
      <w:t xml:space="preserve"> de 2013</w:t>
    </w:r>
  </w:p>
  <w:p w:rsidR="00140565" w:rsidRPr="00E47ADA" w:rsidRDefault="00140565" w:rsidP="004F6A95">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E47ADA">
      <w:rPr>
        <w:rFonts w:ascii="Trebuchet MS" w:hAnsi="Trebuchet MS"/>
        <w:color w:val="808080"/>
        <w:sz w:val="14"/>
        <w:lang w:val="pt-BR"/>
      </w:rPr>
      <w:t>Microsoft é marca comercial registrada da Microsoft Corporation nos Estados Unidos e/ou em outros países</w:t>
    </w:r>
    <w:r>
      <w:rPr>
        <w:rFonts w:ascii="Trebuchet MS" w:hAnsi="Trebuchet MS"/>
        <w:color w:val="808080"/>
        <w:sz w:val="14"/>
        <w:lang w:val="pt-BR"/>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565" w:rsidRDefault="00140565" w:rsidP="00DC6D8B"/>
  <w:p w:rsidR="00140565" w:rsidRPr="009D7C8E" w:rsidRDefault="00140565" w:rsidP="00DC6D8B">
    <w:pPr>
      <w:pStyle w:val="Footer"/>
      <w:pBdr>
        <w:top w:val="single" w:sz="6" w:space="1" w:color="808080"/>
      </w:pBdr>
      <w:tabs>
        <w:tab w:val="clear" w:pos="5155"/>
        <w:tab w:val="clear" w:pos="10325"/>
        <w:tab w:val="right" w:pos="9356"/>
      </w:tabs>
      <w:rPr>
        <w:rFonts w:ascii="Trebuchet MS" w:hAnsi="Trebuchet MS"/>
        <w:color w:val="808080"/>
        <w:sz w:val="14"/>
      </w:rPr>
    </w:pPr>
    <w:r>
      <w:rPr>
        <w:rFonts w:ascii="Trebuchet MS" w:hAnsi="Trebuchet MS"/>
        <w:color w:val="808080"/>
        <w:sz w:val="14"/>
      </w:rPr>
      <w:t xml:space="preserve">© 2013 Microsoft Corporation. Todos os direitos reservados. </w:t>
    </w:r>
    <w:r>
      <w:rPr>
        <w:rFonts w:ascii="Trebuchet MS" w:hAnsi="Trebuchet MS"/>
        <w:color w:val="808080"/>
        <w:sz w:val="14"/>
      </w:rPr>
      <w:tab/>
      <w:t xml:space="preserve">Página </w:t>
    </w:r>
    <w:r w:rsidRPr="00E47ADA">
      <w:rPr>
        <w:szCs w:val="18"/>
      </w:rPr>
      <w:fldChar w:fldCharType="begin"/>
    </w:r>
    <w:r w:rsidRPr="00E47ADA">
      <w:rPr>
        <w:szCs w:val="18"/>
      </w:rPr>
      <w:instrText xml:space="preserve"> PAGE </w:instrText>
    </w:r>
    <w:r w:rsidRPr="00E47ADA">
      <w:rPr>
        <w:szCs w:val="18"/>
      </w:rPr>
      <w:fldChar w:fldCharType="separate"/>
    </w:r>
    <w:r w:rsidR="00645BA7">
      <w:rPr>
        <w:noProof/>
        <w:szCs w:val="18"/>
      </w:rPr>
      <w:t>198</w:t>
    </w:r>
    <w:r w:rsidRPr="00E47ADA">
      <w:rPr>
        <w:szCs w:val="18"/>
      </w:rPr>
      <w:fldChar w:fldCharType="end"/>
    </w:r>
    <w:r>
      <w:rPr>
        <w:rFonts w:ascii="Trebuchet MS" w:hAnsi="Trebuchet MS"/>
        <w:color w:val="808080"/>
        <w:sz w:val="14"/>
      </w:rPr>
      <w:t xml:space="preserve"> de </w:t>
    </w:r>
    <w:r w:rsidRPr="00E47ADA">
      <w:rPr>
        <w:noProof/>
        <w:szCs w:val="18"/>
      </w:rPr>
      <w:fldChar w:fldCharType="begin"/>
    </w:r>
    <w:r w:rsidRPr="00E47ADA">
      <w:rPr>
        <w:noProof/>
        <w:szCs w:val="18"/>
      </w:rPr>
      <w:instrText xml:space="preserve"> NUMPAGES </w:instrText>
    </w:r>
    <w:r w:rsidRPr="00E47ADA">
      <w:rPr>
        <w:noProof/>
        <w:szCs w:val="18"/>
      </w:rPr>
      <w:fldChar w:fldCharType="separate"/>
    </w:r>
    <w:r w:rsidR="00645BA7">
      <w:rPr>
        <w:noProof/>
        <w:szCs w:val="18"/>
      </w:rPr>
      <w:t>210</w:t>
    </w:r>
    <w:r w:rsidRPr="00E47ADA">
      <w:rPr>
        <w:noProof/>
        <w:szCs w:val="18"/>
      </w:rPr>
      <w:fldChar w:fldCharType="end"/>
    </w:r>
    <w:r w:rsidRPr="00E47ADA">
      <w:rPr>
        <w:rFonts w:ascii="Trebuchet MS" w:hAnsi="Trebuchet MS"/>
        <w:color w:val="808080"/>
        <w:sz w:val="14"/>
      </w:rPr>
      <w:t xml:space="preserve"> Publicado em </w:t>
    </w:r>
    <w:r w:rsidRPr="004F6A95">
      <w:rPr>
        <w:rFonts w:ascii="Trebuchet MS" w:hAnsi="Trebuchet MS"/>
        <w:color w:val="808080"/>
        <w:sz w:val="14"/>
      </w:rPr>
      <w:t>Agosto</w:t>
    </w:r>
    <w:r w:rsidRPr="00E47ADA">
      <w:rPr>
        <w:rFonts w:ascii="Trebuchet MS" w:hAnsi="Trebuchet MS"/>
        <w:color w:val="808080"/>
        <w:sz w:val="14"/>
      </w:rPr>
      <w:t xml:space="preserve"> de 2013</w:t>
    </w:r>
  </w:p>
  <w:p w:rsidR="00140565" w:rsidRPr="00E47ADA" w:rsidRDefault="00140565" w:rsidP="00DC6D8B">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E47ADA">
      <w:rPr>
        <w:rFonts w:ascii="Trebuchet MS" w:hAnsi="Trebuchet MS"/>
        <w:color w:val="808080"/>
        <w:sz w:val="14"/>
        <w:lang w:val="pt-BR"/>
      </w:rPr>
      <w:t>Microsoft é marca comercial registrada da Microsoft Corporation nos Estados Unidos e/ou em outros países</w:t>
    </w:r>
    <w:r>
      <w:rPr>
        <w:rFonts w:ascii="Trebuchet MS" w:hAnsi="Trebuchet MS"/>
        <w:color w:val="808080"/>
        <w:sz w:val="14"/>
        <w:lang w:val="pt-B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565" w:rsidRDefault="00140565"/>
  <w:p w:rsidR="00140565" w:rsidRDefault="00140565">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r w:rsidR="006C57E7">
      <w:fldChar w:fldCharType="begin"/>
    </w:r>
    <w:r w:rsidR="006C57E7">
      <w:instrText xml:space="preserve"> NUMPAGES </w:instrText>
    </w:r>
    <w:r w:rsidR="006C57E7">
      <w:fldChar w:fldCharType="separate"/>
    </w:r>
    <w:r w:rsidR="00D00248">
      <w:rPr>
        <w:noProof/>
      </w:rPr>
      <w:t>208</w:t>
    </w:r>
    <w:r w:rsidR="006C57E7">
      <w:rPr>
        <w:noProof/>
      </w:rPr>
      <w:fldChar w:fldCharType="end"/>
    </w:r>
    <w:r>
      <w:t xml:space="preserve"> Publicado em maio de 2009</w:t>
    </w:r>
  </w:p>
  <w:p w:rsidR="00140565" w:rsidRDefault="00140565">
    <w:pPr>
      <w:pStyle w:val="Footer"/>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7E7" w:rsidRDefault="006C57E7">
      <w:r>
        <w:separator/>
      </w:r>
    </w:p>
  </w:footnote>
  <w:footnote w:type="continuationSeparator" w:id="0">
    <w:p w:rsidR="006C57E7" w:rsidRDefault="006C57E7">
      <w:r>
        <w:continuationSeparator/>
      </w:r>
    </w:p>
  </w:footnote>
  <w:footnote w:type="continuationNotice" w:id="1">
    <w:p w:rsidR="006C57E7" w:rsidRDefault="006C57E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565" w:rsidRDefault="005761A6" w:rsidP="00111107">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0565" w:rsidRDefault="00140565" w:rsidP="00111107">
                          <w:r>
                            <w:rPr>
                              <w:rFonts w:cs="Tahoma"/>
                              <w:noProof/>
                              <w:szCs w:val="18"/>
                            </w:rPr>
                            <w:drawing>
                              <wp:inline distT="0" distB="0" distL="0" distR="0" wp14:anchorId="0A8A2B44" wp14:editId="71AA8BF2">
                                <wp:extent cx="1911096" cy="512064"/>
                                <wp:effectExtent l="0" t="0" r="0" b="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rsidR="00140565" w:rsidRDefault="00140565" w:rsidP="00111107">
                    <w:r>
                      <w:rPr>
                        <w:rFonts w:cs="Tahoma"/>
                        <w:noProof/>
                        <w:szCs w:val="18"/>
                      </w:rPr>
                      <w:drawing>
                        <wp:inline distT="0" distB="0" distL="0" distR="0" wp14:anchorId="0A8A2B44" wp14:editId="71AA8BF2">
                          <wp:extent cx="1911096" cy="512064"/>
                          <wp:effectExtent l="0" t="0" r="0" b="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rsidR="00140565">
      <w:t xml:space="preserve"> </w:t>
    </w:r>
  </w:p>
  <w:p w:rsidR="00140565" w:rsidRDefault="005761A6" w:rsidP="00111107">
    <w:r>
      <w:rPr>
        <w:noProof/>
      </w:rPr>
      <mc:AlternateContent>
        <mc:Choice Requires="wps">
          <w:drawing>
            <wp:anchor distT="4294967295" distB="4294967295" distL="114300" distR="114300" simplePos="0" relativeHeight="25166489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82DB0E" id="Line 5"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565" w:rsidRDefault="00140565" w:rsidP="00290FC1">
    <w:pPr>
      <w:ind w:rightChars="185" w:right="333"/>
    </w:pPr>
  </w:p>
  <w:p w:rsidR="00140565" w:rsidRDefault="00140565" w:rsidP="00290FC1">
    <w:pPr>
      <w:ind w:rightChars="185" w:right="333"/>
    </w:pPr>
  </w:p>
  <w:p w:rsidR="00140565" w:rsidRDefault="00140565" w:rsidP="00290FC1">
    <w:pPr>
      <w:ind w:rightChars="185" w:right="333"/>
    </w:pPr>
    <w:r>
      <w:rPr>
        <w:noProof/>
      </w:rPr>
      <w:drawing>
        <wp:anchor distT="0" distB="0" distL="114300" distR="114300" simplePos="0" relativeHeight="251661824" behindDoc="0" locked="0" layoutInCell="1" allowOverlap="1" wp14:anchorId="4030B95E" wp14:editId="28442F54">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140565" w:rsidRDefault="00140565">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565" w:rsidRDefault="00140565" w:rsidP="00F8080D">
    <w:pPr>
      <w:ind w:rightChars="185" w:right="333"/>
    </w:pPr>
  </w:p>
  <w:p w:rsidR="00140565" w:rsidRDefault="00140565">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327CE7"/>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85A0330"/>
    <w:multiLevelType w:val="hybridMultilevel"/>
    <w:tmpl w:val="8A3A743A"/>
    <w:lvl w:ilvl="0" w:tplc="640ECD5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687A9BD8"/>
    <w:lvl w:ilvl="0" w:tplc="4240236C">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1B82971"/>
    <w:multiLevelType w:val="hybridMultilevel"/>
    <w:tmpl w:val="39B06F10"/>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E353A66"/>
    <w:multiLevelType w:val="hybridMultilevel"/>
    <w:tmpl w:val="8A3A743A"/>
    <w:lvl w:ilvl="0" w:tplc="640ECD5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6EF72CA"/>
    <w:multiLevelType w:val="hybridMultilevel"/>
    <w:tmpl w:val="31502440"/>
    <w:lvl w:ilvl="0" w:tplc="FD44DEAE">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BB27E92"/>
    <w:multiLevelType w:val="hybridMultilevel"/>
    <w:tmpl w:val="8BA4A6B8"/>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AB3234EC">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7">
    <w:nsid w:val="622F6F4B"/>
    <w:multiLevelType w:val="hybridMultilevel"/>
    <w:tmpl w:val="8A3A743A"/>
    <w:lvl w:ilvl="0" w:tplc="640ECD5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1">
    <w:nsid w:val="668C4E63"/>
    <w:multiLevelType w:val="hybridMultilevel"/>
    <w:tmpl w:val="8A3A743A"/>
    <w:lvl w:ilvl="0" w:tplc="640ECD5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26201"/>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1F44A1"/>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2">
    <w:nsid w:val="6B2C4D22"/>
    <w:multiLevelType w:val="hybridMultilevel"/>
    <w:tmpl w:val="83640B00"/>
    <w:lvl w:ilvl="0" w:tplc="D902DDBC">
      <w:start w:val="1"/>
      <w:numFmt w:val="bullet"/>
      <w:lvlText w:val=""/>
      <w:lvlJc w:val="left"/>
      <w:pPr>
        <w:ind w:left="720" w:hanging="360"/>
      </w:pPr>
      <w:rPr>
        <w:rFonts w:ascii="Webdings" w:hAnsi="Webdings" w:hint="default"/>
        <w:b w:val="0"/>
        <w:i w:val="0"/>
        <w:color w:val="FF6600"/>
        <w:sz w:val="24"/>
      </w:rPr>
    </w:lvl>
    <w:lvl w:ilvl="1" w:tplc="4E848E8A">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3">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5">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6">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8">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1">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5">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4">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5"/>
  </w:num>
  <w:num w:numId="3">
    <w:abstractNumId w:val="117"/>
  </w:num>
  <w:num w:numId="4">
    <w:abstractNumId w:val="2"/>
  </w:num>
  <w:num w:numId="5">
    <w:abstractNumId w:val="13"/>
  </w:num>
  <w:num w:numId="6">
    <w:abstractNumId w:val="127"/>
  </w:num>
  <w:num w:numId="7">
    <w:abstractNumId w:val="0"/>
  </w:num>
  <w:num w:numId="8">
    <w:abstractNumId w:val="120"/>
  </w:num>
  <w:num w:numId="9">
    <w:abstractNumId w:val="61"/>
  </w:num>
  <w:num w:numId="10">
    <w:abstractNumId w:val="134"/>
  </w:num>
  <w:num w:numId="11">
    <w:abstractNumId w:val="125"/>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8"/>
  </w:num>
  <w:num w:numId="14">
    <w:abstractNumId w:val="70"/>
  </w:num>
  <w:num w:numId="15">
    <w:abstractNumId w:val="23"/>
  </w:num>
  <w:num w:numId="16">
    <w:abstractNumId w:val="28"/>
  </w:num>
  <w:num w:numId="17">
    <w:abstractNumId w:val="118"/>
  </w:num>
  <w:num w:numId="18">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6"/>
  </w:num>
  <w:num w:numId="20">
    <w:abstractNumId w:val="46"/>
  </w:num>
  <w:num w:numId="21">
    <w:abstractNumId w:val="71"/>
  </w:num>
  <w:num w:numId="22">
    <w:abstractNumId w:val="98"/>
  </w:num>
  <w:num w:numId="23">
    <w:abstractNumId w:val="42"/>
  </w:num>
  <w:num w:numId="24">
    <w:abstractNumId w:val="55"/>
  </w:num>
  <w:num w:numId="25">
    <w:abstractNumId w:val="53"/>
  </w:num>
  <w:num w:numId="26">
    <w:abstractNumId w:val="38"/>
  </w:num>
  <w:num w:numId="27">
    <w:abstractNumId w:val="9"/>
  </w:num>
  <w:num w:numId="28">
    <w:abstractNumId w:val="104"/>
  </w:num>
  <w:num w:numId="29">
    <w:abstractNumId w:val="102"/>
  </w:num>
  <w:num w:numId="30">
    <w:abstractNumId w:val="80"/>
  </w:num>
  <w:num w:numId="31">
    <w:abstractNumId w:val="43"/>
  </w:num>
  <w:num w:numId="32">
    <w:abstractNumId w:val="130"/>
  </w:num>
  <w:num w:numId="33">
    <w:abstractNumId w:val="123"/>
  </w:num>
  <w:num w:numId="34">
    <w:abstractNumId w:val="114"/>
  </w:num>
  <w:num w:numId="35">
    <w:abstractNumId w:val="8"/>
  </w:num>
  <w:num w:numId="36">
    <w:abstractNumId w:val="95"/>
  </w:num>
  <w:num w:numId="37">
    <w:abstractNumId w:val="17"/>
  </w:num>
  <w:num w:numId="38">
    <w:abstractNumId w:val="36"/>
  </w:num>
  <w:num w:numId="39">
    <w:abstractNumId w:val="45"/>
  </w:num>
  <w:num w:numId="40">
    <w:abstractNumId w:val="25"/>
  </w:num>
  <w:num w:numId="41">
    <w:abstractNumId w:val="32"/>
  </w:num>
  <w:num w:numId="42">
    <w:abstractNumId w:val="79"/>
  </w:num>
  <w:num w:numId="43">
    <w:abstractNumId w:val="30"/>
  </w:num>
  <w:num w:numId="44">
    <w:abstractNumId w:val="76"/>
  </w:num>
  <w:num w:numId="45">
    <w:abstractNumId w:val="122"/>
  </w:num>
  <w:num w:numId="46">
    <w:abstractNumId w:val="113"/>
  </w:num>
  <w:num w:numId="47">
    <w:abstractNumId w:val="103"/>
  </w:num>
  <w:num w:numId="48">
    <w:abstractNumId w:val="41"/>
  </w:num>
  <w:num w:numId="49">
    <w:abstractNumId w:val="82"/>
  </w:num>
  <w:num w:numId="50">
    <w:abstractNumId w:val="33"/>
  </w:num>
  <w:num w:numId="51">
    <w:abstractNumId w:val="19"/>
  </w:num>
  <w:num w:numId="52">
    <w:abstractNumId w:val="59"/>
  </w:num>
  <w:num w:numId="53">
    <w:abstractNumId w:val="31"/>
  </w:num>
  <w:num w:numId="54">
    <w:abstractNumId w:val="90"/>
  </w:num>
  <w:num w:numId="55">
    <w:abstractNumId w:val="3"/>
  </w:num>
  <w:num w:numId="56">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9"/>
  </w:num>
  <w:num w:numId="58">
    <w:abstractNumId w:val="40"/>
  </w:num>
  <w:num w:numId="59">
    <w:abstractNumId w:val="54"/>
  </w:num>
  <w:num w:numId="60">
    <w:abstractNumId w:val="106"/>
  </w:num>
  <w:num w:numId="61">
    <w:abstractNumId w:val="26"/>
  </w:num>
  <w:num w:numId="62">
    <w:abstractNumId w:val="10"/>
  </w:num>
  <w:num w:numId="63">
    <w:abstractNumId w:val="22"/>
  </w:num>
  <w:num w:numId="64">
    <w:abstractNumId w:val="131"/>
  </w:num>
  <w:num w:numId="65">
    <w:abstractNumId w:val="69"/>
  </w:num>
  <w:num w:numId="66">
    <w:abstractNumId w:val="112"/>
  </w:num>
  <w:num w:numId="67">
    <w:abstractNumId w:val="64"/>
  </w:num>
  <w:num w:numId="68">
    <w:abstractNumId w:val="50"/>
  </w:num>
  <w:num w:numId="69">
    <w:abstractNumId w:val="93"/>
  </w:num>
  <w:num w:numId="70">
    <w:abstractNumId w:val="92"/>
  </w:num>
  <w:num w:numId="71">
    <w:abstractNumId w:val="11"/>
  </w:num>
  <w:num w:numId="72">
    <w:abstractNumId w:val="88"/>
  </w:num>
  <w:num w:numId="73">
    <w:abstractNumId w:val="105"/>
  </w:num>
  <w:num w:numId="74">
    <w:abstractNumId w:val="110"/>
  </w:num>
  <w:num w:numId="75">
    <w:abstractNumId w:val="77"/>
  </w:num>
  <w:num w:numId="76">
    <w:abstractNumId w:val="96"/>
  </w:num>
  <w:num w:numId="77">
    <w:abstractNumId w:val="73"/>
  </w:num>
  <w:num w:numId="78">
    <w:abstractNumId w:val="129"/>
  </w:num>
  <w:num w:numId="79">
    <w:abstractNumId w:val="66"/>
  </w:num>
  <w:num w:numId="80">
    <w:abstractNumId w:val="74"/>
  </w:num>
  <w:num w:numId="81">
    <w:abstractNumId w:val="18"/>
  </w:num>
  <w:num w:numId="82">
    <w:abstractNumId w:val="56"/>
  </w:num>
  <w:num w:numId="83">
    <w:abstractNumId w:val="16"/>
  </w:num>
  <w:num w:numId="84">
    <w:abstractNumId w:val="39"/>
  </w:num>
  <w:num w:numId="85">
    <w:abstractNumId w:val="124"/>
  </w:num>
  <w:num w:numId="86">
    <w:abstractNumId w:val="65"/>
  </w:num>
  <w:num w:numId="87">
    <w:abstractNumId w:val="34"/>
  </w:num>
  <w:num w:numId="88">
    <w:abstractNumId w:val="81"/>
  </w:num>
  <w:num w:numId="89">
    <w:abstractNumId w:val="47"/>
  </w:num>
  <w:num w:numId="90">
    <w:abstractNumId w:val="20"/>
  </w:num>
  <w:num w:numId="91">
    <w:abstractNumId w:val="52"/>
  </w:num>
  <w:num w:numId="92">
    <w:abstractNumId w:val="133"/>
  </w:num>
  <w:num w:numId="93">
    <w:abstractNumId w:val="132"/>
  </w:num>
  <w:num w:numId="94">
    <w:abstractNumId w:val="58"/>
  </w:num>
  <w:num w:numId="95">
    <w:abstractNumId w:val="68"/>
  </w:num>
  <w:num w:numId="96">
    <w:abstractNumId w:val="4"/>
  </w:num>
  <w:num w:numId="97">
    <w:abstractNumId w:val="91"/>
  </w:num>
  <w:num w:numId="98">
    <w:abstractNumId w:val="29"/>
  </w:num>
  <w:num w:numId="99">
    <w:abstractNumId w:val="121"/>
  </w:num>
  <w:num w:numId="100">
    <w:abstractNumId w:val="100"/>
  </w:num>
  <w:num w:numId="101">
    <w:abstractNumId w:val="6"/>
  </w:num>
  <w:num w:numId="102">
    <w:abstractNumId w:val="130"/>
  </w:num>
  <w:num w:numId="103">
    <w:abstractNumId w:val="85"/>
  </w:num>
  <w:num w:numId="104">
    <w:abstractNumId w:val="63"/>
  </w:num>
  <w:num w:numId="105">
    <w:abstractNumId w:val="5"/>
  </w:num>
  <w:num w:numId="106">
    <w:abstractNumId w:val="51"/>
  </w:num>
  <w:num w:numId="107">
    <w:abstractNumId w:val="67"/>
  </w:num>
  <w:num w:numId="108">
    <w:abstractNumId w:val="84"/>
  </w:num>
  <w:num w:numId="109">
    <w:abstractNumId w:val="107"/>
  </w:num>
  <w:num w:numId="110">
    <w:abstractNumId w:val="21"/>
  </w:num>
  <w:num w:numId="111">
    <w:abstractNumId w:val="99"/>
  </w:num>
  <w:num w:numId="112">
    <w:abstractNumId w:val="115"/>
  </w:num>
  <w:num w:numId="113">
    <w:abstractNumId w:val="15"/>
  </w:num>
  <w:num w:numId="114">
    <w:abstractNumId w:val="108"/>
  </w:num>
  <w:num w:numId="115">
    <w:abstractNumId w:val="37"/>
  </w:num>
  <w:num w:numId="116">
    <w:abstractNumId w:val="126"/>
  </w:num>
  <w:num w:numId="117">
    <w:abstractNumId w:val="87"/>
  </w:num>
  <w:num w:numId="118">
    <w:abstractNumId w:val="7"/>
  </w:num>
  <w:num w:numId="119">
    <w:abstractNumId w:val="14"/>
  </w:num>
  <w:num w:numId="120">
    <w:abstractNumId w:val="94"/>
  </w:num>
  <w:num w:numId="121">
    <w:abstractNumId w:val="24"/>
  </w:num>
  <w:num w:numId="122">
    <w:abstractNumId w:val="75"/>
  </w:num>
  <w:num w:numId="123">
    <w:abstractNumId w:val="57"/>
  </w:num>
  <w:num w:numId="1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2"/>
  </w:num>
  <w:num w:numId="128">
    <w:abstractNumId w:val="48"/>
  </w:num>
  <w:num w:numId="129">
    <w:abstractNumId w:val="83"/>
  </w:num>
  <w:num w:numId="130">
    <w:abstractNumId w:val="119"/>
  </w:num>
  <w:num w:numId="131">
    <w:abstractNumId w:val="62"/>
  </w:num>
  <w:num w:numId="132">
    <w:abstractNumId w:val="78"/>
  </w:num>
  <w:num w:numId="133">
    <w:abstractNumId w:val="86"/>
  </w:num>
  <w:num w:numId="134">
    <w:abstractNumId w:val="49"/>
  </w:num>
  <w:num w:numId="135">
    <w:abstractNumId w:val="12"/>
  </w:num>
  <w:num w:numId="136">
    <w:abstractNumId w:val="1"/>
  </w:num>
  <w:num w:numId="137">
    <w:abstractNumId w:val="97"/>
  </w:num>
  <w:num w:numId="138">
    <w:abstractNumId w:val="111"/>
  </w:num>
  <w:num w:numId="139">
    <w:abstractNumId w:val="101"/>
  </w:num>
  <w:num w:numId="140">
    <w:abstractNumId w:val="109"/>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JarJeDcsy7Cdy2vIdFET7Zokp/oPdF5nfzAJRJeh7pg44Yzig6K6okHNe1P/HTg1TFS15gRZHXSdpMFBQCXALw==" w:salt="+wvMQehGaJwABT6sg7UvQ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330"/>
    <w:rsid w:val="0000059A"/>
    <w:rsid w:val="00000F2B"/>
    <w:rsid w:val="00001517"/>
    <w:rsid w:val="00001A9A"/>
    <w:rsid w:val="00002C0B"/>
    <w:rsid w:val="00002DCF"/>
    <w:rsid w:val="00003601"/>
    <w:rsid w:val="000037A1"/>
    <w:rsid w:val="00003D41"/>
    <w:rsid w:val="00004568"/>
    <w:rsid w:val="00004998"/>
    <w:rsid w:val="0000615E"/>
    <w:rsid w:val="00006372"/>
    <w:rsid w:val="00007875"/>
    <w:rsid w:val="000100BC"/>
    <w:rsid w:val="00010442"/>
    <w:rsid w:val="000114ED"/>
    <w:rsid w:val="0001153D"/>
    <w:rsid w:val="00011E31"/>
    <w:rsid w:val="00012D48"/>
    <w:rsid w:val="00013F1B"/>
    <w:rsid w:val="00014083"/>
    <w:rsid w:val="000140EF"/>
    <w:rsid w:val="000148B4"/>
    <w:rsid w:val="00014EAD"/>
    <w:rsid w:val="000150D5"/>
    <w:rsid w:val="000158EE"/>
    <w:rsid w:val="00017C18"/>
    <w:rsid w:val="0002020C"/>
    <w:rsid w:val="00021544"/>
    <w:rsid w:val="000225E7"/>
    <w:rsid w:val="00022FBE"/>
    <w:rsid w:val="000232D9"/>
    <w:rsid w:val="00023FE7"/>
    <w:rsid w:val="00024C3C"/>
    <w:rsid w:val="00024DF4"/>
    <w:rsid w:val="00024FB1"/>
    <w:rsid w:val="000251E1"/>
    <w:rsid w:val="00025419"/>
    <w:rsid w:val="00026546"/>
    <w:rsid w:val="000274CC"/>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9DF"/>
    <w:rsid w:val="00036B96"/>
    <w:rsid w:val="00037C05"/>
    <w:rsid w:val="00040042"/>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5E3F"/>
    <w:rsid w:val="0004652A"/>
    <w:rsid w:val="000466E8"/>
    <w:rsid w:val="00047061"/>
    <w:rsid w:val="00047280"/>
    <w:rsid w:val="00047339"/>
    <w:rsid w:val="00047745"/>
    <w:rsid w:val="00047838"/>
    <w:rsid w:val="00047874"/>
    <w:rsid w:val="00047B15"/>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670A"/>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0C84"/>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8E"/>
    <w:rsid w:val="000A1CD9"/>
    <w:rsid w:val="000A2519"/>
    <w:rsid w:val="000A2923"/>
    <w:rsid w:val="000A297A"/>
    <w:rsid w:val="000A29B6"/>
    <w:rsid w:val="000A305F"/>
    <w:rsid w:val="000A30EE"/>
    <w:rsid w:val="000A35F8"/>
    <w:rsid w:val="000A3C7D"/>
    <w:rsid w:val="000A3CF8"/>
    <w:rsid w:val="000A4789"/>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C27"/>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0B3C"/>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1107"/>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B04"/>
    <w:rsid w:val="00132E08"/>
    <w:rsid w:val="00132FFC"/>
    <w:rsid w:val="00133069"/>
    <w:rsid w:val="0013361B"/>
    <w:rsid w:val="00133662"/>
    <w:rsid w:val="00133A4B"/>
    <w:rsid w:val="00133C80"/>
    <w:rsid w:val="00134960"/>
    <w:rsid w:val="00135D5F"/>
    <w:rsid w:val="001363A0"/>
    <w:rsid w:val="00136585"/>
    <w:rsid w:val="0013786B"/>
    <w:rsid w:val="00140080"/>
    <w:rsid w:val="00140178"/>
    <w:rsid w:val="00140565"/>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460"/>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0ED"/>
    <w:rsid w:val="001C310B"/>
    <w:rsid w:val="001C369B"/>
    <w:rsid w:val="001C38D4"/>
    <w:rsid w:val="001C3A4A"/>
    <w:rsid w:val="001C45FD"/>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27966"/>
    <w:rsid w:val="00227C75"/>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4F4"/>
    <w:rsid w:val="00246B25"/>
    <w:rsid w:val="00246BBF"/>
    <w:rsid w:val="00246DB2"/>
    <w:rsid w:val="00247A55"/>
    <w:rsid w:val="0025016C"/>
    <w:rsid w:val="0025087E"/>
    <w:rsid w:val="00250AD6"/>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6C7E"/>
    <w:rsid w:val="00257170"/>
    <w:rsid w:val="00257298"/>
    <w:rsid w:val="00257CF3"/>
    <w:rsid w:val="00260693"/>
    <w:rsid w:val="0026153D"/>
    <w:rsid w:val="00261A2C"/>
    <w:rsid w:val="002620FA"/>
    <w:rsid w:val="00262D78"/>
    <w:rsid w:val="00263B62"/>
    <w:rsid w:val="00264630"/>
    <w:rsid w:val="0026584E"/>
    <w:rsid w:val="00265AC3"/>
    <w:rsid w:val="0026606F"/>
    <w:rsid w:val="00266AF5"/>
    <w:rsid w:val="00266DB4"/>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5261"/>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BBB"/>
    <w:rsid w:val="002B7094"/>
    <w:rsid w:val="002B75CB"/>
    <w:rsid w:val="002C0225"/>
    <w:rsid w:val="002C0CE1"/>
    <w:rsid w:val="002C1048"/>
    <w:rsid w:val="002C14CD"/>
    <w:rsid w:val="002C1899"/>
    <w:rsid w:val="002C1A50"/>
    <w:rsid w:val="002C3AB1"/>
    <w:rsid w:val="002C3D8E"/>
    <w:rsid w:val="002C4768"/>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1F5"/>
    <w:rsid w:val="002E0D98"/>
    <w:rsid w:val="002E125F"/>
    <w:rsid w:val="002E2254"/>
    <w:rsid w:val="002E24C0"/>
    <w:rsid w:val="002E2A3F"/>
    <w:rsid w:val="002E2ABD"/>
    <w:rsid w:val="002E4298"/>
    <w:rsid w:val="002E4C6F"/>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2776E"/>
    <w:rsid w:val="00330CD4"/>
    <w:rsid w:val="00331198"/>
    <w:rsid w:val="0033167A"/>
    <w:rsid w:val="00332159"/>
    <w:rsid w:val="0033369F"/>
    <w:rsid w:val="00333A0E"/>
    <w:rsid w:val="00333F5B"/>
    <w:rsid w:val="0033459E"/>
    <w:rsid w:val="00334E27"/>
    <w:rsid w:val="00335046"/>
    <w:rsid w:val="0033513B"/>
    <w:rsid w:val="00335DFB"/>
    <w:rsid w:val="00336BCA"/>
    <w:rsid w:val="00336EE3"/>
    <w:rsid w:val="0033725C"/>
    <w:rsid w:val="00340532"/>
    <w:rsid w:val="00340B66"/>
    <w:rsid w:val="00341566"/>
    <w:rsid w:val="003418C5"/>
    <w:rsid w:val="0034219A"/>
    <w:rsid w:val="00342491"/>
    <w:rsid w:val="00342DA2"/>
    <w:rsid w:val="0034327C"/>
    <w:rsid w:val="003434E6"/>
    <w:rsid w:val="00343704"/>
    <w:rsid w:val="00343942"/>
    <w:rsid w:val="00343FB1"/>
    <w:rsid w:val="003440F5"/>
    <w:rsid w:val="003444EE"/>
    <w:rsid w:val="0034514F"/>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329"/>
    <w:rsid w:val="0036768F"/>
    <w:rsid w:val="003678D7"/>
    <w:rsid w:val="00367AD0"/>
    <w:rsid w:val="00367CCF"/>
    <w:rsid w:val="00367D38"/>
    <w:rsid w:val="00370049"/>
    <w:rsid w:val="003700AD"/>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517"/>
    <w:rsid w:val="00393979"/>
    <w:rsid w:val="00393D1D"/>
    <w:rsid w:val="00394278"/>
    <w:rsid w:val="003949A0"/>
    <w:rsid w:val="00394D2B"/>
    <w:rsid w:val="00394D71"/>
    <w:rsid w:val="00395784"/>
    <w:rsid w:val="003959F5"/>
    <w:rsid w:val="003967CE"/>
    <w:rsid w:val="003971A9"/>
    <w:rsid w:val="0039729F"/>
    <w:rsid w:val="003979B4"/>
    <w:rsid w:val="003A018B"/>
    <w:rsid w:val="003A0416"/>
    <w:rsid w:val="003A1126"/>
    <w:rsid w:val="003A1942"/>
    <w:rsid w:val="003A1B3A"/>
    <w:rsid w:val="003A1CA4"/>
    <w:rsid w:val="003A2AEE"/>
    <w:rsid w:val="003A31B1"/>
    <w:rsid w:val="003A3231"/>
    <w:rsid w:val="003A458C"/>
    <w:rsid w:val="003A49DB"/>
    <w:rsid w:val="003A49FF"/>
    <w:rsid w:val="003A5169"/>
    <w:rsid w:val="003A51E7"/>
    <w:rsid w:val="003A5ABA"/>
    <w:rsid w:val="003A5C76"/>
    <w:rsid w:val="003A6F89"/>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3C97"/>
    <w:rsid w:val="003C494C"/>
    <w:rsid w:val="003C56F1"/>
    <w:rsid w:val="003C5DC1"/>
    <w:rsid w:val="003C5E0F"/>
    <w:rsid w:val="003C5E74"/>
    <w:rsid w:val="003C62DA"/>
    <w:rsid w:val="003C64D1"/>
    <w:rsid w:val="003C65F4"/>
    <w:rsid w:val="003C6BA5"/>
    <w:rsid w:val="003C6D74"/>
    <w:rsid w:val="003C75C8"/>
    <w:rsid w:val="003D0252"/>
    <w:rsid w:val="003D1150"/>
    <w:rsid w:val="003D1247"/>
    <w:rsid w:val="003D1E74"/>
    <w:rsid w:val="003D2CC8"/>
    <w:rsid w:val="003D2E23"/>
    <w:rsid w:val="003D30FE"/>
    <w:rsid w:val="003D3933"/>
    <w:rsid w:val="003D47E7"/>
    <w:rsid w:val="003D5C46"/>
    <w:rsid w:val="003D6FBE"/>
    <w:rsid w:val="003E03F4"/>
    <w:rsid w:val="003E12EE"/>
    <w:rsid w:val="003E2151"/>
    <w:rsid w:val="003E2317"/>
    <w:rsid w:val="003E231B"/>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CDE"/>
    <w:rsid w:val="00415DD4"/>
    <w:rsid w:val="00415DDA"/>
    <w:rsid w:val="00416294"/>
    <w:rsid w:val="004162C6"/>
    <w:rsid w:val="0041691B"/>
    <w:rsid w:val="00417910"/>
    <w:rsid w:val="00417BCF"/>
    <w:rsid w:val="0042122F"/>
    <w:rsid w:val="00421658"/>
    <w:rsid w:val="00421D4A"/>
    <w:rsid w:val="004226E4"/>
    <w:rsid w:val="00423037"/>
    <w:rsid w:val="004233A7"/>
    <w:rsid w:val="0042371C"/>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66E9E"/>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85"/>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2C8D"/>
    <w:rsid w:val="004C303E"/>
    <w:rsid w:val="004C3222"/>
    <w:rsid w:val="004C3498"/>
    <w:rsid w:val="004C37C0"/>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DD3"/>
    <w:rsid w:val="004E1FF6"/>
    <w:rsid w:val="004E292A"/>
    <w:rsid w:val="004E3869"/>
    <w:rsid w:val="004E39EB"/>
    <w:rsid w:val="004E47C0"/>
    <w:rsid w:val="004E500E"/>
    <w:rsid w:val="004E51E2"/>
    <w:rsid w:val="004E53C5"/>
    <w:rsid w:val="004E5702"/>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A95"/>
    <w:rsid w:val="004F746C"/>
    <w:rsid w:val="00500078"/>
    <w:rsid w:val="005005BD"/>
    <w:rsid w:val="00500C5B"/>
    <w:rsid w:val="00500CD4"/>
    <w:rsid w:val="00500F34"/>
    <w:rsid w:val="0050116B"/>
    <w:rsid w:val="00501264"/>
    <w:rsid w:val="00502827"/>
    <w:rsid w:val="00502B35"/>
    <w:rsid w:val="00505148"/>
    <w:rsid w:val="00506100"/>
    <w:rsid w:val="00506345"/>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08B5"/>
    <w:rsid w:val="0052392B"/>
    <w:rsid w:val="0052396A"/>
    <w:rsid w:val="005242EC"/>
    <w:rsid w:val="00524896"/>
    <w:rsid w:val="00524E8F"/>
    <w:rsid w:val="005258ED"/>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D30"/>
    <w:rsid w:val="00551EAB"/>
    <w:rsid w:val="00552221"/>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4BD"/>
    <w:rsid w:val="0057497D"/>
    <w:rsid w:val="0057503E"/>
    <w:rsid w:val="00575BBE"/>
    <w:rsid w:val="005761A6"/>
    <w:rsid w:val="005763B4"/>
    <w:rsid w:val="00576B12"/>
    <w:rsid w:val="0058158C"/>
    <w:rsid w:val="00582176"/>
    <w:rsid w:val="0058242F"/>
    <w:rsid w:val="00582D5A"/>
    <w:rsid w:val="00582F72"/>
    <w:rsid w:val="0058377E"/>
    <w:rsid w:val="005837D7"/>
    <w:rsid w:val="00583BF5"/>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A7F17"/>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A08"/>
    <w:rsid w:val="005E5DE0"/>
    <w:rsid w:val="005E6903"/>
    <w:rsid w:val="005E706E"/>
    <w:rsid w:val="005E70EF"/>
    <w:rsid w:val="005F0406"/>
    <w:rsid w:val="005F089F"/>
    <w:rsid w:val="005F1D9F"/>
    <w:rsid w:val="005F1E76"/>
    <w:rsid w:val="005F2463"/>
    <w:rsid w:val="005F2D59"/>
    <w:rsid w:val="005F3056"/>
    <w:rsid w:val="005F3F78"/>
    <w:rsid w:val="005F4658"/>
    <w:rsid w:val="005F48CC"/>
    <w:rsid w:val="005F4C68"/>
    <w:rsid w:val="005F52C6"/>
    <w:rsid w:val="005F53B5"/>
    <w:rsid w:val="005F584F"/>
    <w:rsid w:val="005F5E9D"/>
    <w:rsid w:val="005F761E"/>
    <w:rsid w:val="005F7C38"/>
    <w:rsid w:val="00600678"/>
    <w:rsid w:val="00601418"/>
    <w:rsid w:val="00602AEE"/>
    <w:rsid w:val="00602D6A"/>
    <w:rsid w:val="00602EF4"/>
    <w:rsid w:val="0060391F"/>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409"/>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BA7"/>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473A"/>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3FE"/>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2C2F"/>
    <w:rsid w:val="006933F8"/>
    <w:rsid w:val="00693524"/>
    <w:rsid w:val="00693C3E"/>
    <w:rsid w:val="00693D8B"/>
    <w:rsid w:val="006949F0"/>
    <w:rsid w:val="00694A6D"/>
    <w:rsid w:val="00695A3C"/>
    <w:rsid w:val="00695C01"/>
    <w:rsid w:val="00696E39"/>
    <w:rsid w:val="00697E59"/>
    <w:rsid w:val="006A0156"/>
    <w:rsid w:val="006A02DC"/>
    <w:rsid w:val="006A0372"/>
    <w:rsid w:val="006A0A7E"/>
    <w:rsid w:val="006A0B9E"/>
    <w:rsid w:val="006A0F87"/>
    <w:rsid w:val="006A10F4"/>
    <w:rsid w:val="006A137B"/>
    <w:rsid w:val="006A1A85"/>
    <w:rsid w:val="006A1CF0"/>
    <w:rsid w:val="006A2B52"/>
    <w:rsid w:val="006A2F66"/>
    <w:rsid w:val="006A33F3"/>
    <w:rsid w:val="006A3C64"/>
    <w:rsid w:val="006A3E86"/>
    <w:rsid w:val="006A4009"/>
    <w:rsid w:val="006A507B"/>
    <w:rsid w:val="006A59F4"/>
    <w:rsid w:val="006A5DAE"/>
    <w:rsid w:val="006A63D7"/>
    <w:rsid w:val="006B0950"/>
    <w:rsid w:val="006B0EC3"/>
    <w:rsid w:val="006B1423"/>
    <w:rsid w:val="006B1B97"/>
    <w:rsid w:val="006B1BAF"/>
    <w:rsid w:val="006B1F3F"/>
    <w:rsid w:val="006B21CE"/>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7E7"/>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42E"/>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9F"/>
    <w:rsid w:val="007336B9"/>
    <w:rsid w:val="007337A0"/>
    <w:rsid w:val="007339D8"/>
    <w:rsid w:val="00733F61"/>
    <w:rsid w:val="0073424F"/>
    <w:rsid w:val="00734401"/>
    <w:rsid w:val="007348E7"/>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B5E"/>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7AD"/>
    <w:rsid w:val="00756F07"/>
    <w:rsid w:val="00757B92"/>
    <w:rsid w:val="00757E6D"/>
    <w:rsid w:val="0076025D"/>
    <w:rsid w:val="00761323"/>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D9A"/>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B54"/>
    <w:rsid w:val="007C6582"/>
    <w:rsid w:val="007C6ABA"/>
    <w:rsid w:val="007C701C"/>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11C"/>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5DDD"/>
    <w:rsid w:val="00805E66"/>
    <w:rsid w:val="00806487"/>
    <w:rsid w:val="00806515"/>
    <w:rsid w:val="00806FEA"/>
    <w:rsid w:val="00807CBD"/>
    <w:rsid w:val="00807E94"/>
    <w:rsid w:val="00810479"/>
    <w:rsid w:val="00810A00"/>
    <w:rsid w:val="008112AA"/>
    <w:rsid w:val="00811920"/>
    <w:rsid w:val="00813519"/>
    <w:rsid w:val="00813D10"/>
    <w:rsid w:val="00813E1F"/>
    <w:rsid w:val="00813EE6"/>
    <w:rsid w:val="008140D8"/>
    <w:rsid w:val="00814DAA"/>
    <w:rsid w:val="008156F0"/>
    <w:rsid w:val="00815976"/>
    <w:rsid w:val="00815CF7"/>
    <w:rsid w:val="00815D5C"/>
    <w:rsid w:val="0081625E"/>
    <w:rsid w:val="00816DFF"/>
    <w:rsid w:val="00816F76"/>
    <w:rsid w:val="008206E4"/>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2DC"/>
    <w:rsid w:val="0083748D"/>
    <w:rsid w:val="00837AE2"/>
    <w:rsid w:val="0084072C"/>
    <w:rsid w:val="00840B13"/>
    <w:rsid w:val="00842F32"/>
    <w:rsid w:val="008432CC"/>
    <w:rsid w:val="008434B8"/>
    <w:rsid w:val="00843C48"/>
    <w:rsid w:val="008446D1"/>
    <w:rsid w:val="00844BAF"/>
    <w:rsid w:val="00845771"/>
    <w:rsid w:val="00845EE4"/>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968"/>
    <w:rsid w:val="00865A60"/>
    <w:rsid w:val="00865F0E"/>
    <w:rsid w:val="00866F29"/>
    <w:rsid w:val="0086733A"/>
    <w:rsid w:val="00870095"/>
    <w:rsid w:val="008700FF"/>
    <w:rsid w:val="008701BA"/>
    <w:rsid w:val="008710C9"/>
    <w:rsid w:val="0087125A"/>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2F43"/>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B82"/>
    <w:rsid w:val="008E0ECA"/>
    <w:rsid w:val="008E1345"/>
    <w:rsid w:val="008E1BE5"/>
    <w:rsid w:val="008E2798"/>
    <w:rsid w:val="008E35B0"/>
    <w:rsid w:val="008E3763"/>
    <w:rsid w:val="008E3B4D"/>
    <w:rsid w:val="008E3FD0"/>
    <w:rsid w:val="008E4238"/>
    <w:rsid w:val="008E4487"/>
    <w:rsid w:val="008E4B2C"/>
    <w:rsid w:val="008E4CFA"/>
    <w:rsid w:val="008E4F2D"/>
    <w:rsid w:val="008E517B"/>
    <w:rsid w:val="008E5789"/>
    <w:rsid w:val="008E5A07"/>
    <w:rsid w:val="008E5A1F"/>
    <w:rsid w:val="008E5ED7"/>
    <w:rsid w:val="008E6264"/>
    <w:rsid w:val="008E6723"/>
    <w:rsid w:val="008E699C"/>
    <w:rsid w:val="008E7914"/>
    <w:rsid w:val="008F1656"/>
    <w:rsid w:val="008F186B"/>
    <w:rsid w:val="008F3C03"/>
    <w:rsid w:val="008F3DA4"/>
    <w:rsid w:val="008F40CA"/>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A2D"/>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1759"/>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2CF"/>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6DD8"/>
    <w:rsid w:val="009673FE"/>
    <w:rsid w:val="0096780A"/>
    <w:rsid w:val="00967DC7"/>
    <w:rsid w:val="0097015A"/>
    <w:rsid w:val="00970586"/>
    <w:rsid w:val="0097063B"/>
    <w:rsid w:val="00970F6F"/>
    <w:rsid w:val="009714BB"/>
    <w:rsid w:val="00973712"/>
    <w:rsid w:val="00973A93"/>
    <w:rsid w:val="00974188"/>
    <w:rsid w:val="00974A48"/>
    <w:rsid w:val="009763F8"/>
    <w:rsid w:val="00977495"/>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3B81"/>
    <w:rsid w:val="0099402E"/>
    <w:rsid w:val="009943B7"/>
    <w:rsid w:val="00994C3B"/>
    <w:rsid w:val="009956B3"/>
    <w:rsid w:val="009959DF"/>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6CEF"/>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365"/>
    <w:rsid w:val="009D2697"/>
    <w:rsid w:val="009D26EE"/>
    <w:rsid w:val="009D2F88"/>
    <w:rsid w:val="009D3013"/>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79D"/>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3C3E"/>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193"/>
    <w:rsid w:val="00A375DC"/>
    <w:rsid w:val="00A37DE2"/>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5DF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AD"/>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32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53B"/>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1C2"/>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4FF"/>
    <w:rsid w:val="00AE5A9F"/>
    <w:rsid w:val="00AE6177"/>
    <w:rsid w:val="00AE68C0"/>
    <w:rsid w:val="00AE73AB"/>
    <w:rsid w:val="00AE7BC2"/>
    <w:rsid w:val="00AF0689"/>
    <w:rsid w:val="00AF1D88"/>
    <w:rsid w:val="00AF1FD9"/>
    <w:rsid w:val="00AF219D"/>
    <w:rsid w:val="00AF21CC"/>
    <w:rsid w:val="00AF24FD"/>
    <w:rsid w:val="00AF2678"/>
    <w:rsid w:val="00AF2A7C"/>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29D8"/>
    <w:rsid w:val="00B13D5F"/>
    <w:rsid w:val="00B1475C"/>
    <w:rsid w:val="00B147AB"/>
    <w:rsid w:val="00B14C46"/>
    <w:rsid w:val="00B14DEC"/>
    <w:rsid w:val="00B1513C"/>
    <w:rsid w:val="00B156DC"/>
    <w:rsid w:val="00B15D67"/>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6C0"/>
    <w:rsid w:val="00B31BB3"/>
    <w:rsid w:val="00B31F3B"/>
    <w:rsid w:val="00B32853"/>
    <w:rsid w:val="00B32AB1"/>
    <w:rsid w:val="00B3310A"/>
    <w:rsid w:val="00B337AE"/>
    <w:rsid w:val="00B33D0E"/>
    <w:rsid w:val="00B33F0B"/>
    <w:rsid w:val="00B34059"/>
    <w:rsid w:val="00B350C6"/>
    <w:rsid w:val="00B35D10"/>
    <w:rsid w:val="00B35E56"/>
    <w:rsid w:val="00B363C7"/>
    <w:rsid w:val="00B367F4"/>
    <w:rsid w:val="00B368E3"/>
    <w:rsid w:val="00B3706E"/>
    <w:rsid w:val="00B37689"/>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17FD"/>
    <w:rsid w:val="00B5223A"/>
    <w:rsid w:val="00B52890"/>
    <w:rsid w:val="00B52F10"/>
    <w:rsid w:val="00B53C3C"/>
    <w:rsid w:val="00B54BA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2A28"/>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0F51"/>
    <w:rsid w:val="00BC10BD"/>
    <w:rsid w:val="00BC10CD"/>
    <w:rsid w:val="00BC1157"/>
    <w:rsid w:val="00BC286E"/>
    <w:rsid w:val="00BC3A25"/>
    <w:rsid w:val="00BC485C"/>
    <w:rsid w:val="00BC4B23"/>
    <w:rsid w:val="00BC56A6"/>
    <w:rsid w:val="00BC5C70"/>
    <w:rsid w:val="00BC5F47"/>
    <w:rsid w:val="00BC5F57"/>
    <w:rsid w:val="00BC62D4"/>
    <w:rsid w:val="00BC692A"/>
    <w:rsid w:val="00BD0C73"/>
    <w:rsid w:val="00BD19C4"/>
    <w:rsid w:val="00BD1A6A"/>
    <w:rsid w:val="00BD1B09"/>
    <w:rsid w:val="00BD1C97"/>
    <w:rsid w:val="00BD22EF"/>
    <w:rsid w:val="00BD2AB9"/>
    <w:rsid w:val="00BD2BE7"/>
    <w:rsid w:val="00BD372C"/>
    <w:rsid w:val="00BD3A67"/>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1F5"/>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8CC"/>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92A"/>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156"/>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1ABF"/>
    <w:rsid w:val="00C321B6"/>
    <w:rsid w:val="00C32EB9"/>
    <w:rsid w:val="00C32FD1"/>
    <w:rsid w:val="00C349AE"/>
    <w:rsid w:val="00C34B2E"/>
    <w:rsid w:val="00C353DE"/>
    <w:rsid w:val="00C3613B"/>
    <w:rsid w:val="00C3711E"/>
    <w:rsid w:val="00C37D62"/>
    <w:rsid w:val="00C37E9D"/>
    <w:rsid w:val="00C40168"/>
    <w:rsid w:val="00C405B1"/>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2F0A"/>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286"/>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1835"/>
    <w:rsid w:val="00C92960"/>
    <w:rsid w:val="00C92E03"/>
    <w:rsid w:val="00C9378D"/>
    <w:rsid w:val="00C938FF"/>
    <w:rsid w:val="00C94C31"/>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3960"/>
    <w:rsid w:val="00CA4488"/>
    <w:rsid w:val="00CA474E"/>
    <w:rsid w:val="00CA52FE"/>
    <w:rsid w:val="00CA5796"/>
    <w:rsid w:val="00CA606E"/>
    <w:rsid w:val="00CA6072"/>
    <w:rsid w:val="00CA6122"/>
    <w:rsid w:val="00CA6273"/>
    <w:rsid w:val="00CA7670"/>
    <w:rsid w:val="00CA7816"/>
    <w:rsid w:val="00CA7AB6"/>
    <w:rsid w:val="00CA7FF3"/>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55E"/>
    <w:rsid w:val="00CB5661"/>
    <w:rsid w:val="00CB5745"/>
    <w:rsid w:val="00CB57F8"/>
    <w:rsid w:val="00CB6B7A"/>
    <w:rsid w:val="00CB7342"/>
    <w:rsid w:val="00CB7378"/>
    <w:rsid w:val="00CC0892"/>
    <w:rsid w:val="00CC0B79"/>
    <w:rsid w:val="00CC111A"/>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0D"/>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67"/>
    <w:rsid w:val="00CF3FEE"/>
    <w:rsid w:val="00CF4241"/>
    <w:rsid w:val="00CF4D72"/>
    <w:rsid w:val="00CF7343"/>
    <w:rsid w:val="00D00248"/>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781"/>
    <w:rsid w:val="00D219F2"/>
    <w:rsid w:val="00D21E5F"/>
    <w:rsid w:val="00D238E0"/>
    <w:rsid w:val="00D238ED"/>
    <w:rsid w:val="00D23D62"/>
    <w:rsid w:val="00D2429E"/>
    <w:rsid w:val="00D24437"/>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211"/>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3BEB"/>
    <w:rsid w:val="00D8428A"/>
    <w:rsid w:val="00D849C1"/>
    <w:rsid w:val="00D84F2C"/>
    <w:rsid w:val="00D85FDD"/>
    <w:rsid w:val="00D866A7"/>
    <w:rsid w:val="00D905EA"/>
    <w:rsid w:val="00D90B00"/>
    <w:rsid w:val="00D912E8"/>
    <w:rsid w:val="00D91350"/>
    <w:rsid w:val="00D9188C"/>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AC3"/>
    <w:rsid w:val="00DC1B1B"/>
    <w:rsid w:val="00DC2291"/>
    <w:rsid w:val="00DC3D78"/>
    <w:rsid w:val="00DC3E36"/>
    <w:rsid w:val="00DC414A"/>
    <w:rsid w:val="00DC4FA0"/>
    <w:rsid w:val="00DC4FEC"/>
    <w:rsid w:val="00DC5AE8"/>
    <w:rsid w:val="00DC6463"/>
    <w:rsid w:val="00DC6D8B"/>
    <w:rsid w:val="00DC712B"/>
    <w:rsid w:val="00DC7894"/>
    <w:rsid w:val="00DD0F58"/>
    <w:rsid w:val="00DD1054"/>
    <w:rsid w:val="00DD14E6"/>
    <w:rsid w:val="00DD290C"/>
    <w:rsid w:val="00DD2BB9"/>
    <w:rsid w:val="00DD367D"/>
    <w:rsid w:val="00DD39C7"/>
    <w:rsid w:val="00DD4360"/>
    <w:rsid w:val="00DD4C58"/>
    <w:rsid w:val="00DD5A3B"/>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B31"/>
    <w:rsid w:val="00E20DB7"/>
    <w:rsid w:val="00E20EAD"/>
    <w:rsid w:val="00E22E94"/>
    <w:rsid w:val="00E2350D"/>
    <w:rsid w:val="00E23D7B"/>
    <w:rsid w:val="00E23D9C"/>
    <w:rsid w:val="00E23E08"/>
    <w:rsid w:val="00E24267"/>
    <w:rsid w:val="00E24A83"/>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0E9"/>
    <w:rsid w:val="00E345B7"/>
    <w:rsid w:val="00E34973"/>
    <w:rsid w:val="00E34B9D"/>
    <w:rsid w:val="00E357D3"/>
    <w:rsid w:val="00E35CB6"/>
    <w:rsid w:val="00E35CF5"/>
    <w:rsid w:val="00E35E95"/>
    <w:rsid w:val="00E36EF1"/>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0BD1"/>
    <w:rsid w:val="00E52A26"/>
    <w:rsid w:val="00E52E72"/>
    <w:rsid w:val="00E5334D"/>
    <w:rsid w:val="00E534E4"/>
    <w:rsid w:val="00E53C35"/>
    <w:rsid w:val="00E53EFA"/>
    <w:rsid w:val="00E544B3"/>
    <w:rsid w:val="00E54987"/>
    <w:rsid w:val="00E55393"/>
    <w:rsid w:val="00E55475"/>
    <w:rsid w:val="00E564C0"/>
    <w:rsid w:val="00E56D21"/>
    <w:rsid w:val="00E579CD"/>
    <w:rsid w:val="00E61255"/>
    <w:rsid w:val="00E61E5C"/>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A9E"/>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D7B01"/>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0D8"/>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5E27"/>
    <w:rsid w:val="00EF69A0"/>
    <w:rsid w:val="00EF6A68"/>
    <w:rsid w:val="00EF6AE8"/>
    <w:rsid w:val="00EF762C"/>
    <w:rsid w:val="00EF7CDD"/>
    <w:rsid w:val="00EF7D7B"/>
    <w:rsid w:val="00EF7EF4"/>
    <w:rsid w:val="00F003C2"/>
    <w:rsid w:val="00F0182C"/>
    <w:rsid w:val="00F0242E"/>
    <w:rsid w:val="00F02E9F"/>
    <w:rsid w:val="00F039AC"/>
    <w:rsid w:val="00F043EA"/>
    <w:rsid w:val="00F051AB"/>
    <w:rsid w:val="00F05845"/>
    <w:rsid w:val="00F0652C"/>
    <w:rsid w:val="00F06EC5"/>
    <w:rsid w:val="00F07323"/>
    <w:rsid w:val="00F07479"/>
    <w:rsid w:val="00F079FA"/>
    <w:rsid w:val="00F07ACA"/>
    <w:rsid w:val="00F1020A"/>
    <w:rsid w:val="00F10B26"/>
    <w:rsid w:val="00F11BEC"/>
    <w:rsid w:val="00F12F66"/>
    <w:rsid w:val="00F1314F"/>
    <w:rsid w:val="00F135DC"/>
    <w:rsid w:val="00F14B59"/>
    <w:rsid w:val="00F14B68"/>
    <w:rsid w:val="00F15585"/>
    <w:rsid w:val="00F16337"/>
    <w:rsid w:val="00F20EA0"/>
    <w:rsid w:val="00F21F1B"/>
    <w:rsid w:val="00F227E2"/>
    <w:rsid w:val="00F22928"/>
    <w:rsid w:val="00F23A1B"/>
    <w:rsid w:val="00F23DD6"/>
    <w:rsid w:val="00F249BF"/>
    <w:rsid w:val="00F25A10"/>
    <w:rsid w:val="00F26A30"/>
    <w:rsid w:val="00F26AF3"/>
    <w:rsid w:val="00F27B29"/>
    <w:rsid w:val="00F30075"/>
    <w:rsid w:val="00F30802"/>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2D"/>
    <w:rsid w:val="00F754FE"/>
    <w:rsid w:val="00F7568A"/>
    <w:rsid w:val="00F75701"/>
    <w:rsid w:val="00F75C4D"/>
    <w:rsid w:val="00F76E0E"/>
    <w:rsid w:val="00F76ED4"/>
    <w:rsid w:val="00F778D9"/>
    <w:rsid w:val="00F77BFA"/>
    <w:rsid w:val="00F77C13"/>
    <w:rsid w:val="00F77D20"/>
    <w:rsid w:val="00F8080D"/>
    <w:rsid w:val="00F80D0F"/>
    <w:rsid w:val="00F8100D"/>
    <w:rsid w:val="00F81543"/>
    <w:rsid w:val="00F815AC"/>
    <w:rsid w:val="00F818F4"/>
    <w:rsid w:val="00F81E37"/>
    <w:rsid w:val="00F822BB"/>
    <w:rsid w:val="00F8303F"/>
    <w:rsid w:val="00F84628"/>
    <w:rsid w:val="00F846D7"/>
    <w:rsid w:val="00F84FA6"/>
    <w:rsid w:val="00F8580C"/>
    <w:rsid w:val="00F858D8"/>
    <w:rsid w:val="00F85B9E"/>
    <w:rsid w:val="00F86B84"/>
    <w:rsid w:val="00F86BCA"/>
    <w:rsid w:val="00F86E06"/>
    <w:rsid w:val="00F86F65"/>
    <w:rsid w:val="00F9041A"/>
    <w:rsid w:val="00F90F21"/>
    <w:rsid w:val="00F9108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9D1"/>
    <w:rsid w:val="00FE1A01"/>
    <w:rsid w:val="00FE20C3"/>
    <w:rsid w:val="00FE2419"/>
    <w:rsid w:val="00FE3510"/>
    <w:rsid w:val="00FE38E6"/>
    <w:rsid w:val="00FE3BE2"/>
    <w:rsid w:val="00FE43DA"/>
    <w:rsid w:val="00FE5CF4"/>
    <w:rsid w:val="00FE5F1D"/>
    <w:rsid w:val="00FE6488"/>
    <w:rsid w:val="00FE6797"/>
    <w:rsid w:val="00FE7DED"/>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87490E79-FBF7-43E1-8205-02E0994D9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21CE"/>
    <w:rPr>
      <w:rFonts w:ascii="Tahoma" w:hAnsi="Tahoma"/>
      <w:sz w:val="18"/>
      <w:szCs w:val="22"/>
    </w:rPr>
  </w:style>
  <w:style w:type="paragraph" w:styleId="Heading1">
    <w:name w:val="heading 1"/>
    <w:basedOn w:val="Normal"/>
    <w:next w:val="Normal"/>
    <w:link w:val="Heading1Char"/>
    <w:autoRedefine/>
    <w:uiPriority w:val="9"/>
    <w:qFormat/>
    <w:rsid w:val="0033459E"/>
    <w:pPr>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3459E"/>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1625E"/>
    <w:pPr>
      <w:keepNext/>
      <w:tabs>
        <w:tab w:val="right" w:leader="dot" w:pos="9360"/>
      </w:tabs>
      <w:spacing w:before="120"/>
      <w:ind w:right="-187"/>
    </w:pPr>
    <w:rPr>
      <w:rFonts w:eastAsia="Times New Roman" w:cs="Tahoma"/>
      <w:b/>
      <w:bCs/>
      <w:noProof/>
      <w:kern w:val="28"/>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EE70D8"/>
    <w:pPr>
      <w:tabs>
        <w:tab w:val="right" w:leader="dot" w:pos="9360"/>
      </w:tabs>
      <w:ind w:left="201"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395784"/>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95784"/>
    <w:rPr>
      <w:rFonts w:ascii="Courier New" w:hAnsi="Courier New" w:cs="Courier New"/>
      <w:b w:val="0"/>
      <w:i w:val="0"/>
      <w:color w:val="808080"/>
      <w:sz w:val="18"/>
      <w:szCs w:val="76"/>
    </w:rPr>
  </w:style>
  <w:style w:type="paragraph" w:customStyle="1" w:styleId="Style1">
    <w:name w:val="Style1"/>
    <w:basedOn w:val="Heading1"/>
    <w:link w:val="Style1Char"/>
    <w:qFormat/>
    <w:rsid w:val="004F6A95"/>
  </w:style>
  <w:style w:type="character" w:customStyle="1" w:styleId="Style1Char">
    <w:name w:val="Style1 Char"/>
    <w:basedOn w:val="Heading1Char"/>
    <w:link w:val="Style1"/>
    <w:rsid w:val="004F6A95"/>
    <w:rPr>
      <w:rFonts w:ascii="Tahoma" w:hAnsi="Tahoma"/>
      <w:b/>
      <w:bCs/>
      <w:caps/>
      <w:color w:val="000000"/>
      <w:sz w:val="36"/>
      <w:szCs w:val="36"/>
    </w:rPr>
  </w:style>
  <w:style w:type="paragraph" w:customStyle="1" w:styleId="Style2">
    <w:name w:val="Style2"/>
    <w:basedOn w:val="Heading1"/>
    <w:link w:val="Style2Char"/>
    <w:qFormat/>
    <w:rsid w:val="004F6A95"/>
  </w:style>
  <w:style w:type="character" w:customStyle="1" w:styleId="Style2Char">
    <w:name w:val="Style2 Char"/>
    <w:basedOn w:val="Heading1Char"/>
    <w:link w:val="Style2"/>
    <w:rsid w:val="004F6A95"/>
    <w:rPr>
      <w:rFonts w:ascii="Tahoma" w:hAnsi="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5E7EECB-BDDA-4573-924E-D1460F18F61D}">
  <ds:schemaRefs>
    <ds:schemaRef ds:uri="http://schemas.openxmlformats.org/officeDocument/2006/bibliography"/>
  </ds:schemaRefs>
</ds:datastoreItem>
</file>

<file path=customXml/itemProps5.xml><?xml version="1.0" encoding="utf-8"?>
<ds:datastoreItem xmlns:ds="http://schemas.openxmlformats.org/officeDocument/2006/customXml" ds:itemID="{6CCE4812-E0B2-4EC9-934B-0CE0BDEEDA01}">
  <ds:schemaRefs>
    <ds:schemaRef ds:uri="http://schemas.openxmlformats.org/officeDocument/2006/bibliography"/>
  </ds:schemaRefs>
</ds:datastoreItem>
</file>

<file path=customXml/itemProps6.xml><?xml version="1.0" encoding="utf-8"?>
<ds:datastoreItem xmlns:ds="http://schemas.openxmlformats.org/officeDocument/2006/customXml" ds:itemID="{ABC9D557-21D3-4FC7-A4C4-946945B0A7D6}">
  <ds:schemaRefs>
    <ds:schemaRef ds:uri="http://schemas.openxmlformats.org/officeDocument/2006/bibliography"/>
  </ds:schemaRefs>
</ds:datastoreItem>
</file>

<file path=customXml/itemProps7.xml><?xml version="1.0" encoding="utf-8"?>
<ds:datastoreItem xmlns:ds="http://schemas.openxmlformats.org/officeDocument/2006/customXml" ds:itemID="{F751C589-8D8C-4159-B58E-00F12B532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210</Pages>
  <Words>97702</Words>
  <Characters>556908</Characters>
  <Application>Microsoft Office Word</Application>
  <DocSecurity>8</DocSecurity>
  <Lines>4640</Lines>
  <Paragraphs>1306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653304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4</cp:revision>
  <cp:lastPrinted>2013-07-19T10:56:00Z</cp:lastPrinted>
  <dcterms:created xsi:type="dcterms:W3CDTF">2013-07-31T21:02:00Z</dcterms:created>
  <dcterms:modified xsi:type="dcterms:W3CDTF">2013-07-31T21:02:00Z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